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4C98" w14:textId="77777777" w:rsidR="00E81D69" w:rsidRPr="00E81D69" w:rsidRDefault="00176D7F" w:rsidP="00E81D69">
      <w:pPr>
        <w:rPr>
          <w:rFonts w:ascii="Times New Roman" w:eastAsia="Times New Roman" w:hAnsi="Times New Roman" w:cs="Times New Roman"/>
          <w:kern w:val="0"/>
          <w:lang w:eastAsia="en-GB"/>
          <w14:ligatures w14:val="none"/>
        </w:rPr>
      </w:pPr>
      <w:r w:rsidRPr="00176D7F">
        <w:rPr>
          <w:rFonts w:ascii="Times New Roman" w:eastAsia="Times New Roman" w:hAnsi="Times New Roman" w:cs="Times New Roman"/>
          <w:noProof/>
          <w:kern w:val="0"/>
          <w:lang w:eastAsia="en-GB"/>
        </w:rPr>
        <w:pict w14:anchorId="70BA386F">
          <v:rect id="_x0000_i1032" alt="" style="width:451.3pt;height:.05pt;mso-width-percent:0;mso-height-percent:0;mso-width-percent:0;mso-height-percent:0" o:hralign="center" o:hrstd="t" o:hr="t" fillcolor="#a0a0a0" stroked="f"/>
        </w:pict>
      </w:r>
    </w:p>
    <w:p w14:paraId="0DF8265C" w14:textId="77777777" w:rsidR="00E81D69" w:rsidRPr="00E81D69" w:rsidRDefault="00E81D69" w:rsidP="00E81D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81D69">
        <w:rPr>
          <w:rFonts w:ascii="Times New Roman" w:eastAsia="Times New Roman" w:hAnsi="Times New Roman" w:cs="Times New Roman"/>
          <w:b/>
          <w:bCs/>
          <w:kern w:val="0"/>
          <w:sz w:val="36"/>
          <w:szCs w:val="36"/>
          <w:lang w:eastAsia="en-GB"/>
          <w14:ligatures w14:val="none"/>
        </w:rPr>
        <w:t>Motivation</w:t>
      </w:r>
    </w:p>
    <w:p w14:paraId="03E44150" w14:textId="439660D7" w:rsidR="00E81D69" w:rsidRPr="00E81D69" w:rsidRDefault="00E81D69" w:rsidP="00E81D69">
      <w:pPr>
        <w:spacing w:before="100" w:beforeAutospacing="1" w:after="100" w:afterAutospacing="1"/>
        <w:rPr>
          <w:rFonts w:ascii="Times New Roman" w:eastAsia="Times New Roman" w:hAnsi="Times New Roman" w:cs="Times New Roman"/>
          <w:kern w:val="0"/>
          <w:lang w:eastAsia="en-GB"/>
          <w14:ligatures w14:val="none"/>
        </w:rPr>
      </w:pPr>
      <w:r w:rsidRPr="00E81D69">
        <w:rPr>
          <w:rFonts w:ascii="Times New Roman" w:eastAsia="Times New Roman" w:hAnsi="Times New Roman" w:cs="Times New Roman"/>
          <w:kern w:val="0"/>
          <w:lang w:eastAsia="en-GB"/>
          <w14:ligatures w14:val="none"/>
        </w:rPr>
        <w:t xml:space="preserve">Antimicrobial resistance (AMR) </w:t>
      </w:r>
      <w:r w:rsidR="0051184B">
        <w:rPr>
          <w:rFonts w:ascii="Times New Roman" w:eastAsia="Times New Roman" w:hAnsi="Times New Roman" w:cs="Times New Roman"/>
          <w:kern w:val="0"/>
          <w:lang w:eastAsia="en-GB"/>
          <w14:ligatures w14:val="none"/>
        </w:rPr>
        <w:t xml:space="preserve">is a global epidemic and World Health Organisation priority. In 2019 </w:t>
      </w:r>
      <w:r w:rsidR="00E1376D">
        <w:rPr>
          <w:rFonts w:ascii="Times New Roman" w:eastAsia="Times New Roman" w:hAnsi="Times New Roman" w:cs="Times New Roman"/>
          <w:kern w:val="0"/>
          <w:lang w:eastAsia="en-GB"/>
          <w14:ligatures w14:val="none"/>
        </w:rPr>
        <w:t>it</w:t>
      </w:r>
      <w:r w:rsidRPr="00E81D69">
        <w:rPr>
          <w:rFonts w:ascii="Times New Roman" w:eastAsia="Times New Roman" w:hAnsi="Times New Roman" w:cs="Times New Roman"/>
          <w:kern w:val="0"/>
          <w:lang w:eastAsia="en-GB"/>
          <w14:ligatures w14:val="none"/>
        </w:rPr>
        <w:t xml:space="preserve"> contributed to 4.95 million deaths worldwide</w:t>
      </w:r>
      <w:r w:rsidR="00C43E12">
        <w:rPr>
          <w:rFonts w:ascii="Times New Roman" w:eastAsia="Times New Roman" w:hAnsi="Times New Roman" w:cs="Times New Roman"/>
          <w:kern w:val="0"/>
          <w:lang w:eastAsia="en-GB"/>
          <w14:ligatures w14:val="none"/>
        </w:rPr>
        <w:t xml:space="preserve"> and </w:t>
      </w:r>
      <w:r w:rsidR="006644AF">
        <w:rPr>
          <w:rFonts w:ascii="Times New Roman" w:eastAsia="Times New Roman" w:hAnsi="Times New Roman" w:cs="Times New Roman"/>
          <w:kern w:val="0"/>
          <w:lang w:eastAsia="en-GB"/>
          <w14:ligatures w14:val="none"/>
        </w:rPr>
        <w:t xml:space="preserve">by 2050 </w:t>
      </w:r>
      <w:r w:rsidR="00F54D4F">
        <w:rPr>
          <w:rFonts w:ascii="Times New Roman" w:eastAsia="Times New Roman" w:hAnsi="Times New Roman" w:cs="Times New Roman"/>
          <w:kern w:val="0"/>
          <w:lang w:eastAsia="en-GB"/>
          <w14:ligatures w14:val="none"/>
        </w:rPr>
        <w:t>direct healthcare</w:t>
      </w:r>
      <w:r w:rsidR="000C27AF">
        <w:rPr>
          <w:rFonts w:ascii="Times New Roman" w:eastAsia="Times New Roman" w:hAnsi="Times New Roman" w:cs="Times New Roman"/>
          <w:kern w:val="0"/>
          <w:lang w:eastAsia="en-GB"/>
          <w14:ligatures w14:val="none"/>
        </w:rPr>
        <w:t xml:space="preserve"> </w:t>
      </w:r>
      <w:r w:rsidR="000C27AF">
        <w:rPr>
          <w:rFonts w:ascii="Times New Roman" w:eastAsia="Times New Roman" w:hAnsi="Times New Roman" w:cs="Times New Roman"/>
          <w:kern w:val="0"/>
          <w:lang w:eastAsia="en-GB"/>
          <w14:ligatures w14:val="none"/>
        </w:rPr>
        <w:t>cost</w:t>
      </w:r>
      <w:r w:rsidR="00F54D4F">
        <w:rPr>
          <w:rFonts w:ascii="Times New Roman" w:eastAsia="Times New Roman" w:hAnsi="Times New Roman" w:cs="Times New Roman"/>
          <w:kern w:val="0"/>
          <w:lang w:eastAsia="en-GB"/>
          <w14:ligatures w14:val="none"/>
        </w:rPr>
        <w:t>s</w:t>
      </w:r>
      <w:r w:rsidR="000C27AF">
        <w:rPr>
          <w:rFonts w:ascii="Times New Roman" w:eastAsia="Times New Roman" w:hAnsi="Times New Roman" w:cs="Times New Roman"/>
          <w:kern w:val="0"/>
          <w:lang w:eastAsia="en-GB"/>
          <w14:ligatures w14:val="none"/>
        </w:rPr>
        <w:t xml:space="preserve"> </w:t>
      </w:r>
      <w:r w:rsidR="000C27AF">
        <w:rPr>
          <w:rFonts w:ascii="Times New Roman" w:eastAsia="Times New Roman" w:hAnsi="Times New Roman" w:cs="Times New Roman"/>
          <w:kern w:val="0"/>
          <w:lang w:eastAsia="en-GB"/>
          <w14:ligatures w14:val="none"/>
        </w:rPr>
        <w:t xml:space="preserve">will exceed </w:t>
      </w:r>
      <w:r w:rsidRPr="00E81D69">
        <w:rPr>
          <w:rFonts w:ascii="Times New Roman" w:eastAsia="Times New Roman" w:hAnsi="Times New Roman" w:cs="Times New Roman"/>
          <w:kern w:val="0"/>
          <w:lang w:eastAsia="en-GB"/>
          <w14:ligatures w14:val="none"/>
        </w:rPr>
        <w:t>US$1 trillion</w:t>
      </w:r>
      <w:r w:rsidR="00F54D4F">
        <w:rPr>
          <w:rFonts w:ascii="Times New Roman" w:eastAsia="Times New Roman" w:hAnsi="Times New Roman" w:cs="Times New Roman"/>
          <w:kern w:val="0"/>
          <w:lang w:eastAsia="en-GB"/>
          <w14:ligatures w14:val="none"/>
        </w:rPr>
        <w:t xml:space="preserve"> annually</w:t>
      </w:r>
      <w:r w:rsidR="000C27AF">
        <w:rPr>
          <w:rFonts w:ascii="Times New Roman" w:eastAsia="Times New Roman" w:hAnsi="Times New Roman" w:cs="Times New Roman"/>
          <w:kern w:val="0"/>
          <w:lang w:eastAsia="en-GB"/>
          <w14:ligatures w14:val="none"/>
        </w:rPr>
        <w:t xml:space="preserve">.  </w:t>
      </w:r>
      <w:r w:rsidRPr="00E81D69">
        <w:rPr>
          <w:rFonts w:ascii="Times New Roman" w:eastAsia="Times New Roman" w:hAnsi="Times New Roman" w:cs="Times New Roman"/>
          <w:kern w:val="0"/>
          <w:lang w:eastAsia="en-GB"/>
          <w14:ligatures w14:val="none"/>
        </w:rPr>
        <w:t>This crisis is driven not only by the spread of resistant strains between individuals and hospitals, but by continuous bacterial evolution within patients — acquiring resistance genes, developing antibiotic tolerance, and adapting to evade the immune system.</w:t>
      </w:r>
    </w:p>
    <w:p w14:paraId="70DE6E44" w14:textId="77777777" w:rsidR="00083380" w:rsidRPr="00E81D69" w:rsidRDefault="00E81D69" w:rsidP="00083380">
      <w:pPr>
        <w:spacing w:before="100" w:beforeAutospacing="1" w:after="100" w:afterAutospacing="1"/>
        <w:rPr>
          <w:rFonts w:ascii="Times New Roman" w:eastAsia="Times New Roman" w:hAnsi="Times New Roman" w:cs="Times New Roman"/>
          <w:kern w:val="0"/>
          <w:lang w:eastAsia="en-GB"/>
          <w14:ligatures w14:val="none"/>
        </w:rPr>
      </w:pPr>
      <w:r w:rsidRPr="00E81D69">
        <w:rPr>
          <w:rFonts w:ascii="Times New Roman" w:eastAsia="Times New Roman" w:hAnsi="Times New Roman" w:cs="Times New Roman"/>
          <w:kern w:val="0"/>
          <w:lang w:eastAsia="en-GB"/>
          <w14:ligatures w14:val="none"/>
        </w:rPr>
        <w:t xml:space="preserve">Despite this urgency, our predictive capacity remains profoundly limited. At the global level, we cannot reliably anticipate which strains will become epidemic, which resistance mechanisms will spread, or how pathogens evolve to specialise in human infection. At the clinical level, we still rely on culture and antimicrobial susceptibility testing (AST) — technology largely unchanged since the early twentieth century — that fails to predict treatment outcomes in many invasive and chronic infections. </w:t>
      </w:r>
      <w:r w:rsidR="00083380" w:rsidRPr="00E81D69">
        <w:rPr>
          <w:rFonts w:ascii="Times New Roman" w:eastAsia="Times New Roman" w:hAnsi="Times New Roman" w:cs="Times New Roman"/>
          <w:kern w:val="0"/>
          <w:lang w:eastAsia="en-GB"/>
          <w14:ligatures w14:val="none"/>
        </w:rPr>
        <w:t>This fellowship addresses both levels directly, using population-scale genomics and machine learning to build and validate a practical prediction framework spanning global pathogen emergence to individual patient treatment decisions.</w:t>
      </w:r>
    </w:p>
    <w:p w14:paraId="21904824" w14:textId="77777777" w:rsidR="00E81D69" w:rsidRPr="00E81D69" w:rsidRDefault="00176D7F" w:rsidP="00E81D69">
      <w:pPr>
        <w:rPr>
          <w:rFonts w:ascii="Times New Roman" w:eastAsia="Times New Roman" w:hAnsi="Times New Roman" w:cs="Times New Roman"/>
          <w:kern w:val="0"/>
          <w:lang w:eastAsia="en-GB"/>
          <w14:ligatures w14:val="none"/>
        </w:rPr>
      </w:pPr>
      <w:r w:rsidRPr="00176D7F">
        <w:rPr>
          <w:rFonts w:ascii="Times New Roman" w:eastAsia="Times New Roman" w:hAnsi="Times New Roman" w:cs="Times New Roman"/>
          <w:noProof/>
          <w:kern w:val="0"/>
          <w:lang w:eastAsia="en-GB"/>
        </w:rPr>
        <w:pict w14:anchorId="7BF51204">
          <v:rect id="_x0000_i1031" alt="" style="width:451.3pt;height:.05pt;mso-width-percent:0;mso-height-percent:0;mso-width-percent:0;mso-height-percent:0" o:hralign="center" o:hrstd="t" o:hr="t" fillcolor="#a0a0a0" stroked="f"/>
        </w:pict>
      </w:r>
    </w:p>
    <w:p w14:paraId="372C4F3E" w14:textId="77777777" w:rsidR="00E81D69" w:rsidRPr="00E81D69" w:rsidRDefault="00E81D69" w:rsidP="00E81D6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81D69">
        <w:rPr>
          <w:rFonts w:ascii="Times New Roman" w:eastAsia="Times New Roman" w:hAnsi="Times New Roman" w:cs="Times New Roman"/>
          <w:b/>
          <w:bCs/>
          <w:kern w:val="0"/>
          <w:sz w:val="36"/>
          <w:szCs w:val="36"/>
          <w:lang w:eastAsia="en-GB"/>
          <w14:ligatures w14:val="none"/>
        </w:rPr>
        <w:t>Aims</w:t>
      </w:r>
    </w:p>
    <w:p w14:paraId="39E8BFE9" w14:textId="77777777" w:rsidR="00E81D69" w:rsidRPr="00E81D69" w:rsidRDefault="00E81D69" w:rsidP="00E81D69">
      <w:pPr>
        <w:spacing w:before="100" w:beforeAutospacing="1" w:after="100" w:afterAutospacing="1"/>
        <w:rPr>
          <w:rFonts w:ascii="Times New Roman" w:eastAsia="Times New Roman" w:hAnsi="Times New Roman" w:cs="Times New Roman"/>
          <w:kern w:val="0"/>
          <w:lang w:eastAsia="en-GB"/>
          <w14:ligatures w14:val="none"/>
        </w:rPr>
      </w:pPr>
      <w:r w:rsidRPr="00E81D69">
        <w:rPr>
          <w:rFonts w:ascii="Times New Roman" w:eastAsia="Times New Roman" w:hAnsi="Times New Roman" w:cs="Times New Roman"/>
          <w:kern w:val="0"/>
          <w:lang w:eastAsia="en-GB"/>
          <w14:ligatures w14:val="none"/>
        </w:rPr>
        <w:t>This fellowship aims to:</w:t>
      </w:r>
    </w:p>
    <w:p w14:paraId="311724F0" w14:textId="77777777" w:rsidR="00E81D69" w:rsidRPr="00E81D69" w:rsidRDefault="00E81D69" w:rsidP="00E81D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81D69">
        <w:rPr>
          <w:rFonts w:ascii="Times New Roman" w:eastAsia="Times New Roman" w:hAnsi="Times New Roman" w:cs="Times New Roman"/>
          <w:b/>
          <w:bCs/>
          <w:kern w:val="0"/>
          <w:lang w:eastAsia="en-GB"/>
          <w14:ligatures w14:val="none"/>
        </w:rPr>
        <w:t xml:space="preserve">Reconstruct the emergence, pathoadaptation, and horizontal gene transfer networks of </w:t>
      </w:r>
      <w:r w:rsidRPr="00E81D69">
        <w:rPr>
          <w:rFonts w:ascii="Times New Roman" w:eastAsia="Times New Roman" w:hAnsi="Times New Roman" w:cs="Times New Roman"/>
          <w:b/>
          <w:bCs/>
          <w:i/>
          <w:iCs/>
          <w:kern w:val="0"/>
          <w:lang w:eastAsia="en-GB"/>
          <w14:ligatures w14:val="none"/>
        </w:rPr>
        <w:t>Klebsiella pneumoniae</w:t>
      </w:r>
      <w:r w:rsidRPr="00E81D69">
        <w:rPr>
          <w:rFonts w:ascii="Times New Roman" w:eastAsia="Times New Roman" w:hAnsi="Times New Roman" w:cs="Times New Roman"/>
          <w:kern w:val="0"/>
          <w:lang w:eastAsia="en-GB"/>
          <w14:ligatures w14:val="none"/>
        </w:rPr>
        <w:t>, a globally expanding AMR pathogen, to define the evolutionary drivers of virulence and resistance dissemination.</w:t>
      </w:r>
    </w:p>
    <w:p w14:paraId="5FF0D61D" w14:textId="77777777" w:rsidR="00E81D69" w:rsidRPr="00E81D69" w:rsidRDefault="00E81D69" w:rsidP="00E81D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81D69">
        <w:rPr>
          <w:rFonts w:ascii="Times New Roman" w:eastAsia="Times New Roman" w:hAnsi="Times New Roman" w:cs="Times New Roman"/>
          <w:b/>
          <w:bCs/>
          <w:kern w:val="0"/>
          <w:lang w:eastAsia="en-GB"/>
          <w14:ligatures w14:val="none"/>
        </w:rPr>
        <w:t>Develop and validate next-generation machine learning models</w:t>
      </w:r>
      <w:r w:rsidRPr="00E81D69">
        <w:rPr>
          <w:rFonts w:ascii="Times New Roman" w:eastAsia="Times New Roman" w:hAnsi="Times New Roman" w:cs="Times New Roman"/>
          <w:kern w:val="0"/>
          <w:lang w:eastAsia="en-GB"/>
          <w14:ligatures w14:val="none"/>
        </w:rPr>
        <w:t xml:space="preserve"> that predict antimicrobial resistance and invasive disease propensity directly from whole genome sequence, across </w:t>
      </w:r>
      <w:r w:rsidRPr="00E81D69">
        <w:rPr>
          <w:rFonts w:ascii="Times New Roman" w:eastAsia="Times New Roman" w:hAnsi="Times New Roman" w:cs="Times New Roman"/>
          <w:i/>
          <w:iCs/>
          <w:kern w:val="0"/>
          <w:lang w:eastAsia="en-GB"/>
          <w14:ligatures w14:val="none"/>
        </w:rPr>
        <w:t>Klebsiella</w:t>
      </w:r>
      <w:r w:rsidRPr="00E81D69">
        <w:rPr>
          <w:rFonts w:ascii="Times New Roman" w:eastAsia="Times New Roman" w:hAnsi="Times New Roman" w:cs="Times New Roman"/>
          <w:kern w:val="0"/>
          <w:lang w:eastAsia="en-GB"/>
          <w14:ligatures w14:val="none"/>
        </w:rPr>
        <w:t xml:space="preserve"> and </w:t>
      </w:r>
      <w:r w:rsidRPr="00E81D69">
        <w:rPr>
          <w:rFonts w:ascii="Times New Roman" w:eastAsia="Times New Roman" w:hAnsi="Times New Roman" w:cs="Times New Roman"/>
          <w:i/>
          <w:iCs/>
          <w:kern w:val="0"/>
          <w:lang w:eastAsia="en-GB"/>
          <w14:ligatures w14:val="none"/>
        </w:rPr>
        <w:t>Pseudomonas aeruginosa</w:t>
      </w:r>
      <w:r w:rsidRPr="00E81D69">
        <w:rPr>
          <w:rFonts w:ascii="Times New Roman" w:eastAsia="Times New Roman" w:hAnsi="Times New Roman" w:cs="Times New Roman"/>
          <w:kern w:val="0"/>
          <w:lang w:eastAsia="en-GB"/>
          <w14:ligatures w14:val="none"/>
        </w:rPr>
        <w:t>.</w:t>
      </w:r>
    </w:p>
    <w:p w14:paraId="355308F4" w14:textId="77777777" w:rsidR="00E81D69" w:rsidRPr="00E81D69" w:rsidRDefault="00E81D69" w:rsidP="00E81D6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81D69">
        <w:rPr>
          <w:rFonts w:ascii="Times New Roman" w:eastAsia="Times New Roman" w:hAnsi="Times New Roman" w:cs="Times New Roman"/>
          <w:b/>
          <w:bCs/>
          <w:kern w:val="0"/>
          <w:lang w:eastAsia="en-GB"/>
          <w14:ligatures w14:val="none"/>
        </w:rPr>
        <w:t>Predict clinical outcomes of antibiotic treatment</w:t>
      </w:r>
      <w:r w:rsidRPr="00E81D69">
        <w:rPr>
          <w:rFonts w:ascii="Times New Roman" w:eastAsia="Times New Roman" w:hAnsi="Times New Roman" w:cs="Times New Roman"/>
          <w:kern w:val="0"/>
          <w:lang w:eastAsia="en-GB"/>
          <w14:ligatures w14:val="none"/>
        </w:rPr>
        <w:t xml:space="preserve"> in chronic respiratory infection by integrating pathogen genomics, strain dynamics, and clinical metadata — moving beyond the fundamental limitations of standard AST.</w:t>
      </w:r>
    </w:p>
    <w:p w14:paraId="24F569C1" w14:textId="2C0F586D" w:rsidR="00661B5A" w:rsidRDefault="00176D7F">
      <w:pPr>
        <w:rPr>
          <w:rFonts w:ascii="Times New Roman" w:eastAsia="Times New Roman" w:hAnsi="Times New Roman" w:cs="Times New Roman"/>
          <w:kern w:val="0"/>
          <w:lang w:eastAsia="en-GB"/>
          <w14:ligatures w14:val="none"/>
        </w:rPr>
      </w:pPr>
      <w:r w:rsidRPr="00176D7F">
        <w:rPr>
          <w:rFonts w:ascii="Times New Roman" w:eastAsia="Times New Roman" w:hAnsi="Times New Roman" w:cs="Times New Roman"/>
          <w:noProof/>
          <w:kern w:val="0"/>
          <w:lang w:eastAsia="en-GB"/>
        </w:rPr>
        <w:pict w14:anchorId="789A9B78">
          <v:rect id="_x0000_i1030" alt="" style="width:451.3pt;height:.05pt;mso-width-percent:0;mso-height-percent:0;mso-width-percent:0;mso-height-percent:0" o:hralign="center" o:hrstd="t" o:hr="t" fillcolor="#a0a0a0" stroked="f"/>
        </w:pict>
      </w:r>
    </w:p>
    <w:p w14:paraId="63C0269C" w14:textId="77777777" w:rsidR="00661B5A" w:rsidRDefault="00661B5A">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06484B6B" w14:textId="77777777" w:rsidR="00480B82" w:rsidRPr="00480B82" w:rsidRDefault="00176D7F" w:rsidP="00480B82">
      <w:pPr>
        <w:rPr>
          <w:rFonts w:ascii="Times New Roman" w:eastAsia="Times New Roman" w:hAnsi="Times New Roman" w:cs="Times New Roman"/>
          <w:kern w:val="0"/>
          <w:lang w:eastAsia="en-GB"/>
          <w14:ligatures w14:val="none"/>
        </w:rPr>
      </w:pPr>
      <w:r w:rsidRPr="00176D7F">
        <w:rPr>
          <w:rFonts w:ascii="Times New Roman" w:eastAsia="Times New Roman" w:hAnsi="Times New Roman" w:cs="Times New Roman"/>
          <w:noProof/>
          <w:kern w:val="0"/>
          <w:lang w:eastAsia="en-GB"/>
        </w:rPr>
        <w:lastRenderedPageBreak/>
        <w:pict w14:anchorId="31E25E75">
          <v:rect id="_x0000_i1029" alt="" style="width:451.3pt;height:.05pt;mso-width-percent:0;mso-height-percent:0;mso-width-percent:0;mso-height-percent:0" o:hralign="center" o:hrstd="t" o:hr="t" fillcolor="#a0a0a0" stroked="f"/>
        </w:pict>
      </w:r>
    </w:p>
    <w:p w14:paraId="1E81F535" w14:textId="77777777" w:rsidR="00480B82" w:rsidRPr="00480B82" w:rsidRDefault="00480B82" w:rsidP="00480B8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80B82">
        <w:rPr>
          <w:rFonts w:ascii="Times New Roman" w:eastAsia="Times New Roman" w:hAnsi="Times New Roman" w:cs="Times New Roman"/>
          <w:b/>
          <w:bCs/>
          <w:kern w:val="0"/>
          <w:sz w:val="36"/>
          <w:szCs w:val="36"/>
          <w:lang w:eastAsia="en-GB"/>
          <w14:ligatures w14:val="none"/>
        </w:rPr>
        <w:t xml:space="preserve">WP1: Emergence and Pathoadaptation of </w:t>
      </w:r>
      <w:r w:rsidRPr="00480B82">
        <w:rPr>
          <w:rFonts w:ascii="Times New Roman" w:eastAsia="Times New Roman" w:hAnsi="Times New Roman" w:cs="Times New Roman"/>
          <w:b/>
          <w:bCs/>
          <w:i/>
          <w:iCs/>
          <w:kern w:val="0"/>
          <w:sz w:val="36"/>
          <w:szCs w:val="36"/>
          <w:lang w:eastAsia="en-GB"/>
          <w14:ligatures w14:val="none"/>
        </w:rPr>
        <w:t>Klebsiella pneumoniae</w:t>
      </w:r>
    </w:p>
    <w:p w14:paraId="7AA8A19B" w14:textId="77777777" w:rsidR="00480B82" w:rsidRPr="00480B82" w:rsidRDefault="00480B82" w:rsidP="00480B82">
      <w:pPr>
        <w:spacing w:before="100" w:beforeAutospacing="1" w:after="100" w:afterAutospacing="1"/>
        <w:rPr>
          <w:rFonts w:ascii="Times New Roman" w:eastAsia="Times New Roman" w:hAnsi="Times New Roman" w:cs="Times New Roman"/>
          <w:kern w:val="0"/>
          <w:lang w:eastAsia="en-GB"/>
          <w14:ligatures w14:val="none"/>
        </w:rPr>
      </w:pPr>
      <w:r w:rsidRPr="00480B82">
        <w:rPr>
          <w:rFonts w:ascii="Times New Roman" w:eastAsia="Times New Roman" w:hAnsi="Times New Roman" w:cs="Times New Roman"/>
          <w:b/>
          <w:bCs/>
          <w:kern w:val="0"/>
          <w:lang w:eastAsia="en-GB"/>
          <w14:ligatures w14:val="none"/>
        </w:rPr>
        <w:t>Objective:</w:t>
      </w:r>
      <w:r w:rsidRPr="00480B82">
        <w:rPr>
          <w:rFonts w:ascii="Times New Roman" w:eastAsia="Times New Roman" w:hAnsi="Times New Roman" w:cs="Times New Roman"/>
          <w:kern w:val="0"/>
          <w:lang w:eastAsia="en-GB"/>
          <w14:ligatures w14:val="none"/>
        </w:rPr>
        <w:t xml:space="preserve"> To reconstruct the evolutionary history, vertical mutational trajectories, and horizontal gene transfer (HGT) networks driving the global emergence, pathoadaptation, and antimicrobial resistance of </w:t>
      </w:r>
      <w:r w:rsidRPr="00480B82">
        <w:rPr>
          <w:rFonts w:ascii="Times New Roman" w:eastAsia="Times New Roman" w:hAnsi="Times New Roman" w:cs="Times New Roman"/>
          <w:i/>
          <w:iCs/>
          <w:kern w:val="0"/>
          <w:lang w:eastAsia="en-GB"/>
          <w14:ligatures w14:val="none"/>
        </w:rPr>
        <w:t>K. pneumoniae</w:t>
      </w:r>
      <w:r w:rsidRPr="00480B82">
        <w:rPr>
          <w:rFonts w:ascii="Times New Roman" w:eastAsia="Times New Roman" w:hAnsi="Times New Roman" w:cs="Times New Roman"/>
          <w:kern w:val="0"/>
          <w:lang w:eastAsia="en-GB"/>
          <w14:ligatures w14:val="none"/>
        </w:rPr>
        <w:t>.</w:t>
      </w:r>
    </w:p>
    <w:p w14:paraId="324CAFB8" w14:textId="77777777" w:rsidR="00480B82" w:rsidRPr="00480B82" w:rsidRDefault="00480B82" w:rsidP="00480B82">
      <w:pPr>
        <w:spacing w:before="100" w:beforeAutospacing="1" w:after="100" w:afterAutospacing="1"/>
        <w:outlineLvl w:val="1"/>
        <w:rPr>
          <w:rFonts w:ascii="Times New Roman" w:eastAsia="Times New Roman" w:hAnsi="Times New Roman" w:cs="Times New Roman"/>
          <w:b/>
          <w:bCs/>
          <w:kern w:val="0"/>
          <w:sz w:val="28"/>
          <w:szCs w:val="28"/>
          <w:lang w:eastAsia="en-GB"/>
          <w14:ligatures w14:val="none"/>
        </w:rPr>
      </w:pPr>
      <w:r w:rsidRPr="00480B82">
        <w:rPr>
          <w:rFonts w:ascii="Times New Roman" w:eastAsia="Times New Roman" w:hAnsi="Times New Roman" w:cs="Times New Roman"/>
          <w:b/>
          <w:bCs/>
          <w:kern w:val="0"/>
          <w:sz w:val="28"/>
          <w:szCs w:val="28"/>
          <w:lang w:eastAsia="en-GB"/>
          <w14:ligatures w14:val="none"/>
        </w:rPr>
        <w:t>Background</w:t>
      </w:r>
    </w:p>
    <w:p w14:paraId="42FDFBC9" w14:textId="1A30DD66" w:rsidR="00480B82" w:rsidRPr="00480B82" w:rsidRDefault="00480B82" w:rsidP="00480B82">
      <w:pPr>
        <w:spacing w:before="100" w:beforeAutospacing="1" w:after="100" w:afterAutospacing="1"/>
        <w:rPr>
          <w:rFonts w:ascii="Times New Roman" w:eastAsia="Times New Roman" w:hAnsi="Times New Roman" w:cs="Times New Roman"/>
          <w:kern w:val="0"/>
          <w:lang w:eastAsia="en-GB"/>
          <w14:ligatures w14:val="none"/>
        </w:rPr>
      </w:pPr>
      <w:r w:rsidRPr="00480B82">
        <w:rPr>
          <w:rFonts w:ascii="Times New Roman" w:eastAsia="Times New Roman" w:hAnsi="Times New Roman" w:cs="Times New Roman"/>
          <w:kern w:val="0"/>
          <w:lang w:eastAsia="en-GB"/>
          <w14:ligatures w14:val="none"/>
        </w:rPr>
        <w:t xml:space="preserve">Bacterial pathogens adapt to human infection through two complementary mechanisms. Vertical pathoadaptation drives convergent mutation of the core and accessory genomes — rewiring global transcription to enable immune evasion and macrophage survival, as we demonstrated in </w:t>
      </w:r>
      <w:r w:rsidRPr="00480B82">
        <w:rPr>
          <w:rFonts w:ascii="Times New Roman" w:eastAsia="Times New Roman" w:hAnsi="Times New Roman" w:cs="Times New Roman"/>
          <w:i/>
          <w:iCs/>
          <w:kern w:val="0"/>
          <w:lang w:eastAsia="en-GB"/>
          <w14:ligatures w14:val="none"/>
        </w:rPr>
        <w:t>P. aeruginosa</w:t>
      </w:r>
      <w:r w:rsidRPr="00480B82">
        <w:rPr>
          <w:rFonts w:ascii="Times New Roman" w:eastAsia="Times New Roman" w:hAnsi="Times New Roman" w:cs="Times New Roman"/>
          <w:kern w:val="0"/>
          <w:lang w:eastAsia="en-GB"/>
          <w14:ligatures w14:val="none"/>
        </w:rPr>
        <w:t xml:space="preserve"> and </w:t>
      </w:r>
      <w:r w:rsidRPr="00480B82">
        <w:rPr>
          <w:rFonts w:ascii="Times New Roman" w:eastAsia="Times New Roman" w:hAnsi="Times New Roman" w:cs="Times New Roman"/>
          <w:i/>
          <w:iCs/>
          <w:kern w:val="0"/>
          <w:lang w:eastAsia="en-GB"/>
          <w14:ligatures w14:val="none"/>
        </w:rPr>
        <w:t>M. abscessus</w:t>
      </w:r>
      <w:r w:rsidRPr="00480B82">
        <w:rPr>
          <w:rFonts w:ascii="Times New Roman" w:eastAsia="Times New Roman" w:hAnsi="Times New Roman" w:cs="Times New Roman"/>
          <w:kern w:val="0"/>
          <w:lang w:eastAsia="en-GB"/>
          <w14:ligatures w14:val="none"/>
        </w:rPr>
        <w:t xml:space="preserve"> (Weimann et al., </w:t>
      </w:r>
      <w:r w:rsidRPr="00480B82">
        <w:rPr>
          <w:rFonts w:ascii="Times New Roman" w:eastAsia="Times New Roman" w:hAnsi="Times New Roman" w:cs="Times New Roman"/>
          <w:i/>
          <w:iCs/>
          <w:kern w:val="0"/>
          <w:lang w:eastAsia="en-GB"/>
          <w14:ligatures w14:val="none"/>
        </w:rPr>
        <w:t>Science</w:t>
      </w:r>
      <w:r w:rsidRPr="00480B82">
        <w:rPr>
          <w:rFonts w:ascii="Times New Roman" w:eastAsia="Times New Roman" w:hAnsi="Times New Roman" w:cs="Times New Roman"/>
          <w:kern w:val="0"/>
          <w:lang w:eastAsia="en-GB"/>
          <w14:ligatures w14:val="none"/>
        </w:rPr>
        <w:t xml:space="preserve"> 2024; Bryant et al., </w:t>
      </w:r>
      <w:r w:rsidRPr="00480B82">
        <w:rPr>
          <w:rFonts w:ascii="Times New Roman" w:eastAsia="Times New Roman" w:hAnsi="Times New Roman" w:cs="Times New Roman"/>
          <w:i/>
          <w:iCs/>
          <w:kern w:val="0"/>
          <w:lang w:eastAsia="en-GB"/>
          <w14:ligatures w14:val="none"/>
        </w:rPr>
        <w:t>Science</w:t>
      </w:r>
      <w:r w:rsidRPr="00480B82">
        <w:rPr>
          <w:rFonts w:ascii="Times New Roman" w:eastAsia="Times New Roman" w:hAnsi="Times New Roman" w:cs="Times New Roman"/>
          <w:kern w:val="0"/>
          <w:lang w:eastAsia="en-GB"/>
          <w14:ligatures w14:val="none"/>
        </w:rPr>
        <w:t xml:space="preserve"> 2021). Horizontal pathoadaptation via HGT enables saltatory leaps in fitness — through bacteriophage-mediated transfer, capsule locus acquisition, and plasmid uptake — as seen in </w:t>
      </w:r>
      <w:r w:rsidRPr="00480B82">
        <w:rPr>
          <w:rFonts w:ascii="Times New Roman" w:eastAsia="Times New Roman" w:hAnsi="Times New Roman" w:cs="Times New Roman"/>
          <w:i/>
          <w:iCs/>
          <w:kern w:val="0"/>
          <w:lang w:eastAsia="en-GB"/>
          <w14:ligatures w14:val="none"/>
        </w:rPr>
        <w:t>M. abscessus</w:t>
      </w:r>
      <w:r w:rsidRPr="00480B82">
        <w:rPr>
          <w:rFonts w:ascii="Times New Roman" w:eastAsia="Times New Roman" w:hAnsi="Times New Roman" w:cs="Times New Roman"/>
          <w:kern w:val="0"/>
          <w:lang w:eastAsia="en-GB"/>
          <w14:ligatures w14:val="none"/>
        </w:rPr>
        <w:t xml:space="preserve"> (Bryant et al., </w:t>
      </w:r>
      <w:r w:rsidRPr="00480B82">
        <w:rPr>
          <w:rFonts w:ascii="Times New Roman" w:eastAsia="Times New Roman" w:hAnsi="Times New Roman" w:cs="Times New Roman"/>
          <w:i/>
          <w:iCs/>
          <w:kern w:val="0"/>
          <w:lang w:eastAsia="en-GB"/>
          <w14:ligatures w14:val="none"/>
        </w:rPr>
        <w:t>Science</w:t>
      </w:r>
      <w:r w:rsidRPr="00480B82">
        <w:rPr>
          <w:rFonts w:ascii="Times New Roman" w:eastAsia="Times New Roman" w:hAnsi="Times New Roman" w:cs="Times New Roman"/>
          <w:kern w:val="0"/>
          <w:lang w:eastAsia="en-GB"/>
          <w14:ligatures w14:val="none"/>
        </w:rPr>
        <w:t xml:space="preserve"> 2016) and </w:t>
      </w:r>
      <w:r w:rsidRPr="00480B82">
        <w:rPr>
          <w:rFonts w:ascii="Times New Roman" w:eastAsia="Times New Roman" w:hAnsi="Times New Roman" w:cs="Times New Roman"/>
          <w:i/>
          <w:iCs/>
          <w:kern w:val="0"/>
          <w:lang w:eastAsia="en-GB"/>
          <w14:ligatures w14:val="none"/>
        </w:rPr>
        <w:t>Klebsiella</w:t>
      </w:r>
      <w:r w:rsidRPr="00480B82">
        <w:rPr>
          <w:rFonts w:ascii="Times New Roman" w:eastAsia="Times New Roman" w:hAnsi="Times New Roman" w:cs="Times New Roman"/>
          <w:kern w:val="0"/>
          <w:lang w:eastAsia="en-GB"/>
          <w14:ligatures w14:val="none"/>
        </w:rPr>
        <w:t xml:space="preserve"> (Holt et al.</w:t>
      </w:r>
      <w:r w:rsidR="00BF7AF7">
        <w:rPr>
          <w:rFonts w:ascii="Times New Roman" w:eastAsia="Times New Roman" w:hAnsi="Times New Roman" w:cs="Times New Roman"/>
          <w:kern w:val="0"/>
          <w:lang w:eastAsia="en-GB"/>
          <w14:ligatures w14:val="none"/>
        </w:rPr>
        <w:t xml:space="preserve"> 2015</w:t>
      </w:r>
      <w:r w:rsidRPr="00480B82">
        <w:rPr>
          <w:rFonts w:ascii="Times New Roman" w:eastAsia="Times New Roman" w:hAnsi="Times New Roman" w:cs="Times New Roman"/>
          <w:kern w:val="0"/>
          <w:lang w:eastAsia="en-GB"/>
          <w14:ligatures w14:val="none"/>
        </w:rPr>
        <w:t xml:space="preserve">). Crucially, plasmids themselves have undergone profound evolutionary domestication in the post-antibiotic era: a minority of ancestral backbones have fused into large, self-transmissible, multi-replicon vectors that now drive global multidrug resistance dissemination (Cazares et al., </w:t>
      </w:r>
      <w:r w:rsidRPr="00480B82">
        <w:rPr>
          <w:rFonts w:ascii="Times New Roman" w:eastAsia="Times New Roman" w:hAnsi="Times New Roman" w:cs="Times New Roman"/>
          <w:i/>
          <w:iCs/>
          <w:kern w:val="0"/>
          <w:lang w:eastAsia="en-GB"/>
          <w14:ligatures w14:val="none"/>
        </w:rPr>
        <w:t>Science</w:t>
      </w:r>
      <w:r w:rsidRPr="00480B82">
        <w:rPr>
          <w:rFonts w:ascii="Times New Roman" w:eastAsia="Times New Roman" w:hAnsi="Times New Roman" w:cs="Times New Roman"/>
          <w:kern w:val="0"/>
          <w:lang w:eastAsia="en-GB"/>
          <w14:ligatures w14:val="none"/>
        </w:rPr>
        <w:t xml:space="preserve"> 2025).</w:t>
      </w:r>
    </w:p>
    <w:p w14:paraId="24B134F9" w14:textId="0C109066" w:rsidR="00480B82" w:rsidRPr="00480B82" w:rsidRDefault="00443875" w:rsidP="00480B82">
      <w:pPr>
        <w:spacing w:before="100" w:beforeAutospacing="1" w:after="100" w:afterAutospacing="1"/>
        <w:rPr>
          <w:rFonts w:ascii="Times New Roman" w:eastAsia="Times New Roman" w:hAnsi="Times New Roman" w:cs="Times New Roman"/>
          <w:kern w:val="0"/>
          <w:lang w:eastAsia="en-GB"/>
          <w14:ligatures w14:val="none"/>
        </w:rPr>
      </w:pPr>
      <w:r w:rsidRPr="00B05BD9">
        <w:rPr>
          <w:rFonts w:ascii="Times New Roman" w:eastAsia="Times New Roman" w:hAnsi="Times New Roman" w:cs="Times New Roman"/>
          <w:i/>
          <w:iCs/>
          <w:kern w:val="0"/>
          <w:lang w:eastAsia="en-GB"/>
          <w14:ligatures w14:val="none"/>
        </w:rPr>
        <w:t>K. pneumoniae</w:t>
      </w:r>
      <w:r w:rsidRPr="00B05BD9">
        <w:rPr>
          <w:rFonts w:ascii="Times New Roman" w:eastAsia="Times New Roman" w:hAnsi="Times New Roman" w:cs="Times New Roman"/>
          <w:kern w:val="0"/>
          <w:lang w:eastAsia="en-GB"/>
          <w14:ligatures w14:val="none"/>
        </w:rPr>
        <w:t xml:space="preserve"> is a globally expanding AMR pathogen, a major cause of bacteraemia, respiratory mortality, and newborn fatality (&gt;100,000 deaths per year), and is characterised by frequent HGT, capsule recombination, and acquisition of large plasmids carrying AMR and virulence determinants.</w:t>
      </w:r>
      <w:r w:rsidRPr="00B05BD9">
        <w:rPr>
          <w:rFonts w:ascii="Times New Roman" w:eastAsia="Times New Roman" w:hAnsi="Times New Roman" w:cs="Times New Roman"/>
          <w:kern w:val="0"/>
          <w:lang w:eastAsia="en-GB"/>
          <w14:ligatures w14:val="none"/>
        </w:rPr>
        <w:t xml:space="preserve">  </w:t>
      </w:r>
      <w:r w:rsidR="00480B82" w:rsidRPr="00480B82">
        <w:rPr>
          <w:rFonts w:ascii="Times New Roman" w:eastAsia="Times New Roman" w:hAnsi="Times New Roman" w:cs="Times New Roman"/>
          <w:kern w:val="0"/>
          <w:lang w:eastAsia="en-GB"/>
          <w14:ligatures w14:val="none"/>
        </w:rPr>
        <w:t xml:space="preserve">The success of lineages such as ST258 likely reflects a complex and poorly understood interplay of these vertical and horizontal forces. </w:t>
      </w:r>
    </w:p>
    <w:p w14:paraId="5AA0A779" w14:textId="77777777" w:rsidR="00480B82" w:rsidRPr="00480B82" w:rsidRDefault="00480B82" w:rsidP="00480B82">
      <w:pPr>
        <w:spacing w:before="100" w:beforeAutospacing="1" w:after="100" w:afterAutospacing="1"/>
        <w:outlineLvl w:val="1"/>
        <w:rPr>
          <w:rFonts w:ascii="Times New Roman" w:eastAsia="Times New Roman" w:hAnsi="Times New Roman" w:cs="Times New Roman"/>
          <w:b/>
          <w:bCs/>
          <w:kern w:val="0"/>
          <w:sz w:val="28"/>
          <w:szCs w:val="28"/>
          <w:lang w:eastAsia="en-GB"/>
          <w14:ligatures w14:val="none"/>
        </w:rPr>
      </w:pPr>
      <w:r w:rsidRPr="00480B82">
        <w:rPr>
          <w:rFonts w:ascii="Times New Roman" w:eastAsia="Times New Roman" w:hAnsi="Times New Roman" w:cs="Times New Roman"/>
          <w:b/>
          <w:bCs/>
          <w:kern w:val="0"/>
          <w:sz w:val="28"/>
          <w:szCs w:val="28"/>
          <w:lang w:eastAsia="en-GB"/>
          <w14:ligatures w14:val="none"/>
        </w:rPr>
        <w:t>Preliminary Data</w:t>
      </w:r>
    </w:p>
    <w:p w14:paraId="6045B661" w14:textId="3F8D6689" w:rsidR="00480B82" w:rsidRPr="00480B82" w:rsidRDefault="00480B82" w:rsidP="00480B82">
      <w:pPr>
        <w:spacing w:before="100" w:beforeAutospacing="1" w:after="100" w:afterAutospacing="1"/>
        <w:rPr>
          <w:rFonts w:ascii="Times New Roman" w:eastAsia="Times New Roman" w:hAnsi="Times New Roman" w:cs="Times New Roman"/>
          <w:kern w:val="0"/>
          <w:lang w:eastAsia="en-GB"/>
          <w14:ligatures w14:val="none"/>
        </w:rPr>
      </w:pPr>
      <w:r w:rsidRPr="00480B82">
        <w:rPr>
          <w:rFonts w:ascii="Times New Roman" w:eastAsia="Times New Roman" w:hAnsi="Times New Roman" w:cs="Times New Roman"/>
          <w:kern w:val="0"/>
          <w:lang w:eastAsia="en-GB"/>
          <w14:ligatures w14:val="none"/>
        </w:rPr>
        <w:t>I have curated a global dataset of over 8</w:t>
      </w:r>
      <w:r w:rsidR="00967313">
        <w:rPr>
          <w:rFonts w:ascii="Times New Roman" w:eastAsia="Times New Roman" w:hAnsi="Times New Roman" w:cs="Times New Roman"/>
          <w:kern w:val="0"/>
          <w:lang w:eastAsia="en-GB"/>
          <w14:ligatures w14:val="none"/>
        </w:rPr>
        <w:t>8</w:t>
      </w:r>
      <w:r w:rsidRPr="00480B82">
        <w:rPr>
          <w:rFonts w:ascii="Times New Roman" w:eastAsia="Times New Roman" w:hAnsi="Times New Roman" w:cs="Times New Roman"/>
          <w:kern w:val="0"/>
          <w:lang w:eastAsia="en-GB"/>
          <w14:ligatures w14:val="none"/>
        </w:rPr>
        <w:t xml:space="preserve">,000 </w:t>
      </w:r>
      <w:r w:rsidRPr="00480B82">
        <w:rPr>
          <w:rFonts w:ascii="Times New Roman" w:eastAsia="Times New Roman" w:hAnsi="Times New Roman" w:cs="Times New Roman"/>
          <w:i/>
          <w:iCs/>
          <w:kern w:val="0"/>
          <w:lang w:eastAsia="en-GB"/>
          <w14:ligatures w14:val="none"/>
        </w:rPr>
        <w:t>K. pneumoniae</w:t>
      </w:r>
      <w:r w:rsidRPr="00480B82">
        <w:rPr>
          <w:rFonts w:ascii="Times New Roman" w:eastAsia="Times New Roman" w:hAnsi="Times New Roman" w:cs="Times New Roman"/>
          <w:kern w:val="0"/>
          <w:lang w:eastAsia="en-GB"/>
          <w14:ligatures w14:val="none"/>
        </w:rPr>
        <w:t xml:space="preserve"> genomes</w:t>
      </w:r>
      <w:r w:rsidR="00431747">
        <w:rPr>
          <w:rFonts w:ascii="Times New Roman" w:eastAsia="Times New Roman" w:hAnsi="Times New Roman" w:cs="Times New Roman"/>
          <w:kern w:val="0"/>
          <w:lang w:eastAsia="en-GB"/>
          <w14:ligatures w14:val="none"/>
        </w:rPr>
        <w:t xml:space="preserve"> (Figure 1)</w:t>
      </w:r>
      <w:r w:rsidRPr="00480B82">
        <w:rPr>
          <w:rFonts w:ascii="Times New Roman" w:eastAsia="Times New Roman" w:hAnsi="Times New Roman" w:cs="Times New Roman"/>
          <w:kern w:val="0"/>
          <w:lang w:eastAsia="en-GB"/>
          <w14:ligatures w14:val="none"/>
        </w:rPr>
        <w:t>, improving clinical metadata completeness from ~50% to &gt;80% across key categories</w:t>
      </w:r>
      <w:r w:rsidR="00431747">
        <w:rPr>
          <w:rFonts w:ascii="Times New Roman" w:eastAsia="Times New Roman" w:hAnsi="Times New Roman" w:cs="Times New Roman"/>
          <w:kern w:val="0"/>
          <w:lang w:eastAsia="en-GB"/>
          <w14:ligatures w14:val="none"/>
        </w:rPr>
        <w:t xml:space="preserve"> (Figure 2)</w:t>
      </w:r>
      <w:r w:rsidRPr="00480B82">
        <w:rPr>
          <w:rFonts w:ascii="Times New Roman" w:eastAsia="Times New Roman" w:hAnsi="Times New Roman" w:cs="Times New Roman"/>
          <w:kern w:val="0"/>
          <w:lang w:eastAsia="en-GB"/>
          <w14:ligatures w14:val="none"/>
        </w:rPr>
        <w:t>. Exploratory analyses using Kleborate confirm broad global distribution, frequent capsular locus swapping, and routine exchange of exceptionally large genomic sections</w:t>
      </w:r>
      <w:r w:rsidR="00431747">
        <w:rPr>
          <w:rFonts w:ascii="Times New Roman" w:eastAsia="Times New Roman" w:hAnsi="Times New Roman" w:cs="Times New Roman"/>
          <w:kern w:val="0"/>
          <w:lang w:eastAsia="en-GB"/>
          <w14:ligatures w14:val="none"/>
        </w:rPr>
        <w:t xml:space="preserve"> (Figure 3 and 4)</w:t>
      </w:r>
      <w:r w:rsidRPr="00480B82">
        <w:rPr>
          <w:rFonts w:ascii="Times New Roman" w:eastAsia="Times New Roman" w:hAnsi="Times New Roman" w:cs="Times New Roman"/>
          <w:kern w:val="0"/>
          <w:lang w:eastAsia="en-GB"/>
          <w14:ligatures w14:val="none"/>
        </w:rPr>
        <w:t xml:space="preserve"> — validating dataset quality and confirming the viability of high-resolution evolutionary modelling at this scale.</w:t>
      </w:r>
    </w:p>
    <w:p w14:paraId="6013284D" w14:textId="77777777" w:rsidR="00480B82" w:rsidRPr="00480B82" w:rsidRDefault="00480B82" w:rsidP="00480B82">
      <w:pPr>
        <w:spacing w:before="100" w:beforeAutospacing="1" w:after="100" w:afterAutospacing="1"/>
        <w:outlineLvl w:val="1"/>
        <w:rPr>
          <w:rFonts w:ascii="Times New Roman" w:eastAsia="Times New Roman" w:hAnsi="Times New Roman" w:cs="Times New Roman"/>
          <w:b/>
          <w:bCs/>
          <w:kern w:val="0"/>
          <w:sz w:val="28"/>
          <w:szCs w:val="28"/>
          <w:lang w:eastAsia="en-GB"/>
          <w14:ligatures w14:val="none"/>
        </w:rPr>
      </w:pPr>
      <w:r w:rsidRPr="00480B82">
        <w:rPr>
          <w:rFonts w:ascii="Times New Roman" w:eastAsia="Times New Roman" w:hAnsi="Times New Roman" w:cs="Times New Roman"/>
          <w:b/>
          <w:bCs/>
          <w:kern w:val="0"/>
          <w:sz w:val="28"/>
          <w:szCs w:val="28"/>
          <w:lang w:eastAsia="en-GB"/>
          <w14:ligatures w14:val="none"/>
        </w:rPr>
        <w:t>Research Plan</w:t>
      </w:r>
    </w:p>
    <w:p w14:paraId="59FE07D5" w14:textId="3D98B614" w:rsidR="00480B82" w:rsidRPr="00480B82" w:rsidRDefault="00480B82" w:rsidP="00480B82">
      <w:pPr>
        <w:spacing w:before="100" w:beforeAutospacing="1" w:after="100" w:afterAutospacing="1"/>
        <w:rPr>
          <w:rFonts w:ascii="Times New Roman" w:eastAsia="Times New Roman" w:hAnsi="Times New Roman" w:cs="Times New Roman"/>
          <w:kern w:val="0"/>
          <w:lang w:eastAsia="en-GB"/>
          <w14:ligatures w14:val="none"/>
        </w:rPr>
      </w:pPr>
      <w:r w:rsidRPr="00480B82">
        <w:rPr>
          <w:rFonts w:ascii="Times New Roman" w:eastAsia="Times New Roman" w:hAnsi="Times New Roman" w:cs="Times New Roman"/>
          <w:kern w:val="0"/>
          <w:lang w:eastAsia="en-GB"/>
          <w14:ligatures w14:val="none"/>
        </w:rPr>
        <w:t xml:space="preserve">Working within </w:t>
      </w:r>
      <w:r w:rsidR="000B1F12">
        <w:rPr>
          <w:rFonts w:ascii="Times New Roman" w:eastAsia="Times New Roman" w:hAnsi="Times New Roman" w:cs="Times New Roman"/>
          <w:kern w:val="0"/>
          <w:lang w:eastAsia="en-GB"/>
          <w14:ligatures w14:val="none"/>
        </w:rPr>
        <w:t xml:space="preserve">the Floto lab’s </w:t>
      </w:r>
      <w:r w:rsidRPr="00480B82">
        <w:rPr>
          <w:rFonts w:ascii="Times New Roman" w:eastAsia="Times New Roman" w:hAnsi="Times New Roman" w:cs="Times New Roman"/>
          <w:kern w:val="0"/>
          <w:lang w:eastAsia="en-GB"/>
          <w14:ligatures w14:val="none"/>
        </w:rPr>
        <w:t xml:space="preserve">world-leading </w:t>
      </w:r>
      <w:r w:rsidR="000B1F12">
        <w:rPr>
          <w:rFonts w:ascii="Times New Roman" w:eastAsia="Times New Roman" w:hAnsi="Times New Roman" w:cs="Times New Roman"/>
          <w:kern w:val="0"/>
          <w:lang w:eastAsia="en-GB"/>
          <w14:ligatures w14:val="none"/>
        </w:rPr>
        <w:t xml:space="preserve">population genomic team </w:t>
      </w:r>
      <w:r w:rsidRPr="00480B82">
        <w:rPr>
          <w:rFonts w:ascii="Times New Roman" w:eastAsia="Times New Roman" w:hAnsi="Times New Roman" w:cs="Times New Roman"/>
          <w:kern w:val="0"/>
          <w:lang w:eastAsia="en-GB"/>
          <w14:ligatures w14:val="none"/>
        </w:rPr>
        <w:t>(</w:t>
      </w:r>
      <w:r w:rsidR="00AA3671">
        <w:rPr>
          <w:rFonts w:ascii="Times New Roman" w:eastAsia="Times New Roman" w:hAnsi="Times New Roman" w:cs="Times New Roman"/>
          <w:kern w:val="0"/>
          <w:lang w:eastAsia="en-GB"/>
          <w14:ligatures w14:val="none"/>
        </w:rPr>
        <w:t>ref</w:t>
      </w:r>
      <w:r w:rsidRPr="00480B82">
        <w:rPr>
          <w:rFonts w:ascii="Times New Roman" w:eastAsia="Times New Roman" w:hAnsi="Times New Roman" w:cs="Times New Roman"/>
          <w:kern w:val="0"/>
          <w:lang w:eastAsia="en-GB"/>
          <w14:ligatures w14:val="none"/>
        </w:rPr>
        <w:t xml:space="preserve">), </w:t>
      </w:r>
      <w:r w:rsidR="00AA3671">
        <w:rPr>
          <w:rFonts w:ascii="Times New Roman" w:eastAsia="Times New Roman" w:hAnsi="Times New Roman" w:cs="Times New Roman"/>
          <w:kern w:val="0"/>
          <w:lang w:eastAsia="en-GB"/>
          <w14:ligatures w14:val="none"/>
        </w:rPr>
        <w:t>collaborative work will deliver</w:t>
      </w:r>
      <w:r w:rsidRPr="00480B82">
        <w:rPr>
          <w:rFonts w:ascii="Times New Roman" w:eastAsia="Times New Roman" w:hAnsi="Times New Roman" w:cs="Times New Roman"/>
          <w:kern w:val="0"/>
          <w:lang w:eastAsia="en-GB"/>
          <w14:ligatures w14:val="none"/>
        </w:rPr>
        <w:t xml:space="preserve">: high-resolution core genome phylogenies with Bayesian temporal reconstruction to date the emergence and global spread of epidemic lineages; scalable pangenome analysis extending Panaroo </w:t>
      </w:r>
      <w:r w:rsidR="0015062E">
        <w:rPr>
          <w:rFonts w:ascii="Times New Roman" w:eastAsia="Times New Roman" w:hAnsi="Times New Roman" w:cs="Times New Roman"/>
          <w:kern w:val="0"/>
          <w:lang w:eastAsia="en-GB"/>
          <w14:ligatures w14:val="none"/>
        </w:rPr>
        <w:t>will be managed</w:t>
      </w:r>
      <w:r w:rsidRPr="00480B82">
        <w:rPr>
          <w:rFonts w:ascii="Times New Roman" w:eastAsia="Times New Roman" w:hAnsi="Times New Roman" w:cs="Times New Roman"/>
          <w:kern w:val="0"/>
          <w:lang w:eastAsia="en-GB"/>
          <w14:ligatures w14:val="none"/>
        </w:rPr>
        <w:t xml:space="preserve"> in collaboration with the Lee lab </w:t>
      </w:r>
      <w:r w:rsidR="0015062E">
        <w:rPr>
          <w:rFonts w:ascii="Times New Roman" w:eastAsia="Times New Roman" w:hAnsi="Times New Roman" w:cs="Times New Roman"/>
          <w:kern w:val="0"/>
          <w:lang w:eastAsia="en-GB"/>
          <w14:ligatures w14:val="none"/>
        </w:rPr>
        <w:t xml:space="preserve">(ref) </w:t>
      </w:r>
      <w:r w:rsidRPr="00480B82">
        <w:rPr>
          <w:rFonts w:ascii="Times New Roman" w:eastAsia="Times New Roman" w:hAnsi="Times New Roman" w:cs="Times New Roman"/>
          <w:kern w:val="0"/>
          <w:lang w:eastAsia="en-GB"/>
          <w14:ligatures w14:val="none"/>
        </w:rPr>
        <w:t>and Tonkin-Hill</w:t>
      </w:r>
      <w:r w:rsidR="0015062E">
        <w:rPr>
          <w:rFonts w:ascii="Times New Roman" w:eastAsia="Times New Roman" w:hAnsi="Times New Roman" w:cs="Times New Roman"/>
          <w:kern w:val="0"/>
          <w:lang w:eastAsia="en-GB"/>
          <w14:ligatures w14:val="none"/>
        </w:rPr>
        <w:t xml:space="preserve"> (ref)</w:t>
      </w:r>
      <w:r w:rsidRPr="00480B82">
        <w:rPr>
          <w:rFonts w:ascii="Times New Roman" w:eastAsia="Times New Roman" w:hAnsi="Times New Roman" w:cs="Times New Roman"/>
          <w:kern w:val="0"/>
          <w:lang w:eastAsia="en-GB"/>
          <w14:ligatures w14:val="none"/>
        </w:rPr>
        <w:t>; and vertical pathoadaptation mapping using Poisson-based mutational burden tests and PySeer to identify convergent regulatory and gene-content hotspots</w:t>
      </w:r>
      <w:r w:rsidR="00EE05B9">
        <w:rPr>
          <w:rFonts w:ascii="Times New Roman" w:eastAsia="Times New Roman" w:hAnsi="Times New Roman" w:cs="Times New Roman"/>
          <w:kern w:val="0"/>
          <w:lang w:eastAsia="en-GB"/>
          <w14:ligatures w14:val="none"/>
        </w:rPr>
        <w:t xml:space="preserve"> (ref)</w:t>
      </w:r>
      <w:r w:rsidRPr="00480B82">
        <w:rPr>
          <w:rFonts w:ascii="Times New Roman" w:eastAsia="Times New Roman" w:hAnsi="Times New Roman" w:cs="Times New Roman"/>
          <w:kern w:val="0"/>
          <w:lang w:eastAsia="en-GB"/>
          <w14:ligatures w14:val="none"/>
        </w:rPr>
        <w:t>.</w:t>
      </w:r>
    </w:p>
    <w:p w14:paraId="017F6BDF" w14:textId="77777777" w:rsidR="00480B82" w:rsidRPr="00480B82" w:rsidRDefault="00480B82" w:rsidP="00480B82">
      <w:pPr>
        <w:spacing w:before="100" w:beforeAutospacing="1" w:after="100" w:afterAutospacing="1"/>
        <w:rPr>
          <w:rFonts w:ascii="Times New Roman" w:eastAsia="Times New Roman" w:hAnsi="Times New Roman" w:cs="Times New Roman"/>
          <w:kern w:val="0"/>
          <w:lang w:eastAsia="en-GB"/>
          <w14:ligatures w14:val="none"/>
        </w:rPr>
      </w:pPr>
      <w:r w:rsidRPr="00480B82">
        <w:rPr>
          <w:rFonts w:ascii="Times New Roman" w:eastAsia="Times New Roman" w:hAnsi="Times New Roman" w:cs="Times New Roman"/>
          <w:kern w:val="0"/>
          <w:lang w:eastAsia="en-GB"/>
          <w14:ligatures w14:val="none"/>
        </w:rPr>
        <w:lastRenderedPageBreak/>
        <w:t>My specific scientific leadership will focus on horizontal pathoadaptation. I will use ISEScan and MGEfinder to comprehensively characterise insertion sequences, transposons, and MGEs genome-wide; map these onto the Panaroo pangenome graph to resolve dynamic accessory genome structure; and reconstruct how specific plasmid backbones have fused and acquired AMR and virulence cassettes over time. Critically, I will integrate this horizontal variation against our enriched clinical metadata to determine the precise contributions of MGEs and plasmids to AMR phenotype, virulence, and invasive disease — isolating horizontal from vertical evolutionary mechanisms and identifying the specific fitness advantages conferred by each.</w:t>
      </w:r>
    </w:p>
    <w:p w14:paraId="1059F64C" w14:textId="77777777" w:rsidR="00480B82" w:rsidRPr="00480B82" w:rsidRDefault="00480B82" w:rsidP="00480B82">
      <w:pPr>
        <w:spacing w:before="100" w:beforeAutospacing="1" w:after="100" w:afterAutospacing="1"/>
        <w:rPr>
          <w:rFonts w:ascii="Times New Roman" w:eastAsia="Times New Roman" w:hAnsi="Times New Roman" w:cs="Times New Roman"/>
          <w:kern w:val="0"/>
          <w:lang w:eastAsia="en-GB"/>
          <w14:ligatures w14:val="none"/>
        </w:rPr>
      </w:pPr>
      <w:r w:rsidRPr="00480B82">
        <w:rPr>
          <w:rFonts w:ascii="Times New Roman" w:eastAsia="Times New Roman" w:hAnsi="Times New Roman" w:cs="Times New Roman"/>
          <w:i/>
          <w:iCs/>
          <w:kern w:val="0"/>
          <w:lang w:eastAsia="en-GB"/>
          <w14:ligatures w14:val="none"/>
        </w:rPr>
        <w:t>~190 words</w:t>
      </w:r>
    </w:p>
    <w:p w14:paraId="77D2B779" w14:textId="77777777" w:rsidR="00480B82" w:rsidRPr="00480B82" w:rsidRDefault="00176D7F" w:rsidP="00480B82">
      <w:pPr>
        <w:rPr>
          <w:rFonts w:ascii="Times New Roman" w:eastAsia="Times New Roman" w:hAnsi="Times New Roman" w:cs="Times New Roman"/>
          <w:kern w:val="0"/>
          <w:lang w:eastAsia="en-GB"/>
          <w14:ligatures w14:val="none"/>
        </w:rPr>
      </w:pPr>
      <w:r w:rsidRPr="00176D7F">
        <w:rPr>
          <w:rFonts w:ascii="Times New Roman" w:eastAsia="Times New Roman" w:hAnsi="Times New Roman" w:cs="Times New Roman"/>
          <w:noProof/>
          <w:kern w:val="0"/>
          <w:lang w:eastAsia="en-GB"/>
        </w:rPr>
        <w:pict w14:anchorId="753EBB56">
          <v:rect id="_x0000_i1028" alt="" style="width:451.3pt;height:.05pt;mso-width-percent:0;mso-height-percent:0;mso-width-percent:0;mso-height-percent:0" o:hralign="center" o:hrstd="t" o:hr="t" fillcolor="#a0a0a0" stroked="f"/>
        </w:pict>
      </w:r>
    </w:p>
    <w:p w14:paraId="69D5A2C7" w14:textId="3F62A408" w:rsidR="00480B82" w:rsidRPr="00480B82" w:rsidRDefault="00480B82" w:rsidP="00480B82">
      <w:pPr>
        <w:spacing w:before="100" w:beforeAutospacing="1" w:after="100" w:afterAutospacing="1"/>
        <w:rPr>
          <w:rFonts w:ascii="Times New Roman" w:eastAsia="Times New Roman" w:hAnsi="Times New Roman" w:cs="Times New Roman"/>
          <w:kern w:val="0"/>
          <w:lang w:eastAsia="en-GB"/>
          <w14:ligatures w14:val="none"/>
        </w:rPr>
      </w:pPr>
      <w:r w:rsidRPr="00480B82">
        <w:rPr>
          <w:rFonts w:ascii="Times New Roman" w:eastAsia="Times New Roman" w:hAnsi="Times New Roman" w:cs="Times New Roman"/>
          <w:b/>
          <w:bCs/>
          <w:kern w:val="0"/>
          <w:lang w:eastAsia="en-GB"/>
          <w14:ligatures w14:val="none"/>
        </w:rPr>
        <w:t>WP1 total: ~</w:t>
      </w:r>
      <w:r w:rsidR="00CC6C26">
        <w:rPr>
          <w:rFonts w:ascii="Times New Roman" w:eastAsia="Times New Roman" w:hAnsi="Times New Roman" w:cs="Times New Roman"/>
          <w:b/>
          <w:bCs/>
          <w:kern w:val="0"/>
          <w:lang w:eastAsia="en-GB"/>
          <w14:ligatures w14:val="none"/>
        </w:rPr>
        <w:t>510</w:t>
      </w:r>
      <w:r w:rsidRPr="00480B82">
        <w:rPr>
          <w:rFonts w:ascii="Times New Roman" w:eastAsia="Times New Roman" w:hAnsi="Times New Roman" w:cs="Times New Roman"/>
          <w:b/>
          <w:bCs/>
          <w:kern w:val="0"/>
          <w:lang w:eastAsia="en-GB"/>
          <w14:ligatures w14:val="none"/>
        </w:rPr>
        <w:t xml:space="preserve"> words</w:t>
      </w:r>
    </w:p>
    <w:p w14:paraId="488EDF0A" w14:textId="30CAC5BA" w:rsidR="000C45E3" w:rsidRDefault="000C45E3">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57C4030C" w14:textId="00B5F7D2" w:rsidR="00E46E4F" w:rsidRPr="00E46E4F" w:rsidRDefault="00176D7F" w:rsidP="00E46E4F">
      <w:pPr>
        <w:rPr>
          <w:rFonts w:ascii="Times New Roman" w:eastAsia="Times New Roman" w:hAnsi="Times New Roman" w:cs="Times New Roman"/>
          <w:kern w:val="0"/>
          <w:lang w:eastAsia="en-GB"/>
          <w14:ligatures w14:val="none"/>
        </w:rPr>
      </w:pPr>
      <w:r w:rsidRPr="00176D7F">
        <w:rPr>
          <w:rFonts w:ascii="Times New Roman" w:eastAsia="Times New Roman" w:hAnsi="Times New Roman" w:cs="Times New Roman"/>
          <w:noProof/>
          <w:kern w:val="0"/>
          <w:lang w:eastAsia="en-GB"/>
        </w:rPr>
        <w:lastRenderedPageBreak/>
        <w:pict w14:anchorId="27654E0F">
          <v:rect id="_x0000_i1027" alt="" style="width:451.3pt;height:.05pt;mso-width-percent:0;mso-height-percent:0;mso-width-percent:0;mso-height-percent:0" o:hralign="center" o:hrstd="t" o:hr="t" fillcolor="#a0a0a0" stroked="f"/>
        </w:pict>
      </w:r>
    </w:p>
    <w:p w14:paraId="15B5C7EB" w14:textId="77777777" w:rsidR="00E46E4F" w:rsidRPr="00E46E4F" w:rsidRDefault="00E46E4F" w:rsidP="00E46E4F">
      <w:pPr>
        <w:spacing w:before="100" w:beforeAutospacing="1" w:after="100" w:afterAutospacing="1"/>
        <w:rPr>
          <w:rFonts w:ascii="Times New Roman" w:eastAsia="Times New Roman" w:hAnsi="Times New Roman" w:cs="Times New Roman"/>
          <w:kern w:val="0"/>
          <w:lang w:eastAsia="en-GB"/>
          <w14:ligatures w14:val="none"/>
        </w:rPr>
      </w:pPr>
      <w:r w:rsidRPr="00E46E4F">
        <w:rPr>
          <w:rFonts w:ascii="Times New Roman" w:eastAsia="Times New Roman" w:hAnsi="Times New Roman" w:cs="Times New Roman"/>
          <w:b/>
          <w:bCs/>
          <w:kern w:val="0"/>
          <w:lang w:eastAsia="en-GB"/>
          <w14:ligatures w14:val="none"/>
        </w:rPr>
        <w:t xml:space="preserve">WP2: Genome-to-Phenotype Prediction in </w:t>
      </w:r>
      <w:r w:rsidRPr="00E46E4F">
        <w:rPr>
          <w:rFonts w:ascii="Times New Roman" w:eastAsia="Times New Roman" w:hAnsi="Times New Roman" w:cs="Times New Roman"/>
          <w:b/>
          <w:bCs/>
          <w:i/>
          <w:iCs/>
          <w:kern w:val="0"/>
          <w:lang w:eastAsia="en-GB"/>
          <w14:ligatures w14:val="none"/>
        </w:rPr>
        <w:t>Klebsiella</w:t>
      </w:r>
      <w:r w:rsidRPr="00E46E4F">
        <w:rPr>
          <w:rFonts w:ascii="Times New Roman" w:eastAsia="Times New Roman" w:hAnsi="Times New Roman" w:cs="Times New Roman"/>
          <w:b/>
          <w:bCs/>
          <w:kern w:val="0"/>
          <w:lang w:eastAsia="en-GB"/>
          <w14:ligatures w14:val="none"/>
        </w:rPr>
        <w:t xml:space="preserve"> and </w:t>
      </w:r>
      <w:r w:rsidRPr="00E46E4F">
        <w:rPr>
          <w:rFonts w:ascii="Times New Roman" w:eastAsia="Times New Roman" w:hAnsi="Times New Roman" w:cs="Times New Roman"/>
          <w:b/>
          <w:bCs/>
          <w:i/>
          <w:iCs/>
          <w:kern w:val="0"/>
          <w:lang w:eastAsia="en-GB"/>
          <w14:ligatures w14:val="none"/>
        </w:rPr>
        <w:t>Pseudomonas aeruginosa</w:t>
      </w:r>
    </w:p>
    <w:p w14:paraId="7AA8853B" w14:textId="77777777" w:rsidR="00BA0005" w:rsidRPr="00BA0005" w:rsidRDefault="00BA0005" w:rsidP="00BA0005">
      <w:pPr>
        <w:spacing w:before="100" w:beforeAutospacing="1" w:after="100" w:afterAutospacing="1"/>
        <w:rPr>
          <w:rFonts w:ascii="Times New Roman" w:eastAsia="Times New Roman" w:hAnsi="Times New Roman" w:cs="Times New Roman"/>
          <w:kern w:val="0"/>
          <w:lang w:eastAsia="en-GB"/>
          <w14:ligatures w14:val="none"/>
        </w:rPr>
      </w:pPr>
      <w:r w:rsidRPr="00BA0005">
        <w:rPr>
          <w:rFonts w:ascii="Times New Roman" w:eastAsia="Times New Roman" w:hAnsi="Times New Roman" w:cs="Times New Roman"/>
          <w:b/>
          <w:bCs/>
          <w:kern w:val="0"/>
          <w:lang w:eastAsia="en-GB"/>
          <w14:ligatures w14:val="none"/>
        </w:rPr>
        <w:t>Objective:</w:t>
      </w:r>
      <w:r w:rsidRPr="00BA0005">
        <w:rPr>
          <w:rFonts w:ascii="Times New Roman" w:eastAsia="Times New Roman" w:hAnsi="Times New Roman" w:cs="Times New Roman"/>
          <w:kern w:val="0"/>
          <w:lang w:eastAsia="en-GB"/>
          <w14:ligatures w14:val="none"/>
        </w:rPr>
        <w:t xml:space="preserve"> To develop and validate machine learning models that predict clinically critical phenotypes — antimicrobial resistance and invasive disease propensity — directly from whole genome sequence.</w:t>
      </w:r>
    </w:p>
    <w:p w14:paraId="2E0C1980" w14:textId="2673AA8D" w:rsidR="00BA0005" w:rsidRPr="00BA0005" w:rsidRDefault="00BA0005" w:rsidP="00BA0005">
      <w:pPr>
        <w:spacing w:before="100" w:beforeAutospacing="1" w:after="100" w:afterAutospacing="1"/>
        <w:rPr>
          <w:rFonts w:ascii="Times New Roman" w:eastAsia="Times New Roman" w:hAnsi="Times New Roman" w:cs="Times New Roman"/>
          <w:kern w:val="0"/>
          <w:lang w:eastAsia="en-GB"/>
          <w14:ligatures w14:val="none"/>
        </w:rPr>
      </w:pPr>
      <w:r w:rsidRPr="00BA0005">
        <w:rPr>
          <w:rFonts w:ascii="Times New Roman" w:eastAsia="Times New Roman" w:hAnsi="Times New Roman" w:cs="Times New Roman"/>
          <w:b/>
          <w:bCs/>
          <w:kern w:val="0"/>
          <w:lang w:eastAsia="en-GB"/>
          <w14:ligatures w14:val="none"/>
        </w:rPr>
        <w:t>Background and preliminary data</w:t>
      </w:r>
      <w:r w:rsidRPr="00BA0005">
        <w:rPr>
          <w:rFonts w:ascii="Times New Roman" w:eastAsia="Times New Roman" w:hAnsi="Times New Roman" w:cs="Times New Roman"/>
          <w:kern w:val="0"/>
          <w:lang w:eastAsia="en-GB"/>
          <w14:ligatures w14:val="none"/>
        </w:rPr>
        <w:br/>
        <w:t xml:space="preserve">In AMR, translating bacterial genomes into phenotypic predictions has advanced through genome-wide association studies and curated resistance gene catalogues (CARD, AMRFinderPlus), but these annotation-dependent approaches cannot predict complex phenotypes such as invasive disease, nor generalise easily to novel or epistatic genetic interactions. We have developed Bacformer, a whole-genome language model that represents genomes as ordered protein embeddings contextualised to their chromosomal location and pretrained on 1.3 million bacterial genomes; it predicts AMR with AUROC &gt;0.97 </w:t>
      </w:r>
      <w:r w:rsidRPr="00996679">
        <w:rPr>
          <w:rFonts w:ascii="Times New Roman" w:eastAsia="Times New Roman" w:hAnsi="Times New Roman" w:cs="Times New Roman"/>
          <w:kern w:val="0"/>
          <w:lang w:eastAsia="en-GB"/>
          <w14:ligatures w14:val="none"/>
        </w:rPr>
        <w:t xml:space="preserve">over </w:t>
      </w:r>
      <w:r w:rsidR="00585D4E" w:rsidRPr="00996679">
        <w:rPr>
          <w:rFonts w:ascii="Times New Roman" w:eastAsia="Times New Roman" w:hAnsi="Times New Roman" w:cs="Times New Roman"/>
          <w:kern w:val="0"/>
          <w:lang w:eastAsia="en-GB"/>
          <w14:ligatures w14:val="none"/>
        </w:rPr>
        <w:t xml:space="preserve">numerous antibiotics and species tested </w:t>
      </w:r>
      <w:r w:rsidRPr="00BA0005">
        <w:rPr>
          <w:rFonts w:ascii="Times New Roman" w:eastAsia="Times New Roman" w:hAnsi="Times New Roman" w:cs="Times New Roman"/>
          <w:kern w:val="0"/>
          <w:lang w:eastAsia="en-GB"/>
          <w14:ligatures w14:val="none"/>
        </w:rPr>
        <w:t>and identifies causal determinants without prior annotation (Wiatrak, Abelson et al., in submission)</w:t>
      </w:r>
      <w:r w:rsidR="00585D4E" w:rsidRPr="00996679">
        <w:rPr>
          <w:rFonts w:ascii="Times New Roman" w:eastAsia="Times New Roman" w:hAnsi="Times New Roman" w:cs="Times New Roman"/>
          <w:kern w:val="0"/>
          <w:lang w:eastAsia="en-GB"/>
          <w14:ligatures w14:val="none"/>
        </w:rPr>
        <w:t xml:space="preserve">, a step-change in bacterial genomics. </w:t>
      </w:r>
    </w:p>
    <w:p w14:paraId="213B2116" w14:textId="77777777" w:rsidR="00BA0005" w:rsidRPr="00BA0005" w:rsidRDefault="00BA0005" w:rsidP="00BA0005">
      <w:pPr>
        <w:spacing w:before="100" w:beforeAutospacing="1" w:after="100" w:afterAutospacing="1"/>
        <w:rPr>
          <w:rFonts w:ascii="Times New Roman" w:eastAsia="Times New Roman" w:hAnsi="Times New Roman" w:cs="Times New Roman"/>
          <w:kern w:val="0"/>
          <w:lang w:eastAsia="en-GB"/>
          <w14:ligatures w14:val="none"/>
        </w:rPr>
      </w:pPr>
      <w:r w:rsidRPr="00BA0005">
        <w:rPr>
          <w:rFonts w:ascii="Times New Roman" w:eastAsia="Times New Roman" w:hAnsi="Times New Roman" w:cs="Times New Roman"/>
          <w:b/>
          <w:bCs/>
          <w:kern w:val="0"/>
          <w:lang w:eastAsia="en-GB"/>
          <w14:ligatures w14:val="none"/>
        </w:rPr>
        <w:t>Research plan</w:t>
      </w:r>
    </w:p>
    <w:p w14:paraId="74711DCF" w14:textId="7A0CF93A" w:rsidR="00BA0005" w:rsidRPr="00BA0005" w:rsidRDefault="00BA0005" w:rsidP="00BA0005">
      <w:pPr>
        <w:spacing w:before="100" w:beforeAutospacing="1" w:after="100" w:afterAutospacing="1"/>
        <w:rPr>
          <w:rFonts w:ascii="Times New Roman" w:eastAsia="Times New Roman" w:hAnsi="Times New Roman" w:cs="Times New Roman"/>
          <w:kern w:val="0"/>
          <w:lang w:eastAsia="en-GB"/>
          <w14:ligatures w14:val="none"/>
        </w:rPr>
      </w:pPr>
      <w:r w:rsidRPr="00BA0005">
        <w:rPr>
          <w:rFonts w:ascii="Times New Roman" w:eastAsia="Times New Roman" w:hAnsi="Times New Roman" w:cs="Times New Roman"/>
          <w:b/>
          <w:bCs/>
          <w:kern w:val="0"/>
          <w:lang w:eastAsia="en-GB"/>
          <w14:ligatures w14:val="none"/>
        </w:rPr>
        <w:t>i) AMR prediction.</w:t>
      </w:r>
      <w:r w:rsidRPr="00BA0005">
        <w:rPr>
          <w:rFonts w:ascii="Times New Roman" w:eastAsia="Times New Roman" w:hAnsi="Times New Roman" w:cs="Times New Roman"/>
          <w:kern w:val="0"/>
          <w:lang w:eastAsia="en-GB"/>
          <w14:ligatures w14:val="none"/>
        </w:rPr>
        <w:t xml:space="preserve"> The central ambition of this project is to test how accurately phenotype can be predicted where WGS is already performed using a newly released EBI dataset of 7,</w:t>
      </w:r>
      <w:r w:rsidR="00EE6AFD" w:rsidRPr="00996679">
        <w:rPr>
          <w:rFonts w:ascii="Times New Roman" w:eastAsia="Times New Roman" w:hAnsi="Times New Roman" w:cs="Times New Roman"/>
          <w:kern w:val="0"/>
          <w:lang w:eastAsia="en-GB"/>
          <w14:ligatures w14:val="none"/>
        </w:rPr>
        <w:t>231</w:t>
      </w:r>
      <w:r w:rsidRPr="00BA0005">
        <w:rPr>
          <w:rFonts w:ascii="Times New Roman" w:eastAsia="Times New Roman" w:hAnsi="Times New Roman" w:cs="Times New Roman"/>
          <w:kern w:val="0"/>
          <w:lang w:eastAsia="en-GB"/>
          <w14:ligatures w14:val="none"/>
        </w:rPr>
        <w:t xml:space="preserve"> </w:t>
      </w:r>
      <w:r w:rsidR="00585D4E" w:rsidRPr="00996679">
        <w:rPr>
          <w:rFonts w:ascii="Times New Roman" w:eastAsia="Times New Roman" w:hAnsi="Times New Roman" w:cs="Times New Roman"/>
          <w:i/>
          <w:iCs/>
          <w:kern w:val="0"/>
          <w:lang w:eastAsia="en-GB"/>
          <w14:ligatures w14:val="none"/>
        </w:rPr>
        <w:t>K.</w:t>
      </w:r>
      <w:r w:rsidR="00824353" w:rsidRPr="00996679">
        <w:rPr>
          <w:rFonts w:ascii="Times New Roman" w:eastAsia="Times New Roman" w:hAnsi="Times New Roman" w:cs="Times New Roman"/>
          <w:i/>
          <w:iCs/>
          <w:kern w:val="0"/>
          <w:lang w:eastAsia="en-GB"/>
          <w14:ligatures w14:val="none"/>
        </w:rPr>
        <w:t xml:space="preserve"> </w:t>
      </w:r>
      <w:r w:rsidR="00585D4E" w:rsidRPr="00996679">
        <w:rPr>
          <w:rFonts w:ascii="Times New Roman" w:eastAsia="Times New Roman" w:hAnsi="Times New Roman" w:cs="Times New Roman"/>
          <w:i/>
          <w:iCs/>
          <w:kern w:val="0"/>
          <w:lang w:eastAsia="en-GB"/>
          <w14:ligatures w14:val="none"/>
        </w:rPr>
        <w:t>pneumoniae</w:t>
      </w:r>
      <w:r w:rsidR="00585D4E" w:rsidRPr="00996679">
        <w:rPr>
          <w:rFonts w:ascii="Times New Roman" w:eastAsia="Times New Roman" w:hAnsi="Times New Roman" w:cs="Times New Roman"/>
          <w:kern w:val="0"/>
          <w:lang w:eastAsia="en-GB"/>
          <w14:ligatures w14:val="none"/>
        </w:rPr>
        <w:t xml:space="preserve"> </w:t>
      </w:r>
      <w:r w:rsidR="008A6B54" w:rsidRPr="00996679">
        <w:rPr>
          <w:rFonts w:ascii="Times New Roman" w:eastAsia="Times New Roman" w:hAnsi="Times New Roman" w:cs="Times New Roman"/>
          <w:kern w:val="0"/>
          <w:lang w:eastAsia="en-GB"/>
          <w14:ligatures w14:val="none"/>
        </w:rPr>
        <w:t>and</w:t>
      </w:r>
      <w:r w:rsidR="00EE6AFD" w:rsidRPr="00996679">
        <w:rPr>
          <w:rFonts w:ascii="Times New Roman" w:eastAsia="Times New Roman" w:hAnsi="Times New Roman" w:cs="Times New Roman"/>
          <w:kern w:val="0"/>
          <w:lang w:eastAsia="en-GB"/>
          <w14:ligatures w14:val="none"/>
        </w:rPr>
        <w:t xml:space="preserve"> 1,853 </w:t>
      </w:r>
      <w:r w:rsidR="00EE6AFD" w:rsidRPr="00996679">
        <w:rPr>
          <w:rFonts w:ascii="Times New Roman" w:eastAsia="Times New Roman" w:hAnsi="Times New Roman" w:cs="Times New Roman"/>
          <w:i/>
          <w:iCs/>
          <w:kern w:val="0"/>
          <w:lang w:eastAsia="en-GB"/>
          <w14:ligatures w14:val="none"/>
        </w:rPr>
        <w:t>P.</w:t>
      </w:r>
      <w:r w:rsidR="00824353" w:rsidRPr="00996679">
        <w:rPr>
          <w:rFonts w:ascii="Times New Roman" w:eastAsia="Times New Roman" w:hAnsi="Times New Roman" w:cs="Times New Roman"/>
          <w:i/>
          <w:iCs/>
          <w:kern w:val="0"/>
          <w:lang w:eastAsia="en-GB"/>
          <w14:ligatures w14:val="none"/>
        </w:rPr>
        <w:t xml:space="preserve"> </w:t>
      </w:r>
      <w:r w:rsidR="00EE6AFD" w:rsidRPr="00996679">
        <w:rPr>
          <w:rFonts w:ascii="Times New Roman" w:eastAsia="Times New Roman" w:hAnsi="Times New Roman" w:cs="Times New Roman"/>
          <w:i/>
          <w:iCs/>
          <w:kern w:val="0"/>
          <w:lang w:eastAsia="en-GB"/>
          <w14:ligatures w14:val="none"/>
        </w:rPr>
        <w:t>aeruginosa</w:t>
      </w:r>
      <w:r w:rsidR="008A6B54" w:rsidRPr="00996679">
        <w:rPr>
          <w:rFonts w:ascii="Times New Roman" w:eastAsia="Times New Roman" w:hAnsi="Times New Roman" w:cs="Times New Roman"/>
          <w:kern w:val="0"/>
          <w:lang w:eastAsia="en-GB"/>
          <w14:ligatures w14:val="none"/>
        </w:rPr>
        <w:t xml:space="preserve"> </w:t>
      </w:r>
      <w:r w:rsidRPr="00BA0005">
        <w:rPr>
          <w:rFonts w:ascii="Times New Roman" w:eastAsia="Times New Roman" w:hAnsi="Times New Roman" w:cs="Times New Roman"/>
          <w:kern w:val="0"/>
          <w:lang w:eastAsia="en-GB"/>
          <w14:ligatures w14:val="none"/>
        </w:rPr>
        <w:t>isolates. I will test three complementary models: (i) XGBoost on AMRFinderPlus</w:t>
      </w:r>
      <w:r w:rsidR="004E7211" w:rsidRPr="00996679">
        <w:rPr>
          <w:rFonts w:ascii="Times New Roman" w:eastAsia="Times New Roman" w:hAnsi="Times New Roman" w:cs="Times New Roman"/>
          <w:kern w:val="0"/>
          <w:lang w:eastAsia="en-GB"/>
          <w14:ligatures w14:val="none"/>
        </w:rPr>
        <w:t xml:space="preserve"> </w:t>
      </w:r>
      <w:r w:rsidR="004E7211" w:rsidRPr="00BA0005">
        <w:rPr>
          <w:rFonts w:ascii="Times New Roman" w:eastAsia="Times New Roman" w:hAnsi="Times New Roman" w:cs="Times New Roman"/>
          <w:kern w:val="0"/>
          <w:lang w:eastAsia="en-GB"/>
          <w14:ligatures w14:val="none"/>
        </w:rPr>
        <w:t>gene presence/absence profiles</w:t>
      </w:r>
      <w:r w:rsidRPr="00BA0005">
        <w:rPr>
          <w:rFonts w:ascii="Times New Roman" w:eastAsia="Times New Roman" w:hAnsi="Times New Roman" w:cs="Times New Roman"/>
          <w:kern w:val="0"/>
          <w:lang w:eastAsia="en-GB"/>
          <w14:ligatures w14:val="none"/>
        </w:rPr>
        <w:t xml:space="preserve"> as an interpretable baseline, enabling direct comparison of annotation-dependent versus annotation-free approaches; (ii) Bacformer on whole-genome embeddings; and (iii) a hybrid architecture augmenting each protein embedding with AMRFinderPlus annotations to test whether prior biological knowledge improves performance. </w:t>
      </w:r>
      <w:r w:rsidR="004E7211" w:rsidRPr="00BA0005">
        <w:rPr>
          <w:rFonts w:ascii="Times New Roman" w:eastAsia="Times New Roman" w:hAnsi="Times New Roman" w:cs="Times New Roman"/>
          <w:kern w:val="0"/>
          <w:lang w:eastAsia="en-GB"/>
          <w14:ligatures w14:val="none"/>
        </w:rPr>
        <w:t xml:space="preserve">To de-risk the project, I have trained XGBoost models on </w:t>
      </w:r>
      <w:r w:rsidR="00824353" w:rsidRPr="00996679">
        <w:rPr>
          <w:rFonts w:ascii="Times New Roman" w:eastAsia="Times New Roman" w:hAnsi="Times New Roman" w:cs="Times New Roman"/>
          <w:kern w:val="0"/>
          <w:lang w:eastAsia="en-GB"/>
          <w14:ligatures w14:val="none"/>
        </w:rPr>
        <w:t xml:space="preserve">small </w:t>
      </w:r>
      <w:r w:rsidR="004E7211" w:rsidRPr="00BA0005">
        <w:rPr>
          <w:rFonts w:ascii="Times New Roman" w:eastAsia="Times New Roman" w:hAnsi="Times New Roman" w:cs="Times New Roman"/>
          <w:kern w:val="0"/>
          <w:lang w:eastAsia="en-GB"/>
          <w14:ligatures w14:val="none"/>
        </w:rPr>
        <w:t>AMRFinderPlus</w:t>
      </w:r>
      <w:r w:rsidR="00197476" w:rsidRPr="00996679">
        <w:rPr>
          <w:rFonts w:ascii="Times New Roman" w:eastAsia="Times New Roman" w:hAnsi="Times New Roman" w:cs="Times New Roman"/>
          <w:kern w:val="0"/>
          <w:lang w:eastAsia="en-GB"/>
          <w14:ligatures w14:val="none"/>
        </w:rPr>
        <w:t xml:space="preserve"> sets from NCBI</w:t>
      </w:r>
      <w:r w:rsidR="004E7211" w:rsidRPr="00BA0005">
        <w:rPr>
          <w:rFonts w:ascii="Times New Roman" w:eastAsia="Times New Roman" w:hAnsi="Times New Roman" w:cs="Times New Roman"/>
          <w:kern w:val="0"/>
          <w:lang w:eastAsia="en-GB"/>
          <w14:ligatures w14:val="none"/>
        </w:rPr>
        <w:t xml:space="preserve"> [</w:t>
      </w:r>
      <w:r w:rsidR="00824353" w:rsidRPr="00996679">
        <w:rPr>
          <w:rFonts w:ascii="Times New Roman" w:eastAsia="Times New Roman" w:hAnsi="Times New Roman" w:cs="Times New Roman"/>
          <w:i/>
          <w:iCs/>
          <w:kern w:val="0"/>
          <w:lang w:eastAsia="en-GB"/>
          <w14:ligatures w14:val="none"/>
        </w:rPr>
        <w:t>K. pneumoniae</w:t>
      </w:r>
      <w:r w:rsidR="004E7211" w:rsidRPr="00BA0005">
        <w:rPr>
          <w:rFonts w:ascii="Times New Roman" w:eastAsia="Times New Roman" w:hAnsi="Times New Roman" w:cs="Times New Roman"/>
          <w:kern w:val="0"/>
          <w:lang w:eastAsia="en-GB"/>
          <w14:ligatures w14:val="none"/>
        </w:rPr>
        <w:t xml:space="preserve"> (n=1,200); </w:t>
      </w:r>
      <w:r w:rsidR="004E7211" w:rsidRPr="00BA0005">
        <w:rPr>
          <w:rFonts w:ascii="Times New Roman" w:eastAsia="Times New Roman" w:hAnsi="Times New Roman" w:cs="Times New Roman"/>
          <w:i/>
          <w:iCs/>
          <w:kern w:val="0"/>
          <w:lang w:eastAsia="en-GB"/>
          <w14:ligatures w14:val="none"/>
        </w:rPr>
        <w:t>P.aeruginosa</w:t>
      </w:r>
      <w:r w:rsidR="004E7211" w:rsidRPr="00BA0005">
        <w:rPr>
          <w:rFonts w:ascii="Times New Roman" w:eastAsia="Times New Roman" w:hAnsi="Times New Roman" w:cs="Times New Roman"/>
          <w:kern w:val="0"/>
          <w:lang w:eastAsia="en-GB"/>
          <w14:ligatures w14:val="none"/>
        </w:rPr>
        <w:t xml:space="preserve"> (n=450)], achieving AUROC 0.85–0.99 across antibiotics.</w:t>
      </w:r>
    </w:p>
    <w:p w14:paraId="32917FB7" w14:textId="77777777" w:rsidR="00BA0005" w:rsidRPr="00BA0005" w:rsidRDefault="00BA0005" w:rsidP="00BA0005">
      <w:pPr>
        <w:spacing w:before="100" w:beforeAutospacing="1" w:after="100" w:afterAutospacing="1"/>
        <w:rPr>
          <w:rFonts w:ascii="Times New Roman" w:eastAsia="Times New Roman" w:hAnsi="Times New Roman" w:cs="Times New Roman"/>
          <w:kern w:val="0"/>
          <w:lang w:eastAsia="en-GB"/>
          <w14:ligatures w14:val="none"/>
        </w:rPr>
      </w:pPr>
      <w:r w:rsidRPr="00BA0005">
        <w:rPr>
          <w:rFonts w:ascii="Times New Roman" w:eastAsia="Times New Roman" w:hAnsi="Times New Roman" w:cs="Times New Roman"/>
          <w:b/>
          <w:bCs/>
          <w:kern w:val="0"/>
          <w:lang w:eastAsia="en-GB"/>
          <w14:ligatures w14:val="none"/>
        </w:rPr>
        <w:t>ii) Invasive disease prediction.</w:t>
      </w:r>
      <w:r w:rsidRPr="00BA0005">
        <w:rPr>
          <w:rFonts w:ascii="Times New Roman" w:eastAsia="Times New Roman" w:hAnsi="Times New Roman" w:cs="Times New Roman"/>
          <w:kern w:val="0"/>
          <w:lang w:eastAsia="en-GB"/>
          <w14:ligatures w14:val="none"/>
        </w:rPr>
        <w:t xml:space="preserve"> Extending beyond resistance to a more complex phenotype, we have established a global </w:t>
      </w:r>
      <w:r w:rsidRPr="00BA0005">
        <w:rPr>
          <w:rFonts w:ascii="Times New Roman" w:eastAsia="Times New Roman" w:hAnsi="Times New Roman" w:cs="Times New Roman"/>
          <w:i/>
          <w:iCs/>
          <w:kern w:val="0"/>
          <w:lang w:eastAsia="en-GB"/>
          <w14:ligatures w14:val="none"/>
        </w:rPr>
        <w:t>Klebsiella</w:t>
      </w:r>
      <w:r w:rsidRPr="00BA0005">
        <w:rPr>
          <w:rFonts w:ascii="Times New Roman" w:eastAsia="Times New Roman" w:hAnsi="Times New Roman" w:cs="Times New Roman"/>
          <w:kern w:val="0"/>
          <w:lang w:eastAsia="en-GB"/>
          <w14:ligatures w14:val="none"/>
        </w:rPr>
        <w:t xml:space="preserve"> test set of ~10,500 genomes balanced for invasive (blood) and commensal (stool) isolates from ~23,000 samples, with stratified sampling by country to reduce bias. There are no known genes in </w:t>
      </w:r>
      <w:r w:rsidRPr="00BA0005">
        <w:rPr>
          <w:rFonts w:ascii="Times New Roman" w:eastAsia="Times New Roman" w:hAnsi="Times New Roman" w:cs="Times New Roman"/>
          <w:i/>
          <w:iCs/>
          <w:kern w:val="0"/>
          <w:lang w:eastAsia="en-GB"/>
          <w14:ligatures w14:val="none"/>
        </w:rPr>
        <w:t>Klebsiella</w:t>
      </w:r>
      <w:r w:rsidRPr="00BA0005">
        <w:rPr>
          <w:rFonts w:ascii="Times New Roman" w:eastAsia="Times New Roman" w:hAnsi="Times New Roman" w:cs="Times New Roman"/>
          <w:kern w:val="0"/>
          <w:lang w:eastAsia="en-GB"/>
          <w14:ligatures w14:val="none"/>
        </w:rPr>
        <w:t xml:space="preserve"> that drive this switch, which is fundamental to understanding human disease, and most bloodstream infections are currently understood to be representative of the patient's own gut microbiome (reference). We will also model across urine (n≈13,500), respiratory (n≈6,500), and wound/abscess (n≈3,500) sources. To compare performance, we will run PySeer GWAS.</w:t>
      </w:r>
    </w:p>
    <w:p w14:paraId="12DD7084" w14:textId="77777777" w:rsidR="00BA0005" w:rsidRPr="00BA0005" w:rsidRDefault="00BA0005" w:rsidP="00BA0005">
      <w:pPr>
        <w:spacing w:before="100" w:beforeAutospacing="1" w:after="100" w:afterAutospacing="1"/>
        <w:rPr>
          <w:rFonts w:ascii="Times New Roman" w:eastAsia="Times New Roman" w:hAnsi="Times New Roman" w:cs="Times New Roman"/>
          <w:kern w:val="0"/>
          <w:lang w:eastAsia="en-GB"/>
          <w14:ligatures w14:val="none"/>
        </w:rPr>
      </w:pPr>
      <w:r w:rsidRPr="00BA0005">
        <w:rPr>
          <w:rFonts w:ascii="Times New Roman" w:eastAsia="Times New Roman" w:hAnsi="Times New Roman" w:cs="Times New Roman"/>
          <w:b/>
          <w:bCs/>
          <w:kern w:val="0"/>
          <w:lang w:eastAsia="en-GB"/>
          <w14:ligatures w14:val="none"/>
        </w:rPr>
        <w:t>iii) Possible improvements to Bacformer:</w:t>
      </w:r>
      <w:r w:rsidRPr="00BA0005">
        <w:rPr>
          <w:rFonts w:ascii="Times New Roman" w:eastAsia="Times New Roman" w:hAnsi="Times New Roman" w:cs="Times New Roman"/>
          <w:kern w:val="0"/>
          <w:lang w:eastAsia="en-GB"/>
          <w14:ligatures w14:val="none"/>
        </w:rPr>
        <w:br/>
      </w:r>
      <w:r w:rsidRPr="00BA0005">
        <w:rPr>
          <w:rFonts w:ascii="Times New Roman" w:eastAsia="Times New Roman" w:hAnsi="Times New Roman" w:cs="Times New Roman"/>
          <w:b/>
          <w:bCs/>
          <w:kern w:val="0"/>
          <w:lang w:eastAsia="en-GB"/>
          <w14:ligatures w14:val="none"/>
        </w:rPr>
        <w:t>a) Plasmids:</w:t>
      </w:r>
      <w:r w:rsidRPr="00BA0005">
        <w:rPr>
          <w:rFonts w:ascii="Times New Roman" w:eastAsia="Times New Roman" w:hAnsi="Times New Roman" w:cs="Times New Roman"/>
          <w:kern w:val="0"/>
          <w:lang w:eastAsia="en-GB"/>
          <w14:ligatures w14:val="none"/>
        </w:rPr>
        <w:t xml:space="preserve"> Plasmids are fundamental to AMR and HGT but present a fundamental architectural challenge and it is unclear whether Bacformer currently captures their cross-lineage contribution to resistance. We will test if Bacformer protein embeddings from plasmids cluster together across lineages or species. Failure to cluster would identify a significant model limitation and directly motivate architectural modifications — such as plasmid-specific positional encoding — fed back into Bacformer development to fundamentally improve modelling of HGT and shared AMR across species.</w:t>
      </w:r>
    </w:p>
    <w:p w14:paraId="5432340B" w14:textId="56711EA2" w:rsidR="00BA0005" w:rsidRPr="00BA0005" w:rsidRDefault="00BA0005" w:rsidP="00BA0005">
      <w:pPr>
        <w:spacing w:before="100" w:beforeAutospacing="1" w:after="100" w:afterAutospacing="1"/>
        <w:rPr>
          <w:rFonts w:ascii="Times New Roman" w:eastAsia="Times New Roman" w:hAnsi="Times New Roman" w:cs="Times New Roman"/>
          <w:kern w:val="0"/>
          <w:lang w:eastAsia="en-GB"/>
          <w14:ligatures w14:val="none"/>
        </w:rPr>
      </w:pPr>
      <w:r w:rsidRPr="00BA0005">
        <w:rPr>
          <w:rFonts w:ascii="Times New Roman" w:eastAsia="Times New Roman" w:hAnsi="Times New Roman" w:cs="Times New Roman"/>
          <w:b/>
          <w:bCs/>
          <w:kern w:val="0"/>
          <w:lang w:eastAsia="en-GB"/>
          <w14:ligatures w14:val="none"/>
        </w:rPr>
        <w:lastRenderedPageBreak/>
        <w:t>b)</w:t>
      </w:r>
      <w:r w:rsidR="00E654B4" w:rsidRPr="00996679">
        <w:rPr>
          <w:rFonts w:ascii="Times New Roman" w:hAnsi="Times New Roman" w:cs="Times New Roman"/>
        </w:rPr>
        <w:t xml:space="preserve"> </w:t>
      </w:r>
      <w:r w:rsidR="00E654B4" w:rsidRPr="00E654B4">
        <w:rPr>
          <w:rFonts w:ascii="Times New Roman" w:hAnsi="Times New Roman" w:cs="Times New Roman"/>
          <w:b/>
          <w:bCs/>
        </w:rPr>
        <w:t>Non-coding genome:</w:t>
      </w:r>
      <w:r w:rsidR="00E654B4">
        <w:rPr>
          <w:rFonts w:ascii="Times New Roman" w:hAnsi="Times New Roman" w:cs="Times New Roman"/>
        </w:rPr>
        <w:t xml:space="preserve"> </w:t>
      </w:r>
      <w:r w:rsidR="00C67016" w:rsidRPr="00996679">
        <w:rPr>
          <w:rFonts w:ascii="Times New Roman" w:hAnsi="Times New Roman" w:cs="Times New Roman"/>
        </w:rPr>
        <w:t>Regulatory elements, promoter regions, and intergenic sequences are entirely absent from Bacformer's current input, yet are known to drive resistance gene expression and host adaptation. We will fine-tune the next-generation hybrid protein and DNA language model (in training, available ~June 2026) on both AMR and invasive disease prediction tasks. Improvement would implicate regulatory control beyond coding sequence</w:t>
      </w:r>
      <w:r w:rsidR="00B008D2" w:rsidRPr="00996679">
        <w:rPr>
          <w:rFonts w:ascii="Times New Roman" w:hAnsi="Times New Roman" w:cs="Times New Roman"/>
        </w:rPr>
        <w:t xml:space="preserve"> of </w:t>
      </w:r>
      <w:r w:rsidR="00C67016" w:rsidRPr="00996679">
        <w:rPr>
          <w:rFonts w:ascii="Times New Roman" w:hAnsi="Times New Roman" w:cs="Times New Roman"/>
        </w:rPr>
        <w:t xml:space="preserve">gene content alone as a driver of tissue </w:t>
      </w:r>
      <w:r w:rsidR="00B008D2" w:rsidRPr="00996679">
        <w:rPr>
          <w:rFonts w:ascii="Times New Roman" w:hAnsi="Times New Roman" w:cs="Times New Roman"/>
        </w:rPr>
        <w:t>phenotype</w:t>
      </w:r>
      <w:r w:rsidR="00C67016" w:rsidRPr="00996679">
        <w:rPr>
          <w:rFonts w:ascii="Times New Roman" w:hAnsi="Times New Roman" w:cs="Times New Roman"/>
        </w:rPr>
        <w:t>. Each outcome is biologically informative, regardless of whether performance improves.</w:t>
      </w:r>
    </w:p>
    <w:p w14:paraId="06ADCE94" w14:textId="32B7DEEE" w:rsidR="001436B2" w:rsidRPr="001436B2" w:rsidRDefault="00176D7F" w:rsidP="001436B2">
      <w:pPr>
        <w:rPr>
          <w:rFonts w:ascii="Times New Roman" w:eastAsia="Times New Roman" w:hAnsi="Times New Roman" w:cs="Times New Roman"/>
          <w:kern w:val="0"/>
          <w:lang w:eastAsia="en-GB"/>
          <w14:ligatures w14:val="none"/>
        </w:rPr>
      </w:pPr>
      <w:r w:rsidRPr="00176D7F">
        <w:rPr>
          <w:rFonts w:ascii="Times New Roman" w:eastAsia="Times New Roman" w:hAnsi="Times New Roman" w:cs="Times New Roman"/>
          <w:noProof/>
          <w:kern w:val="0"/>
          <w:lang w:eastAsia="en-GB"/>
        </w:rPr>
        <w:pict w14:anchorId="028298BA">
          <v:rect id="_x0000_i1026" alt="" style="width:451.3pt;height:.05pt;mso-width-percent:0;mso-height-percent:0;mso-width-percent:0;mso-height-percent:0" o:hralign="center" o:hrstd="t" o:hr="t" fillcolor="#a0a0a0" stroked="f"/>
        </w:pict>
      </w:r>
    </w:p>
    <w:p w14:paraId="54DAA69B" w14:textId="3CF8C1B0" w:rsidR="001436B2" w:rsidRPr="00996679" w:rsidRDefault="001436B2" w:rsidP="001436B2">
      <w:pPr>
        <w:spacing w:before="100" w:beforeAutospacing="1" w:after="100" w:afterAutospacing="1"/>
        <w:rPr>
          <w:rFonts w:ascii="Times New Roman" w:eastAsia="Times New Roman" w:hAnsi="Times New Roman" w:cs="Times New Roman"/>
          <w:kern w:val="0"/>
          <w:lang w:eastAsia="en-GB"/>
          <w14:ligatures w14:val="none"/>
        </w:rPr>
      </w:pPr>
      <w:r w:rsidRPr="001436B2">
        <w:rPr>
          <w:rFonts w:ascii="Times New Roman" w:eastAsia="Times New Roman" w:hAnsi="Times New Roman" w:cs="Times New Roman"/>
          <w:b/>
          <w:bCs/>
          <w:kern w:val="0"/>
          <w:lang w:eastAsia="en-GB"/>
          <w14:ligatures w14:val="none"/>
        </w:rPr>
        <w:t xml:space="preserve">WP2 total: </w:t>
      </w:r>
      <w:r w:rsidR="00700625" w:rsidRPr="00996679">
        <w:rPr>
          <w:rFonts w:ascii="Times New Roman" w:eastAsia="Times New Roman" w:hAnsi="Times New Roman" w:cs="Times New Roman"/>
          <w:kern w:val="0"/>
          <w:lang w:eastAsia="en-GB"/>
          <w14:ligatures w14:val="none"/>
        </w:rPr>
        <w:t>512</w:t>
      </w:r>
      <w:r w:rsidR="006C3E8C" w:rsidRPr="00996679">
        <w:rPr>
          <w:rFonts w:ascii="Times New Roman" w:eastAsia="Times New Roman" w:hAnsi="Times New Roman" w:cs="Times New Roman"/>
          <w:kern w:val="0"/>
          <w:lang w:eastAsia="en-GB"/>
          <w14:ligatures w14:val="none"/>
        </w:rPr>
        <w:t xml:space="preserve"> words</w:t>
      </w:r>
    </w:p>
    <w:p w14:paraId="16508CD6" w14:textId="77777777" w:rsidR="001436B2" w:rsidRDefault="001436B2">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6BE4CDA2" w14:textId="77777777" w:rsidR="002D4789" w:rsidRPr="002D4789" w:rsidRDefault="00176D7F" w:rsidP="002D4789">
      <w:pPr>
        <w:rPr>
          <w:rFonts w:ascii="Times New Roman" w:eastAsia="Times New Roman" w:hAnsi="Times New Roman" w:cs="Times New Roman"/>
          <w:kern w:val="0"/>
          <w:lang w:eastAsia="en-GB"/>
          <w14:ligatures w14:val="none"/>
        </w:rPr>
      </w:pPr>
      <w:r w:rsidRPr="00176D7F">
        <w:rPr>
          <w:rFonts w:ascii="Times New Roman" w:eastAsia="Times New Roman" w:hAnsi="Times New Roman" w:cs="Times New Roman"/>
          <w:noProof/>
          <w:kern w:val="0"/>
          <w:lang w:eastAsia="en-GB"/>
        </w:rPr>
        <w:lastRenderedPageBreak/>
        <w:pict w14:anchorId="0099DEFB">
          <v:rect id="_x0000_i1025" alt="" style="width:451.3pt;height:.05pt;mso-width-percent:0;mso-height-percent:0;mso-width-percent:0;mso-height-percent:0" o:hralign="center" o:hrstd="t" o:hr="t" fillcolor="#a0a0a0" stroked="f"/>
        </w:pict>
      </w:r>
    </w:p>
    <w:p w14:paraId="43B19F03" w14:textId="77777777" w:rsidR="002D4789" w:rsidRPr="002D4789" w:rsidRDefault="002D4789" w:rsidP="002D478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D4789">
        <w:rPr>
          <w:rFonts w:ascii="Times New Roman" w:eastAsia="Times New Roman" w:hAnsi="Times New Roman" w:cs="Times New Roman"/>
          <w:b/>
          <w:bCs/>
          <w:kern w:val="0"/>
          <w:sz w:val="36"/>
          <w:szCs w:val="36"/>
          <w:lang w:eastAsia="en-GB"/>
          <w14:ligatures w14:val="none"/>
        </w:rPr>
        <w:t>Reworked Draft: WP3 Background &amp; Research Plan</w:t>
      </w:r>
    </w:p>
    <w:p w14:paraId="102E03CB" w14:textId="77777777" w:rsidR="002D4789" w:rsidRPr="002D4789" w:rsidRDefault="002D4789" w:rsidP="002D4789">
      <w:pPr>
        <w:spacing w:before="100" w:beforeAutospacing="1" w:after="100" w:afterAutospacing="1"/>
        <w:rPr>
          <w:rFonts w:ascii="Times New Roman" w:eastAsia="Times New Roman" w:hAnsi="Times New Roman" w:cs="Times New Roman"/>
          <w:kern w:val="0"/>
          <w:lang w:eastAsia="en-GB"/>
          <w14:ligatures w14:val="none"/>
        </w:rPr>
      </w:pPr>
      <w:r w:rsidRPr="002D4789">
        <w:rPr>
          <w:rFonts w:ascii="Times New Roman" w:eastAsia="Times New Roman" w:hAnsi="Times New Roman" w:cs="Times New Roman"/>
          <w:b/>
          <w:bCs/>
          <w:kern w:val="0"/>
          <w:lang w:eastAsia="en-GB"/>
          <w14:ligatures w14:val="none"/>
        </w:rPr>
        <w:t>WP3: Clinical Antibiotic Prediction in Chronic Lung Infection</w:t>
      </w:r>
      <w:r w:rsidRPr="002D4789">
        <w:rPr>
          <w:rFonts w:ascii="Times New Roman" w:eastAsia="Times New Roman" w:hAnsi="Times New Roman" w:cs="Times New Roman"/>
          <w:kern w:val="0"/>
          <w:lang w:eastAsia="en-GB"/>
          <w14:ligatures w14:val="none"/>
        </w:rPr>
        <w:br/>
      </w:r>
      <w:r w:rsidRPr="002D4789">
        <w:rPr>
          <w:rFonts w:ascii="Times New Roman" w:eastAsia="Times New Roman" w:hAnsi="Times New Roman" w:cs="Times New Roman"/>
          <w:b/>
          <w:bCs/>
          <w:kern w:val="0"/>
          <w:lang w:eastAsia="en-GB"/>
          <w14:ligatures w14:val="none"/>
        </w:rPr>
        <w:t>Objective:</w:t>
      </w:r>
      <w:r w:rsidRPr="002D4789">
        <w:rPr>
          <w:rFonts w:ascii="Times New Roman" w:eastAsia="Times New Roman" w:hAnsi="Times New Roman" w:cs="Times New Roman"/>
          <w:kern w:val="0"/>
          <w:lang w:eastAsia="en-GB"/>
          <w14:ligatures w14:val="none"/>
        </w:rPr>
        <w:t xml:space="preserve"> To determine whether whole genome sequence data, integrated with longitudinal clinical metadata, can predict antibiotic treatment efficacy in chronic respiratory infection — moving beyond the fundamental limitations of standard culture and AST — and to characterise the microbial and genomic mechanisms underlying treatment failure.</w:t>
      </w:r>
    </w:p>
    <w:p w14:paraId="6E29762D" w14:textId="77777777" w:rsidR="00182ACE" w:rsidRPr="00182ACE" w:rsidRDefault="00182ACE" w:rsidP="00182ACE">
      <w:pPr>
        <w:spacing w:before="100" w:beforeAutospacing="1" w:after="100" w:afterAutospacing="1"/>
        <w:rPr>
          <w:rFonts w:ascii="Times New Roman" w:eastAsia="Times New Roman" w:hAnsi="Times New Roman" w:cs="Times New Roman"/>
          <w:kern w:val="0"/>
          <w:lang w:eastAsia="en-GB"/>
          <w14:ligatures w14:val="none"/>
        </w:rPr>
      </w:pPr>
      <w:r w:rsidRPr="00182ACE">
        <w:rPr>
          <w:rFonts w:ascii="Times New Roman" w:eastAsia="Times New Roman" w:hAnsi="Times New Roman" w:cs="Times New Roman"/>
          <w:b/>
          <w:bCs/>
          <w:kern w:val="0"/>
          <w:lang w:eastAsia="en-GB"/>
          <w14:ligatures w14:val="none"/>
        </w:rPr>
        <w:t>Background</w:t>
      </w:r>
    </w:p>
    <w:p w14:paraId="2F6D42E8" w14:textId="77777777" w:rsidR="00AB566B" w:rsidRDefault="00AB566B" w:rsidP="00AB566B">
      <w:pPr>
        <w:pStyle w:val="my-2"/>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Standard AST is a poor predictor of clinical outcome. Even in ideal free-floating, monomicrobial infections, it remains unreliable. Most clinical infections are polymicrobial and non-planktonic—settings where AST has almost no predictive value (Doern &amp; Brecher, 2011).</w:t>
      </w:r>
    </w:p>
    <w:p w14:paraId="0DAC9760" w14:textId="77777777" w:rsidR="00AB566B" w:rsidRDefault="00AB566B" w:rsidP="00AB566B">
      <w:pPr>
        <w:pStyle w:val="my-2"/>
        <w:pBdr>
          <w:top w:val="single" w:sz="2" w:space="0" w:color="auto"/>
          <w:left w:val="single" w:sz="2" w:space="0" w:color="auto"/>
          <w:bottom w:val="single" w:sz="2" w:space="0" w:color="auto"/>
          <w:right w:val="single" w:sz="2" w:space="0" w:color="auto"/>
        </w:pBdr>
        <w:rPr>
          <w:rFonts w:ascii="pplxSerif" w:hAnsi="pplxSerif"/>
        </w:rPr>
      </w:pPr>
      <w:r>
        <w:rPr>
          <w:rFonts w:ascii="pplxSerif" w:hAnsi="pplxSerif"/>
        </w:rPr>
        <w:t>Two mechanisms drive this failure. First, polymicrobial communities confer antibiotic protection to co-habiting pathogens (O'Brien et al., 2022). Second, MIC varies profoundly with growth environment (Haaber et al., 2012). Chronic lung infections exemplify this: their polyclonal (Bos et al., 2023), structurally complex nature decouples </w:t>
      </w:r>
      <w:r>
        <w:rPr>
          <w:rStyle w:val="Emphasis"/>
          <w:rFonts w:ascii="pplxSerif" w:eastAsiaTheme="majorEastAsia" w:hAnsi="pplxSerif"/>
          <w:bdr w:val="single" w:sz="2" w:space="0" w:color="auto" w:frame="1"/>
        </w:rPr>
        <w:t>in vivo</w:t>
      </w:r>
      <w:r>
        <w:rPr>
          <w:rFonts w:ascii="pplxSerif" w:hAnsi="pplxSerif"/>
        </w:rPr>
        <w:t> efficacy from </w:t>
      </w:r>
      <w:r>
        <w:rPr>
          <w:rStyle w:val="Emphasis"/>
          <w:rFonts w:ascii="pplxSerif" w:eastAsiaTheme="majorEastAsia" w:hAnsi="pplxSerif"/>
          <w:bdr w:val="single" w:sz="2" w:space="0" w:color="auto" w:frame="1"/>
        </w:rPr>
        <w:t>in vitro</w:t>
      </w:r>
      <w:r>
        <w:rPr>
          <w:rFonts w:ascii="pplxSerif" w:hAnsi="pplxSerif"/>
        </w:rPr>
        <w:t> susceptibility (Somayaji et al., 2019), leaving antibiograms static despite fluctuating outcomes (Fodor et al., 2012).</w:t>
      </w:r>
    </w:p>
    <w:p w14:paraId="71D790F6" w14:textId="119D895F" w:rsidR="0076382F" w:rsidRDefault="0076382F" w:rsidP="002D4789">
      <w:pPr>
        <w:spacing w:before="100" w:beforeAutospacing="1" w:after="100" w:afterAutospacing="1"/>
        <w:rPr>
          <w:rFonts w:ascii="pplxSerif" w:hAnsi="pplxSerif"/>
        </w:rPr>
      </w:pPr>
      <w:r>
        <w:rPr>
          <w:rFonts w:ascii="pplxSerif" w:hAnsi="pplxSerif"/>
        </w:rPr>
        <w:t>This demands culture</w:t>
      </w:r>
      <w:r>
        <w:rPr>
          <w:rFonts w:ascii="pplxSerif" w:hAnsi="pplxSerif"/>
        </w:rPr>
        <w:noBreakHyphen/>
        <w:t>independent prediction. Outcome models must take as input the true strain and species composition of the infecting community, including strain switching and polyclonality</w:t>
      </w:r>
      <w:r>
        <w:rPr>
          <w:rFonts w:ascii="pplxSerif" w:hAnsi="pplxSerif"/>
        </w:rPr>
        <w:t xml:space="preserve"> (Stracey et al, 2022)</w:t>
      </w:r>
      <w:r>
        <w:rPr>
          <w:rFonts w:ascii="pplxSerif" w:hAnsi="pplxSerif"/>
        </w:rPr>
        <w:t>, but they must be independent of both culture and AST. Genomics offers this: resolving community structure directly from clinical samples, integrating it with patient metadata, and training ML models that bypass AST entirely</w:t>
      </w:r>
      <w:r>
        <w:rPr>
          <w:rFonts w:ascii="pplxSerif" w:hAnsi="pplxSerif"/>
        </w:rPr>
        <w:t xml:space="preserve">. </w:t>
      </w:r>
    </w:p>
    <w:p w14:paraId="1CC12580" w14:textId="4749B5FD" w:rsidR="002D4789" w:rsidRPr="002D4789" w:rsidRDefault="002D4789" w:rsidP="002D4789">
      <w:pPr>
        <w:spacing w:before="100" w:beforeAutospacing="1" w:after="100" w:afterAutospacing="1"/>
        <w:rPr>
          <w:rFonts w:ascii="Times New Roman" w:eastAsia="Times New Roman" w:hAnsi="Times New Roman" w:cs="Times New Roman"/>
          <w:kern w:val="0"/>
          <w:lang w:eastAsia="en-GB"/>
          <w14:ligatures w14:val="none"/>
        </w:rPr>
      </w:pPr>
      <w:r w:rsidRPr="002D4789">
        <w:rPr>
          <w:rFonts w:ascii="Times New Roman" w:eastAsia="Times New Roman" w:hAnsi="Times New Roman" w:cs="Times New Roman"/>
          <w:b/>
          <w:bCs/>
          <w:kern w:val="0"/>
          <w:lang w:eastAsia="en-GB"/>
          <w14:ligatures w14:val="none"/>
        </w:rPr>
        <w:t>The SputaGen Cohort</w:t>
      </w:r>
      <w:r w:rsidRPr="002D4789">
        <w:rPr>
          <w:rFonts w:ascii="Times New Roman" w:eastAsia="Times New Roman" w:hAnsi="Times New Roman" w:cs="Times New Roman"/>
          <w:kern w:val="0"/>
          <w:lang w:eastAsia="en-GB"/>
          <w14:ligatures w14:val="none"/>
        </w:rPr>
        <w:br/>
        <w:t>The Floto Laboratory and Cambridge Centre for Lung Infection have established a prospective cohort specifically designed to address this challenge. The SputaGen study — which I designed and lead as Principal Investigator — has collected 642 intravenous antibiotic courses from patients with chronic lung infection, with standardised sputum samples collected before, during, and after each course, yielding a biobank of 1,273 longitudinally linked samples.</w:t>
      </w:r>
    </w:p>
    <w:p w14:paraId="38C85D77" w14:textId="1222614B" w:rsidR="002D4789" w:rsidRPr="002D4789" w:rsidRDefault="002D4789" w:rsidP="002D4789">
      <w:pPr>
        <w:spacing w:before="100" w:beforeAutospacing="1" w:after="100" w:afterAutospacing="1"/>
        <w:rPr>
          <w:rFonts w:ascii="Times New Roman" w:eastAsia="Times New Roman" w:hAnsi="Times New Roman" w:cs="Times New Roman"/>
          <w:kern w:val="0"/>
          <w:lang w:eastAsia="en-GB"/>
          <w14:ligatures w14:val="none"/>
        </w:rPr>
      </w:pPr>
      <w:r w:rsidRPr="002D4789">
        <w:rPr>
          <w:rFonts w:ascii="Times New Roman" w:eastAsia="Times New Roman" w:hAnsi="Times New Roman" w:cs="Times New Roman"/>
          <w:b/>
          <w:bCs/>
          <w:kern w:val="0"/>
          <w:lang w:eastAsia="en-GB"/>
          <w14:ligatures w14:val="none"/>
        </w:rPr>
        <w:t>Research Plan</w:t>
      </w:r>
      <w:r w:rsidRPr="002D4789">
        <w:rPr>
          <w:rFonts w:ascii="Times New Roman" w:eastAsia="Times New Roman" w:hAnsi="Times New Roman" w:cs="Times New Roman"/>
          <w:kern w:val="0"/>
          <w:lang w:eastAsia="en-GB"/>
          <w14:ligatures w14:val="none"/>
        </w:rPr>
        <w:br/>
      </w:r>
      <w:r w:rsidRPr="002D4789">
        <w:rPr>
          <w:rFonts w:ascii="Times New Roman" w:eastAsia="Times New Roman" w:hAnsi="Times New Roman" w:cs="Times New Roman"/>
          <w:b/>
          <w:bCs/>
          <w:strike/>
          <w:kern w:val="0"/>
          <w:lang w:eastAsia="en-GB"/>
          <w14:ligatures w14:val="none"/>
        </w:rPr>
        <w:t>a) AST versus Outcomes.</w:t>
      </w:r>
      <w:r w:rsidRPr="002D4789">
        <w:rPr>
          <w:rFonts w:ascii="Times New Roman" w:eastAsia="Times New Roman" w:hAnsi="Times New Roman" w:cs="Times New Roman"/>
          <w:strike/>
          <w:kern w:val="0"/>
          <w:lang w:eastAsia="en-GB"/>
          <w14:ligatures w14:val="none"/>
        </w:rPr>
        <w:t xml:space="preserve"> I will systematically correlate historical AST results with clinical outcomes across four domains: global clinical change score, validated symptom questionnaire, Chronic Airway Assessment Test (CAAT) score, and time to next treatment course. Subgroup analyses will stratify by pathogen, antibiotic class, and disease. This will produce the first robust prospective analysis of AST predictive value in chronic lung infection.</w:t>
      </w:r>
      <w:r w:rsidR="00831954">
        <w:rPr>
          <w:rFonts w:ascii="Times New Roman" w:eastAsia="Times New Roman" w:hAnsi="Times New Roman" w:cs="Times New Roman"/>
          <w:strike/>
          <w:kern w:val="0"/>
          <w:lang w:eastAsia="en-GB"/>
          <w14:ligatures w14:val="none"/>
        </w:rPr>
        <w:t xml:space="preserve">  We need to say that we will collate these.  </w:t>
      </w:r>
      <w:r w:rsidR="00751325">
        <w:rPr>
          <w:rFonts w:ascii="Times New Roman" w:eastAsia="Times New Roman" w:hAnsi="Times New Roman" w:cs="Times New Roman"/>
          <w:strike/>
          <w:kern w:val="0"/>
          <w:lang w:eastAsia="en-GB"/>
          <w14:ligatures w14:val="none"/>
        </w:rPr>
        <w:t xml:space="preserve">But I think this is virtually assumed.  How useful is it?  We know it doesn’t work.  But it will be direct evidence that it doesn’t work. </w:t>
      </w:r>
    </w:p>
    <w:p w14:paraId="6984A65C" w14:textId="348861BD" w:rsidR="00CE61E8" w:rsidRDefault="002D4789" w:rsidP="002D4789">
      <w:pPr>
        <w:spacing w:before="100" w:beforeAutospacing="1" w:after="100" w:afterAutospacing="1"/>
        <w:rPr>
          <w:rFonts w:ascii="Times New Roman" w:eastAsia="Times New Roman" w:hAnsi="Times New Roman" w:cs="Times New Roman"/>
          <w:kern w:val="0"/>
          <w:lang w:eastAsia="en-GB"/>
          <w14:ligatures w14:val="none"/>
        </w:rPr>
      </w:pPr>
      <w:r w:rsidRPr="002D4789">
        <w:rPr>
          <w:rFonts w:ascii="Times New Roman" w:eastAsia="Times New Roman" w:hAnsi="Times New Roman" w:cs="Times New Roman"/>
          <w:b/>
          <w:bCs/>
          <w:kern w:val="0"/>
          <w:lang w:eastAsia="en-GB"/>
          <w14:ligatures w14:val="none"/>
        </w:rPr>
        <w:lastRenderedPageBreak/>
        <w:t>b) Strain Dynamics.</w:t>
      </w:r>
      <w:r w:rsidRPr="002D4789">
        <w:rPr>
          <w:rFonts w:ascii="Times New Roman" w:eastAsia="Times New Roman" w:hAnsi="Times New Roman" w:cs="Times New Roman"/>
          <w:kern w:val="0"/>
          <w:lang w:eastAsia="en-GB"/>
          <w14:ligatures w14:val="none"/>
        </w:rPr>
        <w:t xml:space="preserve"> Informed by Kishony and colleagues' demonstration that strain switching underlies resistance emergence and treatment failure, I will implement an integrated pipeline to capture both community-level diversity and high-resolution clonal dynamics. First, we will use 16S rRNA metagenomic sequencing to characterise overall community composition and species abundance. Second, to overcome the limitations of standard bulk metagenomics—which conflates multiple co-infecting sublineages—we will employ targeted approaches to isolate and sequence individual </w:t>
      </w:r>
      <w:r w:rsidRPr="002D4789">
        <w:rPr>
          <w:rFonts w:ascii="Times New Roman" w:eastAsia="Times New Roman" w:hAnsi="Times New Roman" w:cs="Times New Roman"/>
          <w:i/>
          <w:iCs/>
          <w:kern w:val="0"/>
          <w:lang w:eastAsia="en-GB"/>
          <w14:ligatures w14:val="none"/>
        </w:rPr>
        <w:t>P. aeruginosa</w:t>
      </w:r>
      <w:r w:rsidRPr="002D4789">
        <w:rPr>
          <w:rFonts w:ascii="Times New Roman" w:eastAsia="Times New Roman" w:hAnsi="Times New Roman" w:cs="Times New Roman"/>
          <w:kern w:val="0"/>
          <w:lang w:eastAsia="en-GB"/>
          <w14:ligatures w14:val="none"/>
        </w:rPr>
        <w:t xml:space="preserve"> lineages from complex samples. By resolving the precise assemblies of major clones per patient per timepoint, we can conduct accurate SNP distance-based strain switching analysis without the confounding effects of intra-sample polyclonality. We will leverage state-of-the-art strain resolution techniques (incorporating tools developed by the Bryant lab alongside novel bioinformatic deconvolutions) to ensure distinct lineages are accurately tracked. MGE and plasmid characterisation tools from WP1 will then be applied to interpret genomic changes in this high-resolution clinical context</w:t>
      </w:r>
      <w:r w:rsidR="00CE61E8">
        <w:rPr>
          <w:rFonts w:ascii="Times New Roman" w:eastAsia="Times New Roman" w:hAnsi="Times New Roman" w:cs="Times New Roman"/>
          <w:kern w:val="0"/>
          <w:lang w:eastAsia="en-GB"/>
          <w14:ligatures w14:val="none"/>
        </w:rPr>
        <w:t>.(I</w:t>
      </w:r>
    </w:p>
    <w:p w14:paraId="07225951" w14:textId="77777777" w:rsidR="00E65A72" w:rsidRDefault="00E65A72" w:rsidP="002D4789">
      <w:pPr>
        <w:spacing w:before="100" w:beforeAutospacing="1" w:after="100" w:afterAutospacing="1"/>
        <w:rPr>
          <w:rFonts w:ascii="Times New Roman" w:eastAsia="Times New Roman" w:hAnsi="Times New Roman" w:cs="Times New Roman"/>
          <w:kern w:val="0"/>
          <w:lang w:eastAsia="en-GB"/>
          <w14:ligatures w14:val="none"/>
        </w:rPr>
      </w:pPr>
    </w:p>
    <w:p w14:paraId="64175C1E" w14:textId="7167B4E7" w:rsidR="00E65A72" w:rsidRDefault="00E65A72" w:rsidP="002D4789">
      <w:pPr>
        <w:spacing w:before="100" w:beforeAutospacing="1" w:after="100" w:afterAutospacing="1"/>
        <w:rPr>
          <w:rFonts w:ascii="Times New Roman" w:eastAsia="Times New Roman" w:hAnsi="Times New Roman" w:cs="Times New Roman"/>
          <w:kern w:val="0"/>
          <w:lang w:eastAsia="en-GB"/>
          <w14:ligatures w14:val="none"/>
        </w:rPr>
      </w:pPr>
      <w:r w:rsidRPr="00E65A72">
        <w:rPr>
          <w:rFonts w:ascii="Times New Roman" w:eastAsia="Times New Roman" w:hAnsi="Times New Roman" w:cs="Times New Roman"/>
          <w:kern w:val="0"/>
          <w:highlight w:val="yellow"/>
          <w:lang w:eastAsia="en-GB"/>
          <w14:ligatures w14:val="none"/>
        </w:rPr>
        <w:t>We can also analyse strain switching in our samples as a single outcome.</w:t>
      </w:r>
      <w:r>
        <w:rPr>
          <w:rFonts w:ascii="Times New Roman" w:eastAsia="Times New Roman" w:hAnsi="Times New Roman" w:cs="Times New Roman"/>
          <w:kern w:val="0"/>
          <w:lang w:eastAsia="en-GB"/>
          <w14:ligatures w14:val="none"/>
        </w:rPr>
        <w:t xml:space="preserve"> </w:t>
      </w:r>
    </w:p>
    <w:p w14:paraId="4EF0A469" w14:textId="77777777" w:rsidR="00E65A72" w:rsidRPr="002D4789" w:rsidRDefault="00E65A72" w:rsidP="002D4789">
      <w:pPr>
        <w:spacing w:before="100" w:beforeAutospacing="1" w:after="100" w:afterAutospacing="1"/>
        <w:rPr>
          <w:rFonts w:ascii="Times New Roman" w:eastAsia="Times New Roman" w:hAnsi="Times New Roman" w:cs="Times New Roman"/>
          <w:kern w:val="0"/>
          <w:lang w:eastAsia="en-GB"/>
          <w14:ligatures w14:val="none"/>
        </w:rPr>
      </w:pPr>
    </w:p>
    <w:p w14:paraId="5B43EBF9" w14:textId="5FAB1DA0" w:rsidR="0062133B" w:rsidRPr="00B76288" w:rsidRDefault="002D4789" w:rsidP="00B76288">
      <w:pPr>
        <w:spacing w:before="100" w:beforeAutospacing="1" w:after="100" w:afterAutospacing="1"/>
        <w:rPr>
          <w:rFonts w:ascii="Times New Roman" w:eastAsia="Times New Roman" w:hAnsi="Times New Roman" w:cs="Times New Roman"/>
          <w:kern w:val="0"/>
          <w:lang w:eastAsia="en-GB"/>
          <w14:ligatures w14:val="none"/>
        </w:rPr>
      </w:pPr>
      <w:r w:rsidRPr="002D4789">
        <w:rPr>
          <w:rFonts w:ascii="Times New Roman" w:eastAsia="Times New Roman" w:hAnsi="Times New Roman" w:cs="Times New Roman"/>
          <w:b/>
          <w:bCs/>
          <w:kern w:val="0"/>
          <w:lang w:eastAsia="en-GB"/>
          <w14:ligatures w14:val="none"/>
        </w:rPr>
        <w:t>c) Genomic Outcome Prediction.</w:t>
      </w:r>
      <w:r w:rsidRPr="002D4789">
        <w:rPr>
          <w:rFonts w:ascii="Times New Roman" w:eastAsia="Times New Roman" w:hAnsi="Times New Roman" w:cs="Times New Roman"/>
          <w:kern w:val="0"/>
          <w:lang w:eastAsia="en-GB"/>
          <w14:ligatures w14:val="none"/>
        </w:rPr>
        <w:t xml:space="preserve"> I will develop machine learning models integrating genomic features</w:t>
      </w:r>
      <w:r w:rsidR="00E65A72">
        <w:rPr>
          <w:rFonts w:ascii="Times New Roman" w:eastAsia="Times New Roman" w:hAnsi="Times New Roman" w:cs="Times New Roman"/>
          <w:kern w:val="0"/>
          <w:lang w:eastAsia="en-GB"/>
          <w14:ligatures w14:val="none"/>
        </w:rPr>
        <w:t xml:space="preserve"> of the main bacterial lineages (by annotated genes and / or by whole genome embeddings).   I will combine this with </w:t>
      </w:r>
      <w:r w:rsidR="00B76288">
        <w:rPr>
          <w:rFonts w:ascii="Times New Roman" w:eastAsia="Times New Roman" w:hAnsi="Times New Roman" w:cs="Times New Roman"/>
          <w:kern w:val="0"/>
          <w:lang w:eastAsia="en-GB"/>
          <w14:ligatures w14:val="none"/>
        </w:rPr>
        <w:t xml:space="preserve">bacterial </w:t>
      </w:r>
      <w:r w:rsidR="004E4D95">
        <w:rPr>
          <w:rFonts w:ascii="Times New Roman" w:eastAsia="Times New Roman" w:hAnsi="Times New Roman" w:cs="Times New Roman"/>
          <w:kern w:val="0"/>
          <w:lang w:eastAsia="en-GB"/>
          <w14:ligatures w14:val="none"/>
        </w:rPr>
        <w:t xml:space="preserve">community structure (starting with species abundance and alpha diversity), </w:t>
      </w:r>
      <w:r w:rsidRPr="002D4789">
        <w:rPr>
          <w:rFonts w:ascii="Times New Roman" w:eastAsia="Times New Roman" w:hAnsi="Times New Roman" w:cs="Times New Roman"/>
          <w:kern w:val="0"/>
          <w:lang w:eastAsia="en-GB"/>
          <w14:ligatures w14:val="none"/>
        </w:rPr>
        <w:t>clinical metadata (antibiotic history, BSI severity, underlying disease, comorbidities)</w:t>
      </w:r>
      <w:r w:rsidR="004E4D95">
        <w:rPr>
          <w:rFonts w:ascii="Times New Roman" w:eastAsia="Times New Roman" w:hAnsi="Times New Roman" w:cs="Times New Roman"/>
          <w:kern w:val="0"/>
          <w:lang w:eastAsia="en-GB"/>
          <w14:ligatures w14:val="none"/>
        </w:rPr>
        <w:t xml:space="preserve">. </w:t>
      </w:r>
      <w:r w:rsidRPr="002D4789">
        <w:rPr>
          <w:rFonts w:ascii="Times New Roman" w:eastAsia="Times New Roman" w:hAnsi="Times New Roman" w:cs="Times New Roman"/>
          <w:kern w:val="0"/>
          <w:lang w:eastAsia="en-GB"/>
          <w14:ligatures w14:val="none"/>
        </w:rPr>
        <w:t xml:space="preserve">By driving the predictive model with precise strain-level assemblies rather than unrepresentative colony picks or blended MAGs, we aim to predict treatment efficacy directly—bypassing AST entirely. </w:t>
      </w:r>
    </w:p>
    <w:sectPr w:rsidR="0062133B" w:rsidRPr="00B762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plxSerif">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109A8"/>
    <w:multiLevelType w:val="hybridMultilevel"/>
    <w:tmpl w:val="DB3E93A6"/>
    <w:lvl w:ilvl="0" w:tplc="657E1CF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29250E"/>
    <w:multiLevelType w:val="multilevel"/>
    <w:tmpl w:val="7C76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162217"/>
    <w:multiLevelType w:val="multilevel"/>
    <w:tmpl w:val="2CC2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F604C"/>
    <w:multiLevelType w:val="multilevel"/>
    <w:tmpl w:val="070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241506">
    <w:abstractNumId w:val="1"/>
  </w:num>
  <w:num w:numId="2" w16cid:durableId="1176769366">
    <w:abstractNumId w:val="2"/>
  </w:num>
  <w:num w:numId="3" w16cid:durableId="938832194">
    <w:abstractNumId w:val="0"/>
  </w:num>
  <w:num w:numId="4" w16cid:durableId="992100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990"/>
    <w:rsid w:val="00002465"/>
    <w:rsid w:val="00036F6E"/>
    <w:rsid w:val="00046862"/>
    <w:rsid w:val="000525B2"/>
    <w:rsid w:val="00064409"/>
    <w:rsid w:val="00083380"/>
    <w:rsid w:val="00087D39"/>
    <w:rsid w:val="000B1F12"/>
    <w:rsid w:val="000C0421"/>
    <w:rsid w:val="000C27AF"/>
    <w:rsid w:val="000C45E3"/>
    <w:rsid w:val="000E0461"/>
    <w:rsid w:val="0011613D"/>
    <w:rsid w:val="001436B2"/>
    <w:rsid w:val="00147BEE"/>
    <w:rsid w:val="00147F44"/>
    <w:rsid w:val="0015062E"/>
    <w:rsid w:val="00171E1C"/>
    <w:rsid w:val="00176D44"/>
    <w:rsid w:val="00176D7F"/>
    <w:rsid w:val="00182ACE"/>
    <w:rsid w:val="0019146B"/>
    <w:rsid w:val="00193E86"/>
    <w:rsid w:val="00194768"/>
    <w:rsid w:val="00197476"/>
    <w:rsid w:val="001A179B"/>
    <w:rsid w:val="001B573C"/>
    <w:rsid w:val="001B7B5D"/>
    <w:rsid w:val="001D260A"/>
    <w:rsid w:val="001F338A"/>
    <w:rsid w:val="001F6E4B"/>
    <w:rsid w:val="002014EB"/>
    <w:rsid w:val="0024323A"/>
    <w:rsid w:val="00243346"/>
    <w:rsid w:val="0026083C"/>
    <w:rsid w:val="00277403"/>
    <w:rsid w:val="00297E48"/>
    <w:rsid w:val="002A4B03"/>
    <w:rsid w:val="002B0E93"/>
    <w:rsid w:val="002B1080"/>
    <w:rsid w:val="002C17EF"/>
    <w:rsid w:val="002D4789"/>
    <w:rsid w:val="002D72BE"/>
    <w:rsid w:val="002F5A60"/>
    <w:rsid w:val="003030C4"/>
    <w:rsid w:val="00306FC7"/>
    <w:rsid w:val="0032136A"/>
    <w:rsid w:val="003355FB"/>
    <w:rsid w:val="0033649B"/>
    <w:rsid w:val="00346740"/>
    <w:rsid w:val="00364FFA"/>
    <w:rsid w:val="00380AD9"/>
    <w:rsid w:val="00381908"/>
    <w:rsid w:val="00387F0B"/>
    <w:rsid w:val="003C23FC"/>
    <w:rsid w:val="003D2FA8"/>
    <w:rsid w:val="003F45A8"/>
    <w:rsid w:val="003F6893"/>
    <w:rsid w:val="00413E9E"/>
    <w:rsid w:val="00416335"/>
    <w:rsid w:val="004256D4"/>
    <w:rsid w:val="00430F1F"/>
    <w:rsid w:val="00431747"/>
    <w:rsid w:val="00434031"/>
    <w:rsid w:val="00437EE5"/>
    <w:rsid w:val="00443875"/>
    <w:rsid w:val="00467190"/>
    <w:rsid w:val="00480B82"/>
    <w:rsid w:val="00483A13"/>
    <w:rsid w:val="00491751"/>
    <w:rsid w:val="004A25B7"/>
    <w:rsid w:val="004B2B42"/>
    <w:rsid w:val="004D3CA8"/>
    <w:rsid w:val="004E4D95"/>
    <w:rsid w:val="004E7211"/>
    <w:rsid w:val="0051184B"/>
    <w:rsid w:val="005122A0"/>
    <w:rsid w:val="00516173"/>
    <w:rsid w:val="00521227"/>
    <w:rsid w:val="00525EA0"/>
    <w:rsid w:val="00555FE4"/>
    <w:rsid w:val="005614A7"/>
    <w:rsid w:val="00561783"/>
    <w:rsid w:val="00566FC7"/>
    <w:rsid w:val="00582151"/>
    <w:rsid w:val="00585D4E"/>
    <w:rsid w:val="00594118"/>
    <w:rsid w:val="00597BEC"/>
    <w:rsid w:val="005A05E6"/>
    <w:rsid w:val="005B13E0"/>
    <w:rsid w:val="005C3B5A"/>
    <w:rsid w:val="005E00E7"/>
    <w:rsid w:val="005E2CDD"/>
    <w:rsid w:val="00604990"/>
    <w:rsid w:val="0062133B"/>
    <w:rsid w:val="006553F3"/>
    <w:rsid w:val="00661B5A"/>
    <w:rsid w:val="006644AF"/>
    <w:rsid w:val="006C3E8C"/>
    <w:rsid w:val="006D6DF1"/>
    <w:rsid w:val="006E2D72"/>
    <w:rsid w:val="00700625"/>
    <w:rsid w:val="00706504"/>
    <w:rsid w:val="0072679B"/>
    <w:rsid w:val="00751325"/>
    <w:rsid w:val="007568AB"/>
    <w:rsid w:val="0076382F"/>
    <w:rsid w:val="007D1BC6"/>
    <w:rsid w:val="007E0C34"/>
    <w:rsid w:val="007F631A"/>
    <w:rsid w:val="008033A1"/>
    <w:rsid w:val="00811732"/>
    <w:rsid w:val="0082122B"/>
    <w:rsid w:val="00824353"/>
    <w:rsid w:val="00831954"/>
    <w:rsid w:val="008770C5"/>
    <w:rsid w:val="008825AD"/>
    <w:rsid w:val="0088781E"/>
    <w:rsid w:val="008A6B54"/>
    <w:rsid w:val="008A7565"/>
    <w:rsid w:val="008B56FF"/>
    <w:rsid w:val="008D5EE1"/>
    <w:rsid w:val="008E15DA"/>
    <w:rsid w:val="008F61C0"/>
    <w:rsid w:val="0095186D"/>
    <w:rsid w:val="009528AB"/>
    <w:rsid w:val="0095342A"/>
    <w:rsid w:val="00956739"/>
    <w:rsid w:val="00956CC5"/>
    <w:rsid w:val="00964B44"/>
    <w:rsid w:val="00966EE4"/>
    <w:rsid w:val="00967313"/>
    <w:rsid w:val="009678C0"/>
    <w:rsid w:val="00976F9A"/>
    <w:rsid w:val="009902B4"/>
    <w:rsid w:val="00996679"/>
    <w:rsid w:val="009B371B"/>
    <w:rsid w:val="009D0B4B"/>
    <w:rsid w:val="009E6167"/>
    <w:rsid w:val="009E7ED9"/>
    <w:rsid w:val="00A34B0C"/>
    <w:rsid w:val="00A36A4C"/>
    <w:rsid w:val="00A37DD6"/>
    <w:rsid w:val="00A51868"/>
    <w:rsid w:val="00A526B2"/>
    <w:rsid w:val="00A61CEC"/>
    <w:rsid w:val="00A67594"/>
    <w:rsid w:val="00A955DA"/>
    <w:rsid w:val="00AA3671"/>
    <w:rsid w:val="00AB1DEF"/>
    <w:rsid w:val="00AB1FE9"/>
    <w:rsid w:val="00AB566B"/>
    <w:rsid w:val="00AC25C0"/>
    <w:rsid w:val="00AD307B"/>
    <w:rsid w:val="00AD6B05"/>
    <w:rsid w:val="00AE3D23"/>
    <w:rsid w:val="00B008D2"/>
    <w:rsid w:val="00B05BD9"/>
    <w:rsid w:val="00B16750"/>
    <w:rsid w:val="00B173A3"/>
    <w:rsid w:val="00B31C58"/>
    <w:rsid w:val="00B46C88"/>
    <w:rsid w:val="00B7330B"/>
    <w:rsid w:val="00B74FFF"/>
    <w:rsid w:val="00B76288"/>
    <w:rsid w:val="00B92427"/>
    <w:rsid w:val="00BA0005"/>
    <w:rsid w:val="00BB3CBF"/>
    <w:rsid w:val="00BC4E6F"/>
    <w:rsid w:val="00BC4E81"/>
    <w:rsid w:val="00BD7D56"/>
    <w:rsid w:val="00BF7AF7"/>
    <w:rsid w:val="00C1762E"/>
    <w:rsid w:val="00C323DC"/>
    <w:rsid w:val="00C36960"/>
    <w:rsid w:val="00C43E12"/>
    <w:rsid w:val="00C51EE6"/>
    <w:rsid w:val="00C55250"/>
    <w:rsid w:val="00C67016"/>
    <w:rsid w:val="00C67EA4"/>
    <w:rsid w:val="00C7080A"/>
    <w:rsid w:val="00C756FC"/>
    <w:rsid w:val="00C762BF"/>
    <w:rsid w:val="00C94AD5"/>
    <w:rsid w:val="00C954EC"/>
    <w:rsid w:val="00C9573E"/>
    <w:rsid w:val="00C95A04"/>
    <w:rsid w:val="00CA1BDD"/>
    <w:rsid w:val="00CB7912"/>
    <w:rsid w:val="00CC6C26"/>
    <w:rsid w:val="00CE61E8"/>
    <w:rsid w:val="00CF023D"/>
    <w:rsid w:val="00CF3B4F"/>
    <w:rsid w:val="00D003CC"/>
    <w:rsid w:val="00D312F0"/>
    <w:rsid w:val="00D3300E"/>
    <w:rsid w:val="00D33A60"/>
    <w:rsid w:val="00D34078"/>
    <w:rsid w:val="00D51C09"/>
    <w:rsid w:val="00D652BF"/>
    <w:rsid w:val="00D843E5"/>
    <w:rsid w:val="00D96D43"/>
    <w:rsid w:val="00DB72B7"/>
    <w:rsid w:val="00E11A90"/>
    <w:rsid w:val="00E1376D"/>
    <w:rsid w:val="00E43804"/>
    <w:rsid w:val="00E46E4F"/>
    <w:rsid w:val="00E503B5"/>
    <w:rsid w:val="00E654B4"/>
    <w:rsid w:val="00E65A72"/>
    <w:rsid w:val="00E72525"/>
    <w:rsid w:val="00E81D69"/>
    <w:rsid w:val="00EB5276"/>
    <w:rsid w:val="00ED4492"/>
    <w:rsid w:val="00EE05B9"/>
    <w:rsid w:val="00EE49BE"/>
    <w:rsid w:val="00EE6AFD"/>
    <w:rsid w:val="00EF0898"/>
    <w:rsid w:val="00F2522C"/>
    <w:rsid w:val="00F312B1"/>
    <w:rsid w:val="00F33553"/>
    <w:rsid w:val="00F43D82"/>
    <w:rsid w:val="00F5037B"/>
    <w:rsid w:val="00F54D4F"/>
    <w:rsid w:val="00F7076E"/>
    <w:rsid w:val="00FC3638"/>
    <w:rsid w:val="00FD39E6"/>
    <w:rsid w:val="00FD7B6F"/>
    <w:rsid w:val="00FE67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145B"/>
  <w15:chartTrackingRefBased/>
  <w15:docId w15:val="{2C6D5611-4EAD-0A4B-A253-4AA26949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9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49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49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49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9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9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9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9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9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9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49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49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49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9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990"/>
    <w:rPr>
      <w:rFonts w:eastAsiaTheme="majorEastAsia" w:cstheme="majorBidi"/>
      <w:color w:val="272727" w:themeColor="text1" w:themeTint="D8"/>
    </w:rPr>
  </w:style>
  <w:style w:type="paragraph" w:styleId="Title">
    <w:name w:val="Title"/>
    <w:basedOn w:val="Normal"/>
    <w:next w:val="Normal"/>
    <w:link w:val="TitleChar"/>
    <w:uiPriority w:val="10"/>
    <w:qFormat/>
    <w:rsid w:val="006049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9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9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4990"/>
    <w:rPr>
      <w:i/>
      <w:iCs/>
      <w:color w:val="404040" w:themeColor="text1" w:themeTint="BF"/>
    </w:rPr>
  </w:style>
  <w:style w:type="paragraph" w:styleId="ListParagraph">
    <w:name w:val="List Paragraph"/>
    <w:basedOn w:val="Normal"/>
    <w:uiPriority w:val="34"/>
    <w:qFormat/>
    <w:rsid w:val="00604990"/>
    <w:pPr>
      <w:ind w:left="720"/>
      <w:contextualSpacing/>
    </w:pPr>
  </w:style>
  <w:style w:type="character" w:styleId="IntenseEmphasis">
    <w:name w:val="Intense Emphasis"/>
    <w:basedOn w:val="DefaultParagraphFont"/>
    <w:uiPriority w:val="21"/>
    <w:qFormat/>
    <w:rsid w:val="00604990"/>
    <w:rPr>
      <w:i/>
      <w:iCs/>
      <w:color w:val="2F5496" w:themeColor="accent1" w:themeShade="BF"/>
    </w:rPr>
  </w:style>
  <w:style w:type="paragraph" w:styleId="IntenseQuote">
    <w:name w:val="Intense Quote"/>
    <w:basedOn w:val="Normal"/>
    <w:next w:val="Normal"/>
    <w:link w:val="IntenseQuoteChar"/>
    <w:uiPriority w:val="30"/>
    <w:qFormat/>
    <w:rsid w:val="00604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990"/>
    <w:rPr>
      <w:i/>
      <w:iCs/>
      <w:color w:val="2F5496" w:themeColor="accent1" w:themeShade="BF"/>
    </w:rPr>
  </w:style>
  <w:style w:type="character" w:styleId="IntenseReference">
    <w:name w:val="Intense Reference"/>
    <w:basedOn w:val="DefaultParagraphFont"/>
    <w:uiPriority w:val="32"/>
    <w:qFormat/>
    <w:rsid w:val="00604990"/>
    <w:rPr>
      <w:b/>
      <w:bCs/>
      <w:smallCaps/>
      <w:color w:val="2F5496" w:themeColor="accent1" w:themeShade="BF"/>
      <w:spacing w:val="5"/>
    </w:rPr>
  </w:style>
  <w:style w:type="paragraph" w:customStyle="1" w:styleId="my-2">
    <w:name w:val="my-2"/>
    <w:basedOn w:val="Normal"/>
    <w:rsid w:val="00E81D6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81D69"/>
    <w:rPr>
      <w:i/>
      <w:iCs/>
    </w:rPr>
  </w:style>
  <w:style w:type="character" w:styleId="Strong">
    <w:name w:val="Strong"/>
    <w:basedOn w:val="DefaultParagraphFont"/>
    <w:uiPriority w:val="22"/>
    <w:qFormat/>
    <w:rsid w:val="00E81D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7</Pages>
  <Words>2080</Words>
  <Characters>11773</Characters>
  <Application>Microsoft Office Word</Application>
  <DocSecurity>0</DocSecurity>
  <Lines>183</Lines>
  <Paragraphs>54</Paragraphs>
  <ScaleCrop>false</ScaleCrop>
  <Company>Royal Papworth Hospital</Company>
  <LinksUpToDate>false</LinksUpToDate>
  <CharactersWithSpaces>13799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Abelson</dc:creator>
  <cp:keywords/>
  <dc:description/>
  <cp:lastModifiedBy>David Abelson</cp:lastModifiedBy>
  <cp:revision>188</cp:revision>
  <cp:lastPrinted>2026-03-06T17:59:00Z</cp:lastPrinted>
  <dcterms:created xsi:type="dcterms:W3CDTF">2026-03-06T13:33:00Z</dcterms:created>
  <dcterms:modified xsi:type="dcterms:W3CDTF">2026-03-07T14:37:00Z</dcterms:modified>
</cp:coreProperties>
</file>