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7.1. Métricas de eficacia por configuración frente al Gold Standard (H2)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Configuración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F1-score (macro)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AUC-ROC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IC 95% AUC-ROC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H2 aceptada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C1 (LLM puro)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0.732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(0.643, 0.815)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C2 (LLM + RAG)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0.735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(0.651, 0.815)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C3 (LLM + RAG + PII)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0.729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(0.639, 0.810)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</w:tr>
    </w:tbl>
    <w:p>
      <w:r>
        <w:rPr>
          <w:i/>
          <w:sz w:val="20"/>
        </w:rPr>
        <w:t>Nota. IC 95% calculados con bootstrap (B = 1000). Umbral H2: F1 ≥ 0.85 y AUC-ROC ≥ 0.90. Gold Standard: κ ≥ 0.70 inter-evaluador.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