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7.2. Métricas de equidad algorítmica por configuración (H3)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Configuración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DIR (género)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SPD (género)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DIR (edad)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SPD (edad)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H3 aceptada (DIR ≥ 0.80)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C2 (LLM + RAG)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-0.078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-0.050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C3 (LLM + RAG + PII)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-0.137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-0.060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</w:t>
            </w:r>
          </w:p>
        </w:tc>
      </w:tr>
    </w:tbl>
    <w:p>
      <w:r>
        <w:rPr>
          <w:i/>
          <w:sz w:val="20"/>
        </w:rPr>
        <w:t>Nota. DIR = Disparate Impact Ratio (umbral EEOC: ≥ 0.80). SPD = Statistical Parity Difference (ideal: 0). Grupos evaluados: género (F vs M) y edad (36-58 vs 23-35). C2 sin anonimización vs C3 con anonimización PII.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