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Tabla 7.2. Métricas de equidad algorítmica por configuración (H3)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Configuración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DIR (género)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SPD (género)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H3 aceptada (DIR ≥ 0.80)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C2 (LLM + RAG)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1.397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Sí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C3 (LLM + RAG + PII)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0.447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-0.145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No</w:t>
            </w:r>
          </w:p>
        </w:tc>
      </w:tr>
    </w:tbl>
    <w:p>
      <w:r>
        <w:rPr>
          <w:i/>
          <w:sz w:val="20"/>
        </w:rPr>
        <w:t>Nota. DIR = Disparate Impact Ratio (umbral EEOC: ≥ 0.80). SPD = Statistical Parity Difference (ideal: 0). Grupo protegido: género (M/F). C2 sin anonimización vs C3 con anonimización PII.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