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A771D" w:rsidRPr="00DC201D" w:rsidRDefault="00EA771D" w:rsidP="00DC201D">
      <w:pPr>
        <w:rPr>
          <w:rFonts w:ascii="Garamond" w:hAnsi="Garamond"/>
        </w:rPr>
      </w:pPr>
    </w:p>
    <w:p w:rsidR="00EA771D" w:rsidRPr="00DC201D" w:rsidRDefault="00DC201D" w:rsidP="00DC201D">
      <w:pPr>
        <w:rPr>
          <w:rFonts w:ascii="Arial" w:eastAsia="Microsoft YaHei Light" w:hAnsi="Arial" w:cs="Arial"/>
        </w:rPr>
      </w:pPr>
      <w:r w:rsidRPr="00DC201D">
        <w:rPr>
          <w:rFonts w:ascii="Garamond" w:hAnsi="Garamond"/>
          <w:noProof/>
          <w:lang w:eastAsia="es-MX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-198120</wp:posOffset>
            </wp:positionH>
            <wp:positionV relativeFrom="paragraph">
              <wp:posOffset>72390</wp:posOffset>
            </wp:positionV>
            <wp:extent cx="3943350" cy="1838960"/>
            <wp:effectExtent l="0" t="0" r="0" b="8890"/>
            <wp:wrapSquare wrapText="bothSides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ramide_pob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1838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A771D" w:rsidRPr="00DC201D">
        <w:rPr>
          <w:rFonts w:ascii="Arial" w:eastAsia="Microsoft YaHei Light" w:hAnsi="Arial" w:cs="Arial"/>
        </w:rPr>
        <w:t>L</w:t>
      </w:r>
      <w:r w:rsidR="00EA771D" w:rsidRPr="00DC201D">
        <w:rPr>
          <w:rFonts w:ascii="Arial" w:eastAsia="Microsoft YaHei Light" w:hAnsi="Arial" w:cs="Arial"/>
        </w:rPr>
        <w:t>a distribución por edad y sexo de los homicidios en México indica que los grupos menores siguen una dinámica particular. Entre víctimas menores de 10 años, la proporción de hombres y mujeres es prácticamente equilibrada, a diferencia de los grupos mayores, donde predominan los hombres.</w:t>
      </w:r>
    </w:p>
    <w:p w:rsidR="00EA771D" w:rsidRPr="00DC201D" w:rsidRDefault="00EA771D" w:rsidP="00DC201D">
      <w:pPr>
        <w:rPr>
          <w:rFonts w:ascii="Arial" w:eastAsia="Microsoft YaHei Light" w:hAnsi="Arial" w:cs="Arial"/>
        </w:rPr>
      </w:pPr>
    </w:p>
    <w:p w:rsidR="00EA771D" w:rsidRPr="00DC201D" w:rsidRDefault="00DC201D" w:rsidP="00DC201D">
      <w:pPr>
        <w:rPr>
          <w:rFonts w:ascii="Arial" w:eastAsia="Microsoft YaHei Light" w:hAnsi="Arial" w:cs="Arial"/>
        </w:rPr>
      </w:pPr>
      <w:r w:rsidRPr="00DC201D">
        <w:rPr>
          <w:rFonts w:ascii="Arial" w:eastAsia="Microsoft YaHei Light" w:hAnsi="Arial" w:cs="Arial"/>
          <w:noProof/>
          <w:lang w:eastAsia="es-MX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2407152</wp:posOffset>
            </wp:positionH>
            <wp:positionV relativeFrom="paragraph">
              <wp:posOffset>39370</wp:posOffset>
            </wp:positionV>
            <wp:extent cx="3600450" cy="1679575"/>
            <wp:effectExtent l="0" t="0" r="0" b="0"/>
            <wp:wrapSquare wrapText="bothSides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Vict_10_o_menos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1679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A771D" w:rsidRPr="00DC201D">
        <w:rPr>
          <w:rFonts w:ascii="Arial" w:eastAsia="Microsoft YaHei Light" w:hAnsi="Arial" w:cs="Arial"/>
        </w:rPr>
        <w:t>En las causas de defunción, la proporción de homicidios por arma de fuego disminuye considerablemente, mientras que arma blanca y fuerza corporal aumentan ligeramente, y la categoría “Otros” crece de forma significativa. Sin embargo, gran parte de este aumento corresponde a casos donde no se especifica el medio empleado, lo que limita el análisis.</w:t>
      </w:r>
    </w:p>
    <w:p w:rsidR="00EA771D" w:rsidRPr="00DC201D" w:rsidRDefault="00DC201D" w:rsidP="00DC201D">
      <w:pPr>
        <w:rPr>
          <w:rFonts w:ascii="Arial" w:eastAsia="Microsoft YaHei Light" w:hAnsi="Arial" w:cs="Arial"/>
        </w:rPr>
      </w:pPr>
      <w:r w:rsidRPr="00DC201D">
        <w:rPr>
          <w:rFonts w:ascii="Arial" w:eastAsia="Microsoft YaHei Light" w:hAnsi="Arial" w:cs="Arial"/>
          <w:noProof/>
          <w:lang w:eastAsia="es-MX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-196186</wp:posOffset>
            </wp:positionH>
            <wp:positionV relativeFrom="paragraph">
              <wp:posOffset>199258</wp:posOffset>
            </wp:positionV>
            <wp:extent cx="3875405" cy="3100070"/>
            <wp:effectExtent l="0" t="0" r="0" b="5080"/>
            <wp:wrapSquare wrapText="bothSides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Lollipop_causas_10_o_menos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5405" cy="3100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E407E" w:rsidRPr="00DC201D" w:rsidRDefault="00EA771D" w:rsidP="00DC201D">
      <w:pPr>
        <w:rPr>
          <w:rFonts w:ascii="Arial" w:eastAsia="Microsoft YaHei Light" w:hAnsi="Arial" w:cs="Arial"/>
        </w:rPr>
      </w:pPr>
      <w:r w:rsidRPr="00DC201D">
        <w:rPr>
          <w:rFonts w:ascii="Arial" w:eastAsia="Microsoft YaHei Light" w:hAnsi="Arial" w:cs="Arial"/>
        </w:rPr>
        <w:t>Los datos sugieren que los menores de 10 años requieren estrategias de prevención y atención específicas. No obstante, el incremento de registros incompletos dificulta la planificación efectiva y evidencia la necesidad de mejorar la información sobre homicidios infantiles.</w:t>
      </w:r>
    </w:p>
    <w:p w:rsidR="00EA771D" w:rsidRPr="00DC201D" w:rsidRDefault="00EA771D" w:rsidP="00DC201D">
      <w:pPr>
        <w:jc w:val="both"/>
        <w:rPr>
          <w:rFonts w:ascii="Arial" w:eastAsia="Microsoft YaHei Light" w:hAnsi="Arial" w:cs="Arial"/>
        </w:rPr>
      </w:pPr>
    </w:p>
    <w:p w:rsidR="00DC201D" w:rsidRPr="00DC201D" w:rsidRDefault="00DC201D">
      <w:pPr>
        <w:rPr>
          <w:rFonts w:ascii="Arial" w:eastAsia="Microsoft YaHei Light" w:hAnsi="Arial" w:cs="Arial"/>
        </w:rPr>
      </w:pPr>
      <w:r w:rsidRPr="00DC201D">
        <w:rPr>
          <w:rFonts w:ascii="Arial" w:eastAsia="Microsoft YaHei Light" w:hAnsi="Arial" w:cs="Arial"/>
        </w:rPr>
        <w:br w:type="page"/>
      </w:r>
    </w:p>
    <w:p w:rsidR="00DC201D" w:rsidRPr="00DC201D" w:rsidRDefault="00DC201D" w:rsidP="00DC201D">
      <w:pPr>
        <w:jc w:val="both"/>
        <w:rPr>
          <w:rFonts w:ascii="Microsoft YaHei Light" w:eastAsia="Microsoft YaHei Light" w:hAnsi="Microsoft YaHei Light"/>
        </w:rPr>
      </w:pPr>
      <w:bookmarkStart w:id="0" w:name="_GoBack"/>
      <w:bookmarkEnd w:id="0"/>
    </w:p>
    <w:sectPr w:rsidR="00DC201D" w:rsidRPr="00DC201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 Light">
    <w:panose1 w:val="020B0502040204020203"/>
    <w:charset w:val="86"/>
    <w:family w:val="swiss"/>
    <w:pitch w:val="variable"/>
    <w:sig w:usb0="80000287" w:usb1="2ACF001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771D"/>
    <w:rsid w:val="005E407E"/>
    <w:rsid w:val="00DC201D"/>
    <w:rsid w:val="00E474EB"/>
    <w:rsid w:val="00EA7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66E529B-6867-4DB6-9902-5549D3734B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141</Words>
  <Characters>781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2025-12-15T02:32:00Z</dcterms:created>
  <dcterms:modified xsi:type="dcterms:W3CDTF">2025-12-15T03:21:00Z</dcterms:modified>
</cp:coreProperties>
</file>