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40" w:rsidRPr="00CC2A9A" w:rsidRDefault="00BC5827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CC2A9A">
        <w:rPr>
          <w:b/>
          <w:sz w:val="32"/>
          <w:lang w:val="en-US"/>
        </w:rPr>
        <w:t>MPI matric</w:t>
      </w:r>
      <w:r w:rsidRPr="00CC2A9A">
        <w:rPr>
          <w:b/>
          <w:sz w:val="32"/>
        </w:rPr>
        <w:t>ų daugyba</w:t>
      </w:r>
    </w:p>
    <w:p w:rsidR="00BC5827" w:rsidRDefault="00BC5827">
      <w:r>
        <w:t>Antanas Valenčius ISI 1k., 2gr., 2pogr.</w:t>
      </w:r>
    </w:p>
    <w:p w:rsidR="00ED19DD" w:rsidRDefault="00124CFC">
      <w:pPr>
        <w:rPr>
          <w:b/>
        </w:rPr>
      </w:pPr>
      <w:r>
        <w:rPr>
          <w:b/>
        </w:rPr>
        <w:object w:dxaOrig="24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40.2pt" o:ole="">
            <v:imagedata r:id="rId7" o:title=""/>
          </v:shape>
          <o:OLEObject Type="Embed" ProgID="Package" ShapeID="_x0000_i1025" DrawAspect="Content" ObjectID="_1606346556" r:id="rId8"/>
        </w:object>
      </w:r>
      <w:bookmarkStart w:id="0" w:name="_GoBack"/>
      <w:r w:rsidR="00231791">
        <w:rPr>
          <w:b/>
        </w:rPr>
        <w:object w:dxaOrig="780" w:dyaOrig="810">
          <v:shape id="_x0000_i1026" type="#_x0000_t75" style="width:39.35pt;height:40.2pt" o:ole="">
            <v:imagedata r:id="rId9" o:title=""/>
          </v:shape>
          <o:OLEObject Type="Embed" ProgID="Package" ShapeID="_x0000_i1026" DrawAspect="Content" ObjectID="_1606346557" r:id="rId10"/>
        </w:object>
      </w:r>
      <w:bookmarkEnd w:id="0"/>
    </w:p>
    <w:p w:rsidR="00CC2A9A" w:rsidRPr="00ED19DD" w:rsidRDefault="00DF7BC5">
      <w:pPr>
        <w:rPr>
          <w:b/>
        </w:rPr>
      </w:pPr>
      <w:r w:rsidRPr="00560B9C">
        <w:rPr>
          <w:b/>
        </w:rPr>
        <w:t>Užduotis</w:t>
      </w:r>
      <w:r>
        <w:t>: Naudojant MPI technologiją, paralelizuoti pasirinktą programą. Pasirinkau tą pačią matricų daugybą, kurią naudojau openMP, kad nereikėtų išradinėti dviračio.</w:t>
      </w:r>
    </w:p>
    <w:p w:rsidR="00DF7BC5" w:rsidRDefault="00DF7BC5">
      <w:r w:rsidRPr="00560B9C">
        <w:rPr>
          <w:b/>
        </w:rPr>
        <w:t>Tikslas</w:t>
      </w:r>
      <w:r>
        <w:t xml:space="preserve">: </w:t>
      </w:r>
      <w:r w:rsidR="00C22C27">
        <w:t>Palyginti MPI su openMP.</w:t>
      </w:r>
    </w:p>
    <w:p w:rsidR="00E64ABA" w:rsidRDefault="00E64ABA">
      <w:r w:rsidRPr="00560B9C">
        <w:rPr>
          <w:b/>
        </w:rPr>
        <w:t>Hipotezė</w:t>
      </w:r>
      <w:r>
        <w:t>: Panašūs rezultatai į openMP – trumpai, nesudėtingai programai naudingesnis nuoseklus skaičiavimo metodas, sudėtingesniems ir ilgiau trunkatiems skaičiavimams – naudingesnis lygiagretumas.</w:t>
      </w:r>
    </w:p>
    <w:p w:rsidR="00B72D64" w:rsidRDefault="00B72D64"/>
    <w:p w:rsidR="00924A35" w:rsidRDefault="007C347E">
      <w:r>
        <w:rPr>
          <w:noProof/>
          <w:lang w:eastAsia="lt-LT"/>
        </w:rPr>
        <w:drawing>
          <wp:anchor distT="0" distB="0" distL="114300" distR="114300" simplePos="0" relativeHeight="251665408" behindDoc="1" locked="0" layoutInCell="1" allowOverlap="1" wp14:anchorId="62733A23" wp14:editId="798A2F92">
            <wp:simplePos x="0" y="0"/>
            <wp:positionH relativeFrom="column">
              <wp:posOffset>-225425</wp:posOffset>
            </wp:positionH>
            <wp:positionV relativeFrom="paragraph">
              <wp:posOffset>387182</wp:posOffset>
            </wp:positionV>
            <wp:extent cx="6120130" cy="6545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0ED">
        <w:t xml:space="preserve">Atkreipti dėmesį į komandų eilutę: </w:t>
      </w:r>
      <w:r w:rsidR="005B657A">
        <w:t>mpiexec –n x mpi   . x nusako, kiek branduolių bus naudojama programoje. Mano kompiutį sudaro 2 branduoliai CPU.</w:t>
      </w:r>
    </w:p>
    <w:p w:rsidR="00924A35" w:rsidRDefault="00924A3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E4D7B" wp14:editId="053F2401">
                <wp:simplePos x="0" y="0"/>
                <wp:positionH relativeFrom="column">
                  <wp:posOffset>1289733</wp:posOffset>
                </wp:positionH>
                <wp:positionV relativeFrom="paragraph">
                  <wp:posOffset>1591310</wp:posOffset>
                </wp:positionV>
                <wp:extent cx="3139440" cy="525780"/>
                <wp:effectExtent l="0" t="0" r="3810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525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E1" w:rsidRPr="004F68E1" w:rsidRDefault="004F68E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4F68E1">
                              <w:rPr>
                                <w:color w:val="FFFFFF" w:themeColor="background1"/>
                                <w:sz w:val="44"/>
                              </w:rPr>
                              <w:t>NUMBER OF THREADS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55pt;margin-top:125.3pt;width:247.2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" fillcolor="black [3213]" stroked="f" strokeweight="2pt">
                <v:textbox>
                  <w:txbxContent>
                    <w:p w:rsidR="004F68E1" w:rsidRPr="004F68E1" w:rsidRDefault="004F68E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4F68E1">
                        <w:rPr>
                          <w:color w:val="FFFFFF" w:themeColor="background1"/>
                          <w:sz w:val="44"/>
                        </w:rPr>
                        <w:t>NUMBER OF 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531A4" wp14:editId="38EE1EFF">
                <wp:simplePos x="0" y="0"/>
                <wp:positionH relativeFrom="column">
                  <wp:posOffset>3681095</wp:posOffset>
                </wp:positionH>
                <wp:positionV relativeFrom="paragraph">
                  <wp:posOffset>2066925</wp:posOffset>
                </wp:positionV>
                <wp:extent cx="1059180" cy="1043940"/>
                <wp:effectExtent l="38100" t="19050" r="6477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1043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9.85pt;margin-top:162.75pt;width:83.4pt;height:8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7DBE1" wp14:editId="6E2B05E6">
                <wp:simplePos x="0" y="0"/>
                <wp:positionH relativeFrom="column">
                  <wp:posOffset>3681431</wp:posOffset>
                </wp:positionH>
                <wp:positionV relativeFrom="paragraph">
                  <wp:posOffset>480336</wp:posOffset>
                </wp:positionV>
                <wp:extent cx="1068070" cy="1060450"/>
                <wp:effectExtent l="38100" t="38100" r="5588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070" cy="106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89.9pt;margin-top:37.8pt;width:84.1pt;height:8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br w:type="page"/>
      </w:r>
    </w:p>
    <w:p w:rsidR="00BC30ED" w:rsidRDefault="00572947">
      <w:r>
        <w:lastRenderedPageBreak/>
        <w:t>Aiškiai matoma, kad mažoms matricoms lygiagretus skaičiavimas duoda ne našą, o sąmyšį procesoriams.</w:t>
      </w:r>
    </w:p>
    <w:p w:rsidR="00A25224" w:rsidRDefault="00A25224"/>
    <w:p w:rsidR="00A25224" w:rsidRDefault="00A25224">
      <w:r>
        <w:br w:type="page"/>
      </w:r>
    </w:p>
    <w:p w:rsidR="003F1248" w:rsidRDefault="00A25224">
      <w:r>
        <w:rPr>
          <w:noProof/>
          <w:lang w:eastAsia="lt-LT"/>
        </w:rPr>
        <w:lastRenderedPageBreak/>
        <w:drawing>
          <wp:inline distT="0" distB="0" distL="0" distR="0" wp14:anchorId="1001C363" wp14:editId="6ADF6113">
            <wp:extent cx="5485765" cy="82581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48" w:rsidRDefault="003F1248">
      <w:r>
        <w:br w:type="page"/>
      </w:r>
    </w:p>
    <w:p w:rsidR="00BC30ED" w:rsidRDefault="00A25224">
      <w:r>
        <w:rPr>
          <w:noProof/>
          <w:lang w:eastAsia="lt-LT"/>
        </w:rPr>
        <w:lastRenderedPageBreak/>
        <w:drawing>
          <wp:inline distT="0" distB="0" distL="0" distR="0" wp14:anchorId="5018ECFC" wp14:editId="2EB0961B">
            <wp:extent cx="5485765" cy="82581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07" w:rsidRDefault="00160307"/>
    <w:p w:rsidR="00160307" w:rsidRDefault="00160307">
      <w:r>
        <w:rPr>
          <w:noProof/>
          <w:lang w:eastAsia="lt-LT"/>
        </w:rPr>
        <w:lastRenderedPageBreak/>
        <w:drawing>
          <wp:inline distT="0" distB="0" distL="0" distR="0" wp14:anchorId="6AD50459" wp14:editId="185C2AB3">
            <wp:extent cx="6120130" cy="222416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11" w:rsidRDefault="00160307" w:rsidP="00160307">
      <w:pPr>
        <w:tabs>
          <w:tab w:val="left" w:pos="1671"/>
        </w:tabs>
      </w:pPr>
      <w:r>
        <w:t>Šį kartą, naudojant MPI nuoseklusis metodas susilygino su lygiagrečiu vos 0.00075sec trukmės programoje. Greičiausiai dėl MPI žemesnio lygio nei openMP architektūros, lygiagretumo įtaka jaučiama didesnė net ir, dar galimai vadinamom, mažoms matricoms.</w:t>
      </w:r>
      <w:r>
        <w:rPr>
          <w:noProof/>
          <w:lang w:eastAsia="lt-LT"/>
        </w:rPr>
        <w:drawing>
          <wp:inline distT="0" distB="0" distL="0" distR="0" wp14:anchorId="4B1F8359" wp14:editId="12FEC0BB">
            <wp:extent cx="6120130" cy="222416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07" w:rsidRDefault="008F7911" w:rsidP="008F7911">
      <w:pPr>
        <w:tabs>
          <w:tab w:val="left" w:pos="1671"/>
        </w:tabs>
      </w:pPr>
      <w:r>
        <w:rPr>
          <w:noProof/>
          <w:lang w:eastAsia="lt-LT"/>
        </w:rPr>
        <w:drawing>
          <wp:inline distT="0" distB="0" distL="0" distR="0" wp14:anchorId="08FDBB84" wp14:editId="6C741EE1">
            <wp:extent cx="6120130" cy="222416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11" w:rsidRDefault="008F7911" w:rsidP="008F7911">
      <w:pPr>
        <w:tabs>
          <w:tab w:val="left" w:pos="1671"/>
        </w:tabs>
      </w:pPr>
      <w:r>
        <w:t>Jau vidutinio dydžio matricose, matoma lygiagretumo sparta. Lyginant su openMP, openMP metode tik ties šią matricos dydžio riba lygiagretumas susivienodino su nuoseklumu, tačiau MPI metode, procedūra atliekama jau beveik 2 kartus greičiau.</w:t>
      </w:r>
    </w:p>
    <w:p w:rsidR="005F0FC1" w:rsidRDefault="005F0FC1" w:rsidP="008F7911">
      <w:pPr>
        <w:tabs>
          <w:tab w:val="left" w:pos="1671"/>
        </w:tabs>
      </w:pPr>
      <w:r>
        <w:rPr>
          <w:noProof/>
          <w:lang w:eastAsia="lt-LT"/>
        </w:rPr>
        <w:lastRenderedPageBreak/>
        <w:drawing>
          <wp:inline distT="0" distB="0" distL="0" distR="0" wp14:anchorId="399C4943" wp14:editId="3BB37192">
            <wp:extent cx="6120130" cy="222416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1" w:rsidRDefault="005F0FC1" w:rsidP="008F7911">
      <w:pPr>
        <w:tabs>
          <w:tab w:val="left" w:pos="1671"/>
        </w:tabs>
      </w:pPr>
      <w:r>
        <w:rPr>
          <w:noProof/>
          <w:lang w:eastAsia="lt-LT"/>
        </w:rPr>
        <w:drawing>
          <wp:inline distT="0" distB="0" distL="0" distR="0" wp14:anchorId="6E18CCE5" wp14:editId="48796BBF">
            <wp:extent cx="6120130" cy="222416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7A" w:rsidRDefault="00683B7A" w:rsidP="008F7911">
      <w:pPr>
        <w:tabs>
          <w:tab w:val="left" w:pos="1671"/>
        </w:tabs>
      </w:pPr>
      <w:r>
        <w:rPr>
          <w:noProof/>
          <w:lang w:eastAsia="lt-LT"/>
        </w:rPr>
        <w:drawing>
          <wp:anchor distT="0" distB="0" distL="114300" distR="114300" simplePos="0" relativeHeight="251666432" behindDoc="0" locked="0" layoutInCell="1" allowOverlap="1" wp14:anchorId="2F14B3E5" wp14:editId="48462D76">
            <wp:simplePos x="0" y="0"/>
            <wp:positionH relativeFrom="column">
              <wp:posOffset>-4169</wp:posOffset>
            </wp:positionH>
            <wp:positionV relativeFrom="paragraph">
              <wp:posOffset>2329180</wp:posOffset>
            </wp:positionV>
            <wp:extent cx="6120130" cy="222377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FC1">
        <w:rPr>
          <w:noProof/>
          <w:lang w:eastAsia="lt-LT"/>
        </w:rPr>
        <w:drawing>
          <wp:inline distT="0" distB="0" distL="0" distR="0" wp14:anchorId="215AFEC8" wp14:editId="3AECF235">
            <wp:extent cx="6120130" cy="222416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7A" w:rsidRDefault="00683B7A">
      <w:r>
        <w:br w:type="page"/>
      </w:r>
    </w:p>
    <w:p w:rsidR="005F0FC1" w:rsidRDefault="009F3DCF" w:rsidP="008F7911">
      <w:pPr>
        <w:tabs>
          <w:tab w:val="left" w:pos="1671"/>
        </w:tabs>
      </w:pPr>
      <w:r>
        <w:rPr>
          <w:noProof/>
          <w:lang w:eastAsia="lt-LT"/>
        </w:rPr>
        <w:lastRenderedPageBreak/>
        <w:drawing>
          <wp:inline distT="0" distB="0" distL="0" distR="0" wp14:anchorId="44C0F5CC" wp14:editId="22ABDF3F">
            <wp:extent cx="6120130" cy="222416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CF" w:rsidRDefault="009F3DCF" w:rsidP="008F7911">
      <w:pPr>
        <w:tabs>
          <w:tab w:val="left" w:pos="1671"/>
        </w:tabs>
      </w:pPr>
      <w:r>
        <w:rPr>
          <w:noProof/>
          <w:lang w:eastAsia="lt-LT"/>
        </w:rPr>
        <w:drawing>
          <wp:inline distT="0" distB="0" distL="0" distR="0" wp14:anchorId="513E6D59" wp14:editId="62F5D888">
            <wp:extent cx="6120130" cy="222416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CF" w:rsidRDefault="00390900" w:rsidP="008F7911">
      <w:pPr>
        <w:tabs>
          <w:tab w:val="left" w:pos="1671"/>
        </w:tabs>
        <w:rPr>
          <w:lang w:val="en-US"/>
        </w:rPr>
      </w:pPr>
      <w:r>
        <w:t xml:space="preserve">Prisiminus openMP </w:t>
      </w:r>
      <w:proofErr w:type="spellStart"/>
      <w:r>
        <w:rPr>
          <w:lang w:val="en-US"/>
        </w:rPr>
        <w:t>paleistą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sudaugint</w:t>
      </w:r>
      <w:proofErr w:type="spellEnd"/>
      <w:r>
        <w:rPr>
          <w:lang w:val="en-US"/>
        </w:rPr>
        <w:t xml:space="preserve"> 2000x2000 </w:t>
      </w:r>
      <w:proofErr w:type="spellStart"/>
      <w:r>
        <w:rPr>
          <w:lang w:val="en-US"/>
        </w:rPr>
        <w:t>matricą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užtruko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atitinkamai</w:t>
      </w:r>
      <w:proofErr w:type="spellEnd"/>
      <w:r>
        <w:rPr>
          <w:lang w:val="en-US"/>
        </w:rPr>
        <w:t xml:space="preserve"> 59.48sec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33.05sec. </w:t>
      </w:r>
      <w:proofErr w:type="spellStart"/>
      <w:r>
        <w:rPr>
          <w:lang w:val="en-US"/>
        </w:rPr>
        <w:t>Vadinasi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esmės</w:t>
      </w:r>
      <w:proofErr w:type="spellEnd"/>
      <w:r>
        <w:rPr>
          <w:lang w:val="en-US"/>
        </w:rPr>
        <w:t xml:space="preserve"> MPI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nesiskiria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išskyrus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MPI </w:t>
      </w:r>
      <w:proofErr w:type="spellStart"/>
      <w:r>
        <w:rPr>
          <w:lang w:val="en-US"/>
        </w:rPr>
        <w:t>greičiau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tampa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naudingesnis</w:t>
      </w:r>
      <w:proofErr w:type="spellEnd"/>
      <w:r>
        <w:rPr>
          <w:lang w:val="en-US"/>
        </w:rPr>
        <w:t>.</w:t>
      </w:r>
    </w:p>
    <w:p w:rsidR="009C3259" w:rsidRDefault="009C3259" w:rsidP="008F7911">
      <w:pPr>
        <w:tabs>
          <w:tab w:val="left" w:pos="1671"/>
        </w:tabs>
        <w:rPr>
          <w:lang w:val="en-US"/>
        </w:rPr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</w:p>
    <w:p w:rsidR="00855302" w:rsidRDefault="00855302" w:rsidP="008F7911">
      <w:pPr>
        <w:tabs>
          <w:tab w:val="left" w:pos="1671"/>
        </w:tabs>
      </w:pPr>
      <w:r>
        <w:lastRenderedPageBreak/>
        <w:t>MPI Laiko nuo matricų dydžių priklausomybės grafikas</w:t>
      </w:r>
    </w:p>
    <w:p w:rsidR="00AC5C70" w:rsidRDefault="00855302" w:rsidP="008F7911">
      <w:pPr>
        <w:tabs>
          <w:tab w:val="left" w:pos="1671"/>
        </w:tabs>
      </w:pPr>
      <w:r>
        <w:rPr>
          <w:noProof/>
          <w:lang w:eastAsia="lt-LT"/>
        </w:rPr>
        <w:drawing>
          <wp:inline distT="0" distB="0" distL="0" distR="0" wp14:anchorId="495E15B5" wp14:editId="397396EC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94E41" w:rsidRDefault="00AC5C70" w:rsidP="008F7911">
      <w:pPr>
        <w:tabs>
          <w:tab w:val="left" w:pos="1671"/>
        </w:tabs>
      </w:pPr>
      <w:r>
        <w:t>OpenMP ir MPI laiko priklausomybės nuo matricų dydžių grafikas</w:t>
      </w:r>
      <w:r w:rsidR="006A6AC7">
        <w:rPr>
          <w:noProof/>
          <w:lang w:eastAsia="lt-LT"/>
        </w:rPr>
        <w:drawing>
          <wp:inline distT="0" distB="0" distL="0" distR="0" wp14:anchorId="1B8CB036" wp14:editId="50233E51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</w:p>
    <w:p w:rsidR="00094E41" w:rsidRDefault="00094E41" w:rsidP="008F7911">
      <w:pPr>
        <w:tabs>
          <w:tab w:val="left" w:pos="1671"/>
        </w:tabs>
      </w:pPr>
      <w:r>
        <w:lastRenderedPageBreak/>
        <w:t>Mažoms matricoms:</w:t>
      </w:r>
    </w:p>
    <w:p w:rsidR="009C3259" w:rsidRPr="00390900" w:rsidRDefault="006A6AC7" w:rsidP="008F7911">
      <w:pPr>
        <w:tabs>
          <w:tab w:val="left" w:pos="1671"/>
        </w:tabs>
      </w:pPr>
      <w:r>
        <w:rPr>
          <w:noProof/>
          <w:lang w:eastAsia="lt-LT"/>
        </w:rPr>
        <w:drawing>
          <wp:inline distT="0" distB="0" distL="0" distR="0" wp14:anchorId="5D3656E1" wp14:editId="731A78EC">
            <wp:extent cx="4572000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6DE3C3D3" wp14:editId="599DEB38">
            <wp:extent cx="457200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83B7A" w:rsidRDefault="00683B7A" w:rsidP="008F7911">
      <w:pPr>
        <w:tabs>
          <w:tab w:val="left" w:pos="1671"/>
        </w:tabs>
      </w:pPr>
    </w:p>
    <w:p w:rsidR="0014036F" w:rsidRPr="008F7911" w:rsidRDefault="0014036F" w:rsidP="008F7911">
      <w:pPr>
        <w:tabs>
          <w:tab w:val="left" w:pos="1671"/>
        </w:tabs>
      </w:pPr>
      <w:r w:rsidRPr="00E1365F">
        <w:rPr>
          <w:b/>
        </w:rPr>
        <w:t>Išvados</w:t>
      </w:r>
      <w:r>
        <w:t>: MPI ir openMP atlieką tą pačią funkciją – paralelizuoja programos darbą paskirstydamą tam tikrą darbo dalies gabaliuką kiekvienam procesoriui.</w:t>
      </w:r>
      <w:r w:rsidR="00896BB5">
        <w:t xml:space="preserve"> Šiai užduočiai api veikia panašiai gerai, be jokių, itin svarbių skirtumų.</w:t>
      </w:r>
      <w:r w:rsidR="00097174">
        <w:t xml:space="preserve"> Tačiau jau net trumpoms programoms, MPI yra šiek tiek pranašesnis už openMP. Tačiau šis skirtumas, palyginus su skaičiais, žmogui vargu ar naudingas.</w:t>
      </w:r>
      <w:r w:rsidR="00193B07">
        <w:t xml:space="preserve"> Tik openMP yra daug draugiškesnis vartotojui, nei MPI – daug lengviau suprogramuoti ir suprasti kas vyksta naudojant openMP.</w:t>
      </w:r>
    </w:p>
    <w:sectPr w:rsidR="0014036F" w:rsidRPr="008F791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89C" w:rsidRDefault="001A489C" w:rsidP="00855302">
      <w:pPr>
        <w:spacing w:after="0" w:line="240" w:lineRule="auto"/>
      </w:pPr>
      <w:r>
        <w:separator/>
      </w:r>
    </w:p>
  </w:endnote>
  <w:endnote w:type="continuationSeparator" w:id="0">
    <w:p w:rsidR="001A489C" w:rsidRDefault="001A489C" w:rsidP="0085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89C" w:rsidRDefault="001A489C" w:rsidP="00855302">
      <w:pPr>
        <w:spacing w:after="0" w:line="240" w:lineRule="auto"/>
      </w:pPr>
      <w:r>
        <w:separator/>
      </w:r>
    </w:p>
  </w:footnote>
  <w:footnote w:type="continuationSeparator" w:id="0">
    <w:p w:rsidR="001A489C" w:rsidRDefault="001A489C" w:rsidP="00855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3E"/>
    <w:rsid w:val="00094E41"/>
    <w:rsid w:val="00097174"/>
    <w:rsid w:val="00124CFC"/>
    <w:rsid w:val="0014036F"/>
    <w:rsid w:val="00160307"/>
    <w:rsid w:val="00193B07"/>
    <w:rsid w:val="001A489C"/>
    <w:rsid w:val="00231791"/>
    <w:rsid w:val="00285A26"/>
    <w:rsid w:val="00310C40"/>
    <w:rsid w:val="00390900"/>
    <w:rsid w:val="003F1248"/>
    <w:rsid w:val="004F68E1"/>
    <w:rsid w:val="00560B9C"/>
    <w:rsid w:val="00572947"/>
    <w:rsid w:val="005B657A"/>
    <w:rsid w:val="005F0FC1"/>
    <w:rsid w:val="00683B7A"/>
    <w:rsid w:val="006A6AC7"/>
    <w:rsid w:val="007C347E"/>
    <w:rsid w:val="00855302"/>
    <w:rsid w:val="00896BB5"/>
    <w:rsid w:val="008F7911"/>
    <w:rsid w:val="00924A35"/>
    <w:rsid w:val="009C3259"/>
    <w:rsid w:val="009F3DCF"/>
    <w:rsid w:val="00A25224"/>
    <w:rsid w:val="00A82692"/>
    <w:rsid w:val="00AC5C70"/>
    <w:rsid w:val="00B72D64"/>
    <w:rsid w:val="00BC30ED"/>
    <w:rsid w:val="00BC5827"/>
    <w:rsid w:val="00C22C27"/>
    <w:rsid w:val="00CC2A9A"/>
    <w:rsid w:val="00CE333E"/>
    <w:rsid w:val="00DD5DA6"/>
    <w:rsid w:val="00DF7BC5"/>
    <w:rsid w:val="00E1365F"/>
    <w:rsid w:val="00E64ABA"/>
    <w:rsid w:val="00E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3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02"/>
  </w:style>
  <w:style w:type="paragraph" w:styleId="Footer">
    <w:name w:val="footer"/>
    <w:basedOn w:val="Normal"/>
    <w:link w:val="FooterChar"/>
    <w:uiPriority w:val="99"/>
    <w:unhideWhenUsed/>
    <w:rsid w:val="008553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3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02"/>
  </w:style>
  <w:style w:type="paragraph" w:styleId="Footer">
    <w:name w:val="footer"/>
    <w:basedOn w:val="Normal"/>
    <w:link w:val="FooterChar"/>
    <w:uiPriority w:val="99"/>
    <w:unhideWhenUsed/>
    <w:rsid w:val="008553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hart" Target="charts/chart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puga\Desktop\VU%20MIF%20ISIS\Komparchas\ND%205%20-%20Lygiagretieji%20skaiciavimai%20-%20MPI\skaiciavimai%20ir%20lyginima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puga\Desktop\VU%20MIF%20ISIS\Komparchas\ND%205%20-%20Lygiagretieji%20skaiciavimai%20-%20MPI\skaiciavimai%20ir%20lyginima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puga\Desktop\VU%20MIF%20ISIS\Komparchas\ND%205%20-%20Lygiagretieji%20skaiciavimai%20-%20MPI\skaiciavimai%20ir%20lyginima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puga\Desktop\VU%20MIF%20ISIS\Komparchas\ND%205%20-%20Lygiagretieji%20skaiciavimai%20-%20MPI\skaiciavimai%20ir%20lyginima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MPI 1 thread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Sheet1!$B$3:$M$3</c:f>
              <c:numCache>
                <c:formatCode>General</c:formatCode>
                <c:ptCount val="12"/>
                <c:pt idx="0">
                  <c:v>6.9999999999999999E-6</c:v>
                </c:pt>
                <c:pt idx="1">
                  <c:v>1.12E-4</c:v>
                </c:pt>
                <c:pt idx="2">
                  <c:v>7.4399999999999998E-4</c:v>
                </c:pt>
                <c:pt idx="3">
                  <c:v>5.8529999999999997E-3</c:v>
                </c:pt>
                <c:pt idx="4">
                  <c:v>0.120254</c:v>
                </c:pt>
                <c:pt idx="5">
                  <c:v>0</c:v>
                </c:pt>
                <c:pt idx="6" formatCode="#,##0.000000">
                  <c:v>2.4497</c:v>
                </c:pt>
                <c:pt idx="7">
                  <c:v>6.3755199999999999</c:v>
                </c:pt>
                <c:pt idx="8">
                  <c:v>16.260090999999999</c:v>
                </c:pt>
                <c:pt idx="9" formatCode="#,##0.000000">
                  <c:v>31.132439999999999</c:v>
                </c:pt>
                <c:pt idx="10">
                  <c:v>45.622621000000002</c:v>
                </c:pt>
                <c:pt idx="11">
                  <c:v>58.460549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MPI 2 threads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Sheet1!$B$5:$M$5</c:f>
              <c:numCache>
                <c:formatCode>General</c:formatCode>
                <c:ptCount val="12"/>
                <c:pt idx="0">
                  <c:v>2.4699999999999999E-4</c:v>
                </c:pt>
                <c:pt idx="1">
                  <c:v>4.0000000000000002E-4</c:v>
                </c:pt>
                <c:pt idx="2">
                  <c:v>7.7300000000000003E-4</c:v>
                </c:pt>
                <c:pt idx="3">
                  <c:v>3.8839999999999999E-3</c:v>
                </c:pt>
                <c:pt idx="4">
                  <c:v>6.8173999999999998E-2</c:v>
                </c:pt>
                <c:pt idx="5">
                  <c:v>0</c:v>
                </c:pt>
                <c:pt idx="6" formatCode="#,##0.000000">
                  <c:v>1.3934489999999999</c:v>
                </c:pt>
                <c:pt idx="7">
                  <c:v>4.5618299999999996</c:v>
                </c:pt>
                <c:pt idx="8">
                  <c:v>9.1306189999999994</c:v>
                </c:pt>
                <c:pt idx="9">
                  <c:v>15.516885</c:v>
                </c:pt>
                <c:pt idx="10">
                  <c:v>24.392053000000001</c:v>
                </c:pt>
                <c:pt idx="11">
                  <c:v>31.635418000000001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13504"/>
        <c:axId val="247943936"/>
      </c:lineChart>
      <c:catAx>
        <c:axId val="26701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Matric</a:t>
                </a:r>
                <a:r>
                  <a:rPr lang="lt-LT"/>
                  <a:t>ų</a:t>
                </a:r>
                <a:r>
                  <a:rPr lang="lt-LT" baseline="0"/>
                  <a:t> dydžiai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43936"/>
        <c:crosses val="autoZero"/>
        <c:auto val="1"/>
        <c:lblAlgn val="ctr"/>
        <c:lblOffset val="100"/>
        <c:noMultiLvlLbl val="0"/>
      </c:catAx>
      <c:valAx>
        <c:axId val="247943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Laikas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7013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Sheet1!$A$4</c:f>
              <c:strCache>
                <c:ptCount val="1"/>
                <c:pt idx="0">
                  <c:v>openMP 1 thread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Sheet1!$B$4:$M$4</c:f>
              <c:numCache>
                <c:formatCode>General</c:formatCode>
                <c:ptCount val="12"/>
                <c:pt idx="0">
                  <c:v>7.5500000000000003E-4</c:v>
                </c:pt>
                <c:pt idx="1">
                  <c:v>1.48E-3</c:v>
                </c:pt>
                <c:pt idx="2">
                  <c:v>0</c:v>
                </c:pt>
                <c:pt idx="3">
                  <c:v>7.5760000000000003E-3</c:v>
                </c:pt>
                <c:pt idx="4">
                  <c:v>0.17616799999999999</c:v>
                </c:pt>
                <c:pt idx="5">
                  <c:v>0.73103799999999997</c:v>
                </c:pt>
                <c:pt idx="6">
                  <c:v>2.5</c:v>
                </c:pt>
                <c:pt idx="7">
                  <c:v>7.2786140000000001</c:v>
                </c:pt>
                <c:pt idx="8">
                  <c:v>17</c:v>
                </c:pt>
                <c:pt idx="9">
                  <c:v>32</c:v>
                </c:pt>
                <c:pt idx="10">
                  <c:v>46</c:v>
                </c:pt>
                <c:pt idx="11">
                  <c:v>59.487419000000003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openMP 2 threads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Sheet1!$B$6:$M$6</c:f>
              <c:numCache>
                <c:formatCode>General</c:formatCode>
                <c:ptCount val="12"/>
                <c:pt idx="0">
                  <c:v>0.17699100000000001</c:v>
                </c:pt>
                <c:pt idx="1">
                  <c:v>4.156E-2</c:v>
                </c:pt>
                <c:pt idx="2">
                  <c:v>0</c:v>
                </c:pt>
                <c:pt idx="3">
                  <c:v>5.5449999999999999E-2</c:v>
                </c:pt>
                <c:pt idx="4">
                  <c:v>0.17688799999999999</c:v>
                </c:pt>
                <c:pt idx="5">
                  <c:v>0.46776400000000001</c:v>
                </c:pt>
                <c:pt idx="6">
                  <c:v>1.5</c:v>
                </c:pt>
                <c:pt idx="7">
                  <c:v>4.1835430000000002</c:v>
                </c:pt>
                <c:pt idx="8">
                  <c:v>10</c:v>
                </c:pt>
                <c:pt idx="9">
                  <c:v>17</c:v>
                </c:pt>
                <c:pt idx="10">
                  <c:v>25</c:v>
                </c:pt>
                <c:pt idx="11">
                  <c:v>33.045431999999998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Sheet1!$A$3</c:f>
              <c:strCache>
                <c:ptCount val="1"/>
                <c:pt idx="0">
                  <c:v>MPI 1 thread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Sheet1!$B$3:$M$3</c:f>
              <c:numCache>
                <c:formatCode>General</c:formatCode>
                <c:ptCount val="12"/>
                <c:pt idx="0">
                  <c:v>6.9999999999999999E-6</c:v>
                </c:pt>
                <c:pt idx="1">
                  <c:v>1.12E-4</c:v>
                </c:pt>
                <c:pt idx="2">
                  <c:v>7.4399999999999998E-4</c:v>
                </c:pt>
                <c:pt idx="3">
                  <c:v>5.8529999999999997E-3</c:v>
                </c:pt>
                <c:pt idx="4">
                  <c:v>0.120254</c:v>
                </c:pt>
                <c:pt idx="5">
                  <c:v>0</c:v>
                </c:pt>
                <c:pt idx="6" formatCode="#,##0.000000">
                  <c:v>2.4497</c:v>
                </c:pt>
                <c:pt idx="7">
                  <c:v>6.3755199999999999</c:v>
                </c:pt>
                <c:pt idx="8">
                  <c:v>16.260090999999999</c:v>
                </c:pt>
                <c:pt idx="9" formatCode="#,##0.000000">
                  <c:v>31.132439999999999</c:v>
                </c:pt>
                <c:pt idx="10">
                  <c:v>45.622621000000002</c:v>
                </c:pt>
                <c:pt idx="11">
                  <c:v>58.460549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MPI 2 threads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Sheet1!$B$5:$M$5</c:f>
              <c:numCache>
                <c:formatCode>General</c:formatCode>
                <c:ptCount val="12"/>
                <c:pt idx="0">
                  <c:v>2.4699999999999999E-4</c:v>
                </c:pt>
                <c:pt idx="1">
                  <c:v>4.0000000000000002E-4</c:v>
                </c:pt>
                <c:pt idx="2">
                  <c:v>7.7300000000000003E-4</c:v>
                </c:pt>
                <c:pt idx="3">
                  <c:v>3.8839999999999999E-3</c:v>
                </c:pt>
                <c:pt idx="4">
                  <c:v>6.8173999999999998E-2</c:v>
                </c:pt>
                <c:pt idx="5">
                  <c:v>0</c:v>
                </c:pt>
                <c:pt idx="6" formatCode="#,##0.000000">
                  <c:v>1.3934489999999999</c:v>
                </c:pt>
                <c:pt idx="7">
                  <c:v>4.5618299999999996</c:v>
                </c:pt>
                <c:pt idx="8">
                  <c:v>9.1306189999999994</c:v>
                </c:pt>
                <c:pt idx="9">
                  <c:v>15.516885</c:v>
                </c:pt>
                <c:pt idx="10">
                  <c:v>24.392053000000001</c:v>
                </c:pt>
                <c:pt idx="11">
                  <c:v>31.635418000000001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958528"/>
        <c:axId val="247964800"/>
      </c:lineChart>
      <c:catAx>
        <c:axId val="24795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Matric</a:t>
                </a:r>
                <a:r>
                  <a:rPr lang="lt-LT"/>
                  <a:t>ų</a:t>
                </a:r>
                <a:r>
                  <a:rPr lang="lt-LT" baseline="0"/>
                  <a:t> dydžiai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64800"/>
        <c:crosses val="autoZero"/>
        <c:auto val="1"/>
        <c:lblAlgn val="ctr"/>
        <c:lblOffset val="100"/>
        <c:noMultiLvlLbl val="0"/>
      </c:catAx>
      <c:valAx>
        <c:axId val="247964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Laikas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58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MPI 1 thread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Sheet1!$B$3:$D$3</c:f>
              <c:numCache>
                <c:formatCode>General</c:formatCode>
                <c:ptCount val="3"/>
                <c:pt idx="0">
                  <c:v>6.9999999999999999E-6</c:v>
                </c:pt>
                <c:pt idx="1">
                  <c:v>1.12E-4</c:v>
                </c:pt>
                <c:pt idx="2">
                  <c:v>7.4399999999999998E-4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MPI 2 threads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Sheet1!$B$5:$D$5</c:f>
              <c:numCache>
                <c:formatCode>General</c:formatCode>
                <c:ptCount val="3"/>
                <c:pt idx="0">
                  <c:v>2.4699999999999999E-4</c:v>
                </c:pt>
                <c:pt idx="1">
                  <c:v>4.0000000000000002E-4</c:v>
                </c:pt>
                <c:pt idx="2">
                  <c:v>7.7300000000000003E-4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981952"/>
        <c:axId val="247984128"/>
      </c:lineChart>
      <c:catAx>
        <c:axId val="247981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Matric</a:t>
                </a:r>
                <a:r>
                  <a:rPr lang="lt-LT"/>
                  <a:t>ų</a:t>
                </a:r>
                <a:r>
                  <a:rPr lang="lt-LT" baseline="0"/>
                  <a:t> dydžiai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84128"/>
        <c:crosses val="autoZero"/>
        <c:auto val="1"/>
        <c:lblAlgn val="ctr"/>
        <c:lblOffset val="100"/>
        <c:noMultiLvlLbl val="0"/>
      </c:catAx>
      <c:valAx>
        <c:axId val="247984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Laikas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81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Sheet1!$A$4</c:f>
              <c:strCache>
                <c:ptCount val="1"/>
                <c:pt idx="0">
                  <c:v>openMP 1 thread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Sheet1!$B$4:$C$4</c:f>
              <c:numCache>
                <c:formatCode>General</c:formatCode>
                <c:ptCount val="2"/>
                <c:pt idx="0">
                  <c:v>7.5500000000000003E-4</c:v>
                </c:pt>
                <c:pt idx="1">
                  <c:v>1.48E-3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openMP 2 threads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Sheet1!$B$6:$C$6</c:f>
              <c:numCache>
                <c:formatCode>General</c:formatCode>
                <c:ptCount val="2"/>
                <c:pt idx="0">
                  <c:v>0.17699100000000001</c:v>
                </c:pt>
                <c:pt idx="1">
                  <c:v>4.156E-2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Sheet1!$A$3</c:f>
              <c:strCache>
                <c:ptCount val="1"/>
                <c:pt idx="0">
                  <c:v>MPI 1 thread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Sheet1!$B$3:$D$3</c:f>
              <c:numCache>
                <c:formatCode>General</c:formatCode>
                <c:ptCount val="3"/>
                <c:pt idx="0">
                  <c:v>6.9999999999999999E-6</c:v>
                </c:pt>
                <c:pt idx="1">
                  <c:v>1.12E-4</c:v>
                </c:pt>
                <c:pt idx="2">
                  <c:v>7.4399999999999998E-4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MPI 2 threads</c:v>
                </c:pt>
              </c:strCache>
            </c:strRef>
          </c:tx>
          <c:marker>
            <c:symbol val="none"/>
          </c:marker>
          <c:cat>
            <c:numRef>
              <c:f>Sheet1!$B$2:$M$2</c:f>
              <c:numCache>
                <c:formatCode>General</c:formatCode>
                <c:ptCount val="12"/>
                <c:pt idx="0">
                  <c:v>3</c:v>
                </c:pt>
                <c:pt idx="1">
                  <c:v>20</c:v>
                </c:pt>
                <c:pt idx="2">
                  <c:v>45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1250</c:v>
                </c:pt>
                <c:pt idx="9">
                  <c:v>1500</c:v>
                </c:pt>
                <c:pt idx="10">
                  <c:v>1750</c:v>
                </c:pt>
                <c:pt idx="11">
                  <c:v>2000</c:v>
                </c:pt>
              </c:numCache>
            </c:numRef>
          </c:cat>
          <c:val>
            <c:numRef>
              <c:f>Sheet1!$B$5:$D$5</c:f>
              <c:numCache>
                <c:formatCode>General</c:formatCode>
                <c:ptCount val="3"/>
                <c:pt idx="0">
                  <c:v>2.4699999999999999E-4</c:v>
                </c:pt>
                <c:pt idx="1">
                  <c:v>4.0000000000000002E-4</c:v>
                </c:pt>
                <c:pt idx="2">
                  <c:v>7.7300000000000003E-4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125696"/>
        <c:axId val="248127872"/>
      </c:lineChart>
      <c:catAx>
        <c:axId val="248125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Matric</a:t>
                </a:r>
                <a:r>
                  <a:rPr lang="lt-LT"/>
                  <a:t>ų</a:t>
                </a:r>
                <a:r>
                  <a:rPr lang="lt-LT" baseline="0"/>
                  <a:t> dydžiai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8127872"/>
        <c:crosses val="autoZero"/>
        <c:auto val="1"/>
        <c:lblAlgn val="ctr"/>
        <c:lblOffset val="100"/>
        <c:noMultiLvlLbl val="0"/>
      </c:catAx>
      <c:valAx>
        <c:axId val="248127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Laikas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8125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1370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papuga</dc:creator>
  <cp:keywords/>
  <dc:description/>
  <cp:lastModifiedBy>papuga</cp:lastModifiedBy>
  <cp:revision>34</cp:revision>
  <dcterms:created xsi:type="dcterms:W3CDTF">2018-12-14T20:25:00Z</dcterms:created>
  <dcterms:modified xsi:type="dcterms:W3CDTF">2018-12-15T00:35:00Z</dcterms:modified>
</cp:coreProperties>
</file>