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 xml:space="preserve">CASO DE USO CU0010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Envio de Mensajes Privados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Layout w:type="fixed"/>
        <w:tblLook w:val="0000"/>
      </w:tblPr>
      <w:tblGrid>
        <w:gridCol w:w="3420"/>
        <w:gridCol w:w="3000"/>
        <w:gridCol w:w="3252"/>
        <w:tblGridChange w:id="0">
          <w:tblGrid>
            <w:gridCol w:w="3420"/>
            <w:gridCol w:w="3000"/>
            <w:gridCol w:w="3252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Elaboró: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Tomás Bourguet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Aprobó: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Revisó: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21/04/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7.0" w:type="dxa"/>
        <w:jc w:val="left"/>
        <w:tblInd w:w="147.0" w:type="dxa"/>
        <w:tblLayout w:type="fixed"/>
        <w:tblLook w:val="0000"/>
      </w:tblPr>
      <w:tblGrid>
        <w:gridCol w:w="2027"/>
        <w:gridCol w:w="6850"/>
        <w:tblGridChange w:id="0">
          <w:tblGrid>
            <w:gridCol w:w="2027"/>
            <w:gridCol w:w="685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Paquete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Mensajes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Envío de Mensajes Privados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Confeccionó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Tomás Bourguet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Relevó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Revisó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Permitirá al Usuario enviar mensajes a otros Usuarios de forma privada y personal.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Diariamente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 Curso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7410"/>
        <w:tblGridChange w:id="0">
          <w:tblGrid>
            <w:gridCol w:w="1470"/>
            <w:gridCol w:w="741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ha iniciado sesión en la plataforma.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existencia de otro usuario.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 (Flujo de Sucesos)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presiona el botón de mandar mensajes en la NavBar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hace una llamada a la Base de Datos para conseguir el listado de otros Usuarios con mensajes privados con el primer Usuario.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visualiza estos usuarios en la ventana “DMs”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a otro Usuario {4.1}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hace una llamada a la Base de Datos para conseguir el listado de mensajes intercambiados de dicho usuario.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visualiza estos mensajes en la ventana “Chat de @usuario”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el teclado, y escribe un mensaje. Presiona enviar.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envía el mensaje.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actualiza la ventana y notifica al otro Usuario.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DE CASO DE USO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5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 está el Usuario Deseado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podrá usar el botón “Buscar” para encontrar al usuario al cual se quiere contactar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 al paso 5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1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Requerimientos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1395"/>
        <w:gridCol w:w="6019"/>
        <w:tblGridChange w:id="0">
          <w:tblGrid>
            <w:gridCol w:w="1459"/>
            <w:gridCol w:w="1395"/>
            <w:gridCol w:w="6019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 1.1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interfaz debe ser intuitiva, un botón que deje en claro su función redireccionará a la vista de “DMs”.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 2.1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Eficiencia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recopilar y analizar los mensajes de las últimas 24hs de manera eficiente, para asegurar tiempos de respuesta rápidos.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 8.1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interfaz tiene que ser clara a la hora de mostrar si hay mensajes pendientes, mensajes no vistos.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2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{Ob n}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9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Documentación anexa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77.0" w:type="dxa"/>
        <w:jc w:val="left"/>
        <w:tblInd w:w="147.0" w:type="dxa"/>
        <w:tblLayout w:type="fixed"/>
        <w:tblLook w:val="0000"/>
      </w:tblPr>
      <w:tblGrid>
        <w:gridCol w:w="2452"/>
        <w:gridCol w:w="1417"/>
        <w:gridCol w:w="5008"/>
        <w:tblGridChange w:id="0">
          <w:tblGrid>
            <w:gridCol w:w="2452"/>
            <w:gridCol w:w="1417"/>
            <w:gridCol w:w="5008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Nombre/Lugar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683" w:top="332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8"/>
        <w:tab w:val="right" w:leader="none" w:pos="9637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de 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9672.0" w:type="dxa"/>
      <w:jc w:val="left"/>
      <w:tblLayout w:type="fixed"/>
      <w:tblLook w:val="0000"/>
    </w:tblPr>
    <w:tblGrid>
      <w:gridCol w:w="3420"/>
      <w:gridCol w:w="3000"/>
      <w:gridCol w:w="3252"/>
      <w:tblGridChange w:id="0">
        <w:tblGrid>
          <w:gridCol w:w="3420"/>
          <w:gridCol w:w="3000"/>
          <w:gridCol w:w="3252"/>
        </w:tblGrid>
      </w:tblGridChange>
    </w:tblGrid>
    <w:tr>
      <w:trPr>
        <w:cantSplit w:val="0"/>
        <w:trHeight w:val="54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CU001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 1.0</w:t>
          </w:r>
        </w:p>
      </w:tc>
    </w:tr>
    <w:tr>
      <w:trPr>
        <w:cantSplit w:val="0"/>
        <w:trHeight w:val="220" w:hRule="atLeast"/>
        <w:tblHeader w:val="0"/>
      </w:trPr>
      <w:tc>
        <w:tcPr>
          <w:gridSpan w:val="3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C">
          <w:pP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Caso de Uso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Envío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de Mensajes Pr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ivados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