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03460"/>
          <w:sz w:val="44"/>
        </w:rPr>
        <w:t>Appendix (B): The Shari'ah Basis for the Standard Summary</w:t>
      </w:r>
    </w:p>
    <w:p>
      <w:pPr>
        <w:spacing w:after="360"/>
      </w:pPr>
      <w:r>
        <w:rPr>
          <w:rFonts w:ascii="Calibri" w:hAnsi="Calibri"/>
          <w:i/>
          <w:color w:val="646464"/>
          <w:sz w:val="20"/>
        </w:rPr>
        <w:t>Islamic Banking Report • Generated on 2026-09-23 16:35:26</w:t>
      </w:r>
    </w:p>
    <w:p>
      <w:pPr>
        <w:spacing w:after="240"/>
      </w:pPr>
      <w:r>
        <w:rPr>
          <w:color w:val="C8C8C8"/>
        </w:rPr>
        <w:t>―――――――――――――――――――――――――――――――――――――――――――――</w:t>
      </w:r>
    </w:p>
    <w:p>
      <w:pPr>
        <w:spacing w:after="160"/>
      </w:pPr>
      <w:r>
        <w:rPr>
          <w:rFonts w:ascii="Calibri" w:hAnsi="Calibri"/>
          <w:b/>
          <w:color w:val="103460"/>
          <w:sz w:val="28"/>
        </w:rPr>
        <w:t>Summary &amp; Findings</w:t>
      </w:r>
    </w:p>
    <w:p>
      <w:pPr>
        <w:spacing w:line="276" w:lineRule="auto" w:after="120"/>
      </w:pPr>
      <w:r>
        <w:rPr>
          <w:rFonts w:ascii="Calibri" w:hAnsi="Calibri"/>
          <w:color w:val="1E1E1E"/>
          <w:sz w:val="22"/>
        </w:rPr>
        <w:t>Summary of Appendix (B): The Shari'ah Basis for the Standard (based on Shari'ah Standard No. 5: Guarantees):</w:t>
      </w:r>
    </w:p>
    <w:p>
      <w:pPr>
        <w:spacing w:line="276" w:lineRule="auto" w:after="120"/>
      </w:pPr>
      <w:r>
        <w:rPr>
          <w:rFonts w:ascii="Calibri" w:hAnsi="Calibri"/>
          <w:color w:val="1E1E1E"/>
          <w:sz w:val="22"/>
        </w:rPr>
        <w:t>1. Permissibility of Guarantees and Its Relevance to Contracts:</w:t>
      </w:r>
    </w:p>
    <w:p>
      <w:pPr>
        <w:spacing w:line="276" w:lineRule="auto" w:after="120"/>
        <w:ind w:left="360"/>
      </w:pPr>
      <w:r>
        <w:rPr>
          <w:rFonts w:ascii="Calibri" w:hAnsi="Calibri"/>
          <w:color w:val="1E1E1E"/>
          <w:sz w:val="22"/>
        </w:rPr>
        <w:t>• The basis for permitting guarantees in contracts is the protection of property, which aligns with one of the primary objectives of Shari'ah. Other authorities mentioned in the standard also support the general permissibility of guarantees.</w:t>
      </w:r>
    </w:p>
    <w:p>
      <w:pPr>
        <w:spacing w:line="276" w:lineRule="auto" w:after="120"/>
      </w:pPr>
      <w:r>
        <w:rPr>
          <w:rFonts w:ascii="Calibri" w:hAnsi="Calibri"/>
          <w:color w:val="1E1E1E"/>
          <w:sz w:val="22"/>
        </w:rPr>
        <w:t>2. Guarantees in Trust Contracts:</w:t>
      </w:r>
    </w:p>
    <w:p>
      <w:pPr>
        <w:spacing w:line="276" w:lineRule="auto" w:after="120"/>
        <w:ind w:left="360"/>
      </w:pPr>
      <w:r>
        <w:rPr>
          <w:rFonts w:ascii="Calibri" w:hAnsi="Calibri"/>
          <w:color w:val="1E1E1E"/>
          <w:sz w:val="22"/>
        </w:rPr>
        <w:t>• Assets held on trust must be returned to their owners promptly upon demand, in the manner they were received and in their original physical state.</w:t>
      </w:r>
    </w:p>
    <w:p>
      <w:pPr>
        <w:spacing w:line="276" w:lineRule="auto" w:after="120"/>
        <w:ind w:left="360"/>
      </w:pPr>
      <w:r>
        <w:rPr>
          <w:rFonts w:ascii="Calibri" w:hAnsi="Calibri"/>
          <w:color w:val="1E1E1E"/>
          <w:sz w:val="22"/>
        </w:rPr>
        <w:t>• This principle is supported by the Qur'anic verse: {"Allah doth command you to render back your trusts to those to whom they are due"}.</w:t>
      </w:r>
    </w:p>
    <w:p>
      <w:pPr>
        <w:spacing w:line="276" w:lineRule="auto" w:after="120"/>
        <w:ind w:left="360"/>
      </w:pPr>
      <w:r>
        <w:rPr>
          <w:rFonts w:ascii="Calibri" w:hAnsi="Calibri"/>
          <w:color w:val="1E1E1E"/>
          <w:sz w:val="22"/>
        </w:rPr>
        <w:t>• Because trust assets are not subject to exchange and are intended for custody (with permission to use, such as deposits) or charitable acts (such as a loan of tangible assets), holders are treated as trustees from the outset.</w:t>
      </w:r>
    </w:p>
    <w:p>
      <w:pPr>
        <w:spacing w:line="276" w:lineRule="auto" w:after="120"/>
        <w:ind w:left="360"/>
      </w:pPr>
      <w:r>
        <w:rPr>
          <w:rFonts w:ascii="Calibri" w:hAnsi="Calibri"/>
          <w:color w:val="1E1E1E"/>
          <w:sz w:val="22"/>
        </w:rPr>
        <w:t>• As a core principle of Shari'ah, a trustee is not held liable unless there is a breach or default.</w:t>
      </w:r>
    </w:p>
    <w:p>
      <w:pPr>
        <w:spacing w:after="280"/>
      </w:pPr>
    </w:p>
    <w:p>
      <w:pPr>
        <w:spacing w:after="80"/>
      </w:pPr>
      <w:r>
        <w:rPr>
          <w:rFonts w:ascii="Calibri" w:hAnsi="Calibri"/>
          <w:b/>
          <w:color w:val="785014"/>
          <w:sz w:val="22"/>
        </w:rPr>
        <w:t>Shariah Advisory &amp; Legal Disclaimer</w:t>
      </w:r>
    </w:p>
    <w:p>
      <w:pPr>
        <w:spacing w:after="240"/>
      </w:pPr>
      <w:r>
        <w:rPr>
          <w:rFonts w:ascii="Calibri" w:hAnsi="Calibri"/>
          <w:i/>
          <w:color w:val="6E6E6E"/>
          <w:sz w:val="19"/>
        </w:rPr>
        <w:t>Disclaimer: This document is generated for informational purposes only based on approved Shariah-compliant banking documentation. It does not constitute a formal financial contract, offer, or binding commitment. Shariah interpretations and product terms may be updated periodically. Please consult with a qualified Shariah advisor or authorized bank officer before entering into any financial transaction.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