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03460"/>
          <w:sz w:val="44"/>
        </w:rPr>
        <w:t>Murabaha</w:t>
      </w:r>
    </w:p>
    <w:p>
      <w:pPr>
        <w:spacing w:after="360"/>
      </w:pPr>
      <w:r>
        <w:rPr>
          <w:rFonts w:ascii="Calibri" w:hAnsi="Calibri"/>
          <w:i/>
          <w:color w:val="646464"/>
          <w:sz w:val="20"/>
        </w:rPr>
        <w:t>Islamic Banking Report • Generated on 2026-09-23 11:01:52</w:t>
      </w:r>
    </w:p>
    <w:p>
      <w:pPr>
        <w:spacing w:after="24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after="160"/>
      </w:pPr>
      <w:r>
        <w:rPr>
          <w:rFonts w:ascii="Calibri" w:hAnsi="Calibri"/>
          <w:b/>
          <w:color w:val="103460"/>
          <w:sz w:val="28"/>
        </w:rPr>
        <w:t>Summary &amp; Findings</w:t>
      </w:r>
    </w:p>
    <w:p>
      <w:pPr>
        <w:spacing w:line="276" w:lineRule="auto" w:after="120"/>
      </w:pPr>
      <w:r>
        <w:rPr>
          <w:rFonts w:ascii="Calibri" w:hAnsi="Calibri"/>
          <w:color w:val="1E1E1E"/>
          <w:sz w:val="22"/>
        </w:rPr>
        <w:t>Murabaha is cost-plus sale.</w:t>
      </w:r>
    </w:p>
    <w:p>
      <w:pPr>
        <w:spacing w:after="280"/>
      </w:pPr>
    </w:p>
    <w:p>
      <w:pPr>
        <w:spacing w:after="80"/>
      </w:pPr>
      <w:r>
        <w:rPr>
          <w:rFonts w:ascii="Calibri" w:hAnsi="Calibri"/>
          <w:b/>
          <w:color w:val="785014"/>
          <w:sz w:val="22"/>
        </w:rPr>
        <w:t>Shariah Advisory &amp; Legal Disclaimer</w:t>
      </w:r>
    </w:p>
    <w:p>
      <w:pPr>
        <w:spacing w:after="240"/>
      </w:pPr>
      <w:r>
        <w:rPr>
          <w:rFonts w:ascii="Calibri" w:hAnsi="Calibri"/>
          <w:i/>
          <w:color w:val="6E6E6E"/>
          <w:sz w:val="19"/>
        </w:rPr>
        <w:t>Disclaimer: This document is generated for informational purposes only based on approved Shariah-compliant banking documentation. It does not constitute a formal financial contract, offer, or binding commitment. Shariah interpretations and product terms may be updated periodically. Please consult with a qualified Shariah advisor or authorized bank officer before entering into any financial transaction.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