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left"/>
      </w:pPr>
      <w:r>
        <w:rPr>
          <w:rFonts w:ascii="Calibri" w:hAnsi="Calibri"/>
          <w:b/>
          <w:color w:val="103460"/>
          <w:sz w:val="44"/>
        </w:rPr>
        <w:t>Murabaha Financing</w:t>
      </w:r>
    </w:p>
    <w:p>
      <w:pPr>
        <w:spacing w:after="360"/>
      </w:pPr>
      <w:r>
        <w:rPr>
          <w:rFonts w:ascii="Calibri" w:hAnsi="Calibri"/>
          <w:i/>
          <w:color w:val="646464"/>
          <w:sz w:val="20"/>
        </w:rPr>
        <w:t>Islamic Banking Report • Generated on 2026-09-23 11:09:52</w:t>
      </w:r>
    </w:p>
    <w:p>
      <w:pPr>
        <w:spacing w:after="240"/>
      </w:pPr>
      <w:r>
        <w:rPr>
          <w:color w:val="C8C8C8"/>
        </w:rPr>
        <w:t>―――――――――――――――――――――――――――――――――――――――――――――</w:t>
      </w:r>
    </w:p>
    <w:p>
      <w:pPr>
        <w:spacing w:after="160"/>
      </w:pPr>
      <w:r>
        <w:rPr>
          <w:rFonts w:ascii="Calibri" w:hAnsi="Calibri"/>
          <w:b/>
          <w:color w:val="103460"/>
          <w:sz w:val="28"/>
        </w:rPr>
        <w:t>Summary &amp; Findings</w:t>
      </w:r>
    </w:p>
    <w:p>
      <w:pPr>
        <w:spacing w:line="276" w:lineRule="auto" w:after="120"/>
      </w:pPr>
      <w:r>
        <w:rPr>
          <w:rFonts w:ascii="Calibri" w:hAnsi="Calibri"/>
          <w:color w:val="1E1E1E"/>
          <w:sz w:val="22"/>
        </w:rPr>
        <w:t>Murabaha is a Shariah-compliant financing method offered by LOLC Islamic Banking. It is a cost-plus-profit sale where the bank purchases the actual asset the customer needs and resells it to the customer at a transparent, fixed mark-up. This mark-up is agreed and disclosed upfront, and the total price is repayable in instalments. Unlike conventional loans, there is no accruing interest (riba) in Murabaha. It is an asset-backed financing method, commonly used for vehicle, consumer, and trade financing, and replaces conventional working-capital loans. The profit margin is fixed and disclosed at the outset, ensuring transparency. This approach aligns with Islamic principles by excluding interest and tying returns to real economic activity, with risk and reward shared between the bank and the customer.</w:t>
      </w:r>
    </w:p>
    <w:p>
      <w:pPr>
        <w:spacing w:after="280"/>
      </w:pPr>
    </w:p>
    <w:p>
      <w:pPr>
        <w:spacing w:after="80"/>
      </w:pPr>
      <w:r>
        <w:rPr>
          <w:rFonts w:ascii="Calibri" w:hAnsi="Calibri"/>
          <w:b/>
          <w:color w:val="785014"/>
          <w:sz w:val="22"/>
        </w:rPr>
        <w:t>Shariah Advisory &amp; Legal Disclaimer</w:t>
      </w:r>
    </w:p>
    <w:p>
      <w:pPr>
        <w:spacing w:after="240"/>
      </w:pPr>
      <w:r>
        <w:rPr>
          <w:rFonts w:ascii="Calibri" w:hAnsi="Calibri"/>
          <w:i/>
          <w:color w:val="6E6E6E"/>
          <w:sz w:val="19"/>
        </w:rPr>
        <w:t>Disclaimer: This document is generated for informational purposes only based on approved Shariah-compliant banking documentation. It does not constitute a formal financial contract, offer, or binding commitment. Shariah interpretations and product terms may be updated periodically. Please consult with a qualified Shariah advisor or authorized bank officer before entering into any financial transaction.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