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2"/>
          <w:szCs w:val="22"/>
        </w:rPr>
        <w:t xml:space="preserve"/>
      </w:r>
    </w:p>
    <w:p>
      <w:pPr>
        <w:spacing w:after="160"/>
        <w:jc w:val="center"/>
      </w:pPr>
      <w:r>
        <w:rPr>
          <w:rFonts w:ascii="Arial" w:cs="Arial" w:eastAsia="Arial" w:hAnsi="Arial"/>
          <w:b/>
          <w:bCs/>
          <w:color w:val="1F4E79"/>
          <w:sz w:val="72"/>
          <w:szCs w:val="72"/>
        </w:rPr>
        <w:t xml:space="preserve">PROVENIX</w:t>
      </w:r>
    </w:p>
    <w:p>
      <w:pPr>
        <w:spacing w:after="80"/>
        <w:jc w:val="center"/>
      </w:pPr>
      <w:r>
        <w:rPr>
          <w:rFonts w:ascii="Arial" w:cs="Arial" w:eastAsia="Arial" w:hAnsi="Arial"/>
          <w:color w:val="2E75B6"/>
          <w:sz w:val="36"/>
          <w:szCs w:val="36"/>
        </w:rPr>
        <w:t xml:space="preserve">Product &amp; MVP Document</w:t>
      </w:r>
    </w:p>
    <w:p>
      <w:pPr>
        <w:spacing w:after="80"/>
        <w:jc w:val="center"/>
      </w:pPr>
      <w:r>
        <w:rPr>
          <w:rFonts w:ascii="Arial" w:cs="Arial" w:eastAsia="Arial" w:hAnsi="Arial"/>
          <w:i/>
          <w:iCs/>
          <w:color w:val="666666"/>
          <w:sz w:val="28"/>
          <w:szCs w:val="28"/>
        </w:rPr>
        <w:t xml:space="preserve">Version 0.4</w:t>
      </w:r>
    </w:p>
    <w:p>
      <w:pPr>
        <w:spacing w:after="480"/>
        <w:jc w:val="center"/>
      </w:pPr>
      <w:r>
        <w:rPr>
          <w:rFonts w:ascii="Arial" w:cs="Arial" w:eastAsia="Arial" w:hAnsi="Arial"/>
          <w:color w:val="888888"/>
          <w:sz w:val="24"/>
          <w:szCs w:val="24"/>
        </w:rPr>
        <w:t xml:space="preserve">June 2026</w:t>
      </w:r>
    </w:p>
    <w:p>
      <w:pPr>
        <w:pBdr>
          <w:bottom w:val="single" w:color="2E75B6" w:sz="4" w:space="1"/>
        </w:pBdr>
        <w:spacing w:after="480"/>
        <w:jc w:val="center"/>
      </w:pPr>
    </w:p>
    <w:p>
      <w:pPr>
        <w:spacing w:after="720"/>
        <w:jc w:val="center"/>
      </w:pPr>
      <w:r>
        <w:rPr>
          <w:rFonts w:ascii="Arial" w:cs="Arial" w:eastAsia="Arial" w:hAnsi="Arial"/>
          <w:i/>
          <w:iCs/>
          <w:color w:val="444444"/>
          <w:sz w:val="26"/>
          <w:szCs w:val="26"/>
        </w:rPr>
        <w:t xml:space="preserve">Supplement Transparency &amp; Supply Chain Integrity Platform</w:t>
      </w:r>
    </w:p>
    <w:p>
      <w:pPr>
        <w:spacing w:after="0"/>
        <w:jc w:val="center"/>
      </w:pPr>
      <w:r>
        <w:rPr>
          <w:rFonts w:ascii="Arial" w:cs="Arial" w:eastAsia="Arial" w:hAnsi="Arial"/>
          <w:b/>
          <w:bCs/>
          <w:color w:val="AA0000"/>
          <w:sz w:val="20"/>
          <w:szCs w:val="20"/>
        </w:rPr>
        <w:t xml:space="preserve">CONFIDENTIAL — FOR INTERNAL USE</w:t>
      </w:r>
    </w:p>
    <w:p>
      <w:r>
        <w:br w:type="page"/>
      </w:r>
    </w:p>
    <w:p>
      <w:pPr>
        <w:pStyle w:val="Heading1"/>
        <w:spacing w:after="200" w:before="480"/>
      </w:pPr>
      <w:r>
        <w:rPr>
          <w:rFonts w:ascii="Arial" w:cs="Arial" w:eastAsia="Arial" w:hAnsi="Arial"/>
          <w:b/>
          <w:bCs/>
          <w:color w:val="1F4E79"/>
          <w:sz w:val="36"/>
          <w:szCs w:val="36"/>
        </w:rPr>
        <w:t xml:space="preserve">1. Executive Summary</w:t>
      </w:r>
    </w:p>
    <w:p>
      <w:pPr>
        <w:spacing w:after="160"/>
      </w:pPr>
      <w:r>
        <w:rPr>
          <w:rFonts w:ascii="Arial" w:cs="Arial" w:eastAsia="Arial" w:hAnsi="Arial"/>
          <w:sz w:val="22"/>
          <w:szCs w:val="22"/>
        </w:rPr>
        <w:t xml:space="preserve">Provenix is a supplement transparency platform that surfaces what supplement labels are legally allowed to hide: who actually manufactured the product, whether that facility has a compliance history, and whether quality claims ("lab tested," "COA verified") are meaningful or empty marketing.</w:t>
      </w:r>
    </w:p>
    <w:p>
      <w:pPr>
        <w:spacing w:after="160"/>
      </w:pPr>
      <w:r>
        <w:rPr>
          <w:rFonts w:ascii="Arial" w:cs="Arial" w:eastAsia="Arial" w:hAnsi="Arial"/>
          <w:sz w:val="22"/>
          <w:szCs w:val="22"/>
        </w:rPr>
        <w:t xml:space="preserve">The core gap Provenix fills is structural, not informational. Under 21 CFR 101.5, supplement labels are only required to name a manufacturer, packer, or distributor — and the law explicitly permits brands to list only their own name and address even when a contract manufacturer made the product. No existing consumer tool resolves this. Provenix does.</w:t>
      </w:r>
    </w:p>
    <w:p>
      <w:pPr>
        <w:pStyle w:val="Heading3"/>
        <w:spacing w:after="120" w:before="240"/>
      </w:pPr>
      <w:r>
        <w:rPr>
          <w:rFonts w:ascii="Arial" w:cs="Arial" w:eastAsia="Arial" w:hAnsi="Arial"/>
          <w:b/>
          <w:bCs/>
          <w:sz w:val="24"/>
          <w:szCs w:val="24"/>
        </w:rPr>
        <w:t xml:space="preserve">What Provenix is not</w:t>
      </w:r>
    </w:p>
    <w:p>
      <w:pPr>
        <w:spacing w:after="160"/>
      </w:pPr>
      <w:r>
        <w:rPr>
          <w:rFonts w:ascii="Arial" w:cs="Arial" w:eastAsia="Arial" w:hAnsi="Arial"/>
          <w:sz w:val="22"/>
          <w:szCs w:val="22"/>
        </w:rPr>
        <w:t xml:space="preserve">Provenix does not score supplement efficacy. It does not make health claims about ingredients. It does not replace clinical guidance. It is a provenance and compliance tool — factual, never editorial — that tells consumers and clinicians what they can actually verify about a supplement's supply chain, not what a brand chooses to say about its product.</w:t>
      </w:r>
    </w:p>
    <w:p>
      <w:pPr>
        <w:pStyle w:val="Heading3"/>
        <w:spacing w:after="120" w:before="240"/>
      </w:pPr>
      <w:r>
        <w:rPr>
          <w:rFonts w:ascii="Arial" w:cs="Arial" w:eastAsia="Arial" w:hAnsi="Arial"/>
          <w:b/>
          <w:bCs/>
          <w:sz w:val="24"/>
          <w:szCs w:val="24"/>
        </w:rPr>
        <w:t xml:space="preserve">Revenue model</w:t>
      </w:r>
    </w:p>
    <w:p>
      <w:pPr>
        <w:spacing w:after="160"/>
      </w:pPr>
      <w:r>
        <w:rPr>
          <w:rFonts w:ascii="Arial" w:cs="Arial" w:eastAsia="Arial" w:hAnsi="Arial"/>
          <w:b/>
          <w:bCs/>
          <w:sz w:val="22"/>
          <w:szCs w:val="22"/>
        </w:rPr>
        <w:t xml:space="preserve">Consumer app:</w:t>
      </w:r>
      <w:r>
        <w:rPr>
          <w:rFonts w:ascii="Arial" w:cs="Arial" w:eastAsia="Arial" w:hAnsi="Arial"/>
          <w:sz w:val="22"/>
          <w:szCs w:val="22"/>
        </w:rPr>
        <w:t xml:space="preserve"> Free at launch. No paywall on core functionality. The Trust Score and product profiles are fully accessible. The 'free because we don't sell your data' positioning is a market differentiator. Paid tier introduced only once beta user behavior data informs what drives genuine willingness to pay.</w:t>
      </w:r>
    </w:p>
    <w:p>
      <w:pPr>
        <w:spacing w:after="80"/>
      </w:pPr>
      <w:r>
        <w:rPr>
          <w:rFonts w:ascii="Arial" w:cs="Arial" w:eastAsia="Arial" w:hAnsi="Arial"/>
          <w:sz w:val="22"/>
          <w:szCs w:val="22"/>
        </w:rPr>
        <w:t xml:space="preserve"/>
      </w:r>
    </w:p>
    <w:p>
      <w:pPr>
        <w:spacing w:after="160"/>
      </w:pPr>
      <w:r>
        <w:rPr>
          <w:rFonts w:ascii="Arial" w:cs="Arial" w:eastAsia="Arial" w:hAnsi="Arial"/>
          <w:b/>
          <w:bCs/>
          <w:sz w:val="22"/>
          <w:szCs w:val="22"/>
        </w:rPr>
        <w:t xml:space="preserve">B2B clinical pilot (Phase 1):</w:t>
      </w:r>
      <w:r>
        <w:rPr>
          <w:rFonts w:ascii="Arial" w:cs="Arial" w:eastAsia="Arial" w:hAnsi="Arial"/>
          <w:sz w:val="22"/>
          <w:szCs w:val="22"/>
        </w:rPr>
        <w:t xml:space="preserve"> A small-scale B2B pilot — two to three functional medicine practices — runs in parallel with consumer launch, not as a Phase 3 afterthought. Same underlying data, different packaging and delivery. This is the de-risked near-term revenue path and leverages the physician co-founder's direct access to the target customer.</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Both the consumer free-launch decision and the Phase 1 B2B pilot are Jason's strong leaning. These are proposed decisions that need your input before they're locked.</w:t>
            </w:r>
          </w:p>
          <w:p>
            <w:pPr>
              <w:spacing w:after="80"/>
            </w:pPr>
            <w:r>
              <w:rPr>
                <w:rFonts w:ascii="Arial" w:cs="Arial" w:eastAsia="Arial" w:hAnsi="Arial"/>
                <w:i/>
                <w:iCs/>
                <w:sz w:val="20"/>
                <w:szCs w:val="20"/>
              </w:rPr>
              <w:t xml:space="preserve">Key discussion: Does the B2B-first revenue framing align with your vision for Provenix's mission and your own role? The clinical credibility you bring is the primary door-opener for B2B. That's a feature, but it also means more of your time goes to clinical practice relationships in year one rather than pure product/patient work.</w:t>
            </w:r>
          </w:p>
          <w:p>
            <w:pPr>
              <w:spacing w:after="0"/>
            </w:pPr>
            <w:r>
              <w:rPr>
                <w:rFonts w:ascii="Arial" w:cs="Arial" w:eastAsia="Arial" w:hAnsi="Arial"/>
                <w:i/>
                <w:iCs/>
                <w:sz w:val="20"/>
                <w:szCs w:val="20"/>
              </w:rPr>
              <w:t xml:space="preserve">Suggested agenda item before next investor conversation: deliberate pricing decision for both consumer and B2B tiers, and explicit revenue sequencing agreement between co-founders.</w:t>
            </w:r>
          </w:p>
        </w:tc>
      </w:tr>
    </w:tbl>
    <w:p>
      <w:pPr>
        <w:spacing w:after="16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The honest data reality</w:t>
      </w:r>
    </w:p>
    <w:p>
      <w:pPr>
        <w:spacing w:after="160"/>
      </w:pPr>
      <w:r>
        <w:rPr>
          <w:rFonts w:ascii="Arial" w:cs="Arial" w:eastAsia="Arial" w:hAnsi="Arial"/>
          <w:sz w:val="22"/>
          <w:szCs w:val="22"/>
        </w:rPr>
        <w:t xml:space="preserve">Manufacturer resolution is probabilistic, not deterministic. A barcode scan resolves brand and product reliably. The contract manufacturer behind that product resolves through a separate, partially manual inference layer that will be right for a growing curated set and 'unresolved, here's what we do know' for the rest. This is an honest product state, not a failure state. It's also defensible and, in the supplement industry, genuinely more transparency than anyone currently provides.</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2. Problem Statement</w:t>
      </w:r>
    </w:p>
    <w:p>
      <w:pPr>
        <w:spacing w:after="160"/>
      </w:pPr>
      <w:r>
        <w:rPr>
          <w:rFonts w:ascii="Arial" w:cs="Arial" w:eastAsia="Arial" w:hAnsi="Arial"/>
          <w:sz w:val="22"/>
          <w:szCs w:val="22"/>
        </w:rPr>
        <w:t xml:space="preserve">The U.S. dietary supplement industry exceeds $50 billion annually and is growing. Unlike prescription drugs, supplements require no pre-market approval, no demonstrated efficacy, and no mandatory facility inspection before products reach shelves. The result is a market where consumer trust rests almost entirely on brand claims that are structurally difficult to verify.</w:t>
      </w:r>
    </w:p>
    <w:p>
      <w:pPr>
        <w:pStyle w:val="Heading3"/>
        <w:spacing w:after="120" w:before="240"/>
      </w:pPr>
      <w:r>
        <w:rPr>
          <w:rFonts w:ascii="Arial" w:cs="Arial" w:eastAsia="Arial" w:hAnsi="Arial"/>
          <w:b/>
          <w:bCs/>
          <w:sz w:val="24"/>
          <w:szCs w:val="24"/>
        </w:rPr>
        <w:t xml:space="preserve">The manufacturer identity problem</w:t>
      </w:r>
    </w:p>
    <w:p>
      <w:pPr>
        <w:spacing w:after="160"/>
      </w:pPr>
      <w:r>
        <w:rPr>
          <w:rFonts w:ascii="Arial" w:cs="Arial" w:eastAsia="Arial" w:hAnsi="Arial"/>
          <w:sz w:val="22"/>
          <w:szCs w:val="22"/>
        </w:rPr>
        <w:t xml:space="preserve">Federal labeling law (21 CFR 101.5) requires a supplement label to identify the manufacturer, packer, or distributor — but any one of those three satisfies the requirement. When a brand uses a contract manufacturer, the brand's name and address is legally sufficient on the label. The actual facility that made the product never has to appear. This is not a compliance gap; it is the law operating exactly as written. It means:</w:t>
      </w:r>
    </w:p>
    <w:p>
      <w:pPr>
        <w:pStyle w:val="ListParagraph"/>
        <w:numPr>
          <w:ilvl w:val="0"/>
          <w:numId w:val="2"/>
        </w:numPr>
        <w:spacing w:after="100"/>
      </w:pPr>
      <w:r>
        <w:rPr>
          <w:rFonts w:ascii="Arial" w:cs="Arial" w:eastAsia="Arial" w:hAnsi="Arial"/>
          <w:sz w:val="22"/>
          <w:szCs w:val="22"/>
        </w:rPr>
        <w:t xml:space="preserve">A product labeled "Distributed by [Brand]" gives consumers zero information about the manufacturing facility.</w:t>
      </w:r>
    </w:p>
    <w:p>
      <w:pPr>
        <w:pStyle w:val="ListParagraph"/>
        <w:numPr>
          <w:ilvl w:val="0"/>
          <w:numId w:val="2"/>
        </w:numPr>
        <w:spacing w:after="100"/>
      </w:pPr>
      <w:r>
        <w:rPr>
          <w:rFonts w:ascii="Arial" w:cs="Arial" w:eastAsia="Arial" w:hAnsi="Arial"/>
          <w:sz w:val="22"/>
          <w:szCs w:val="22"/>
        </w:rPr>
        <w:t xml:space="preserve">The same brand can switch contract manufacturers between lots with no consumer-facing disclosure.</w:t>
      </w:r>
    </w:p>
    <w:p>
      <w:pPr>
        <w:pStyle w:val="ListParagraph"/>
        <w:numPr>
          <w:ilvl w:val="0"/>
          <w:numId w:val="2"/>
        </w:numPr>
        <w:spacing w:after="100"/>
      </w:pPr>
      <w:r>
        <w:rPr>
          <w:rFonts w:ascii="Arial" w:cs="Arial" w:eastAsia="Arial" w:hAnsi="Arial"/>
          <w:sz w:val="22"/>
          <w:szCs w:val="22"/>
        </w:rPr>
        <w:t xml:space="preserve">FDA enforcement actions against a contract manufacturer may be invisible to consumers buying that manufacturer's products under multiple brand names.</w:t>
      </w:r>
    </w:p>
    <w:p>
      <w:pPr>
        <w:pStyle w:val="Heading3"/>
        <w:spacing w:after="120" w:before="240"/>
      </w:pPr>
      <w:r>
        <w:rPr>
          <w:rFonts w:ascii="Arial" w:cs="Arial" w:eastAsia="Arial" w:hAnsi="Arial"/>
          <w:b/>
          <w:bCs/>
          <w:sz w:val="24"/>
          <w:szCs w:val="24"/>
        </w:rPr>
        <w:t xml:space="preserve">The lab testing credibility gap</w:t>
      </w:r>
    </w:p>
    <w:p>
      <w:pPr>
        <w:spacing w:after="160"/>
      </w:pPr>
      <w:r>
        <w:rPr>
          <w:rFonts w:ascii="Arial" w:cs="Arial" w:eastAsia="Arial" w:hAnsi="Arial"/>
          <w:sz w:val="22"/>
          <w:szCs w:val="22"/>
        </w:rPr>
        <w:t xml:space="preserve">"Lab tested," "third-party verified," and "COA included" appear on a large share of supplement labels. None of these phrases has a regulated definition. Specifically:</w:t>
      </w:r>
    </w:p>
    <w:p>
      <w:pPr>
        <w:pStyle w:val="ListParagraph"/>
        <w:numPr>
          <w:ilvl w:val="0"/>
          <w:numId w:val="2"/>
        </w:numPr>
        <w:spacing w:after="100"/>
      </w:pPr>
      <w:r>
        <w:rPr>
          <w:rFonts w:ascii="Arial" w:cs="Arial" w:eastAsia="Arial" w:hAnsi="Arial"/>
          <w:sz w:val="22"/>
          <w:szCs w:val="22"/>
        </w:rPr>
        <w:t xml:space="preserve">A certificate of analysis (COA) confirms what a manufacturer tested — but not every lot is tested, and COA availability is rarely per-lot or publicly accessible.</w:t>
      </w:r>
    </w:p>
    <w:p>
      <w:pPr>
        <w:pStyle w:val="ListParagraph"/>
        <w:numPr>
          <w:ilvl w:val="0"/>
          <w:numId w:val="2"/>
        </w:numPr>
        <w:spacing w:after="100"/>
      </w:pPr>
      <w:r>
        <w:rPr>
          <w:rFonts w:ascii="Arial" w:cs="Arial" w:eastAsia="Arial" w:hAnsi="Arial"/>
          <w:sz w:val="22"/>
          <w:szCs w:val="22"/>
        </w:rPr>
        <w:t xml:space="preserve">"Third-party tested" does not specify who tested it, what they tested for, or whether the certification covers the current lot.</w:t>
      </w:r>
    </w:p>
    <w:p>
      <w:pPr>
        <w:pStyle w:val="ListParagraph"/>
        <w:numPr>
          <w:ilvl w:val="0"/>
          <w:numId w:val="2"/>
        </w:numPr>
        <w:spacing w:after="100"/>
      </w:pPr>
      <w:r>
        <w:rPr>
          <w:rFonts w:ascii="Arial" w:cs="Arial" w:eastAsia="Arial" w:hAnsi="Arial"/>
          <w:sz w:val="22"/>
          <w:szCs w:val="22"/>
        </w:rPr>
        <w:t xml:space="preserve">NSF, USP, and Informed Sport certifications are meaningful and verifiable — but they apply to a small fraction of the market.</w:t>
      </w:r>
    </w:p>
    <w:p>
      <w:pPr>
        <w:spacing w:after="160"/>
      </w:pPr>
      <w:r>
        <w:rPr>
          <w:rFonts w:ascii="Arial" w:cs="Arial" w:eastAsia="Arial" w:hAnsi="Arial"/>
          <w:sz w:val="22"/>
          <w:szCs w:val="22"/>
        </w:rPr>
        <w:t xml:space="preserve">Consumers have no current tool to distinguish between these tiers.</w:t>
      </w:r>
    </w:p>
    <w:p>
      <w:pPr>
        <w:pStyle w:val="Heading3"/>
        <w:spacing w:after="120" w:before="240"/>
      </w:pPr>
      <w:r>
        <w:rPr>
          <w:rFonts w:ascii="Arial" w:cs="Arial" w:eastAsia="Arial" w:hAnsi="Arial"/>
          <w:b/>
          <w:bCs/>
          <w:sz w:val="24"/>
          <w:szCs w:val="24"/>
        </w:rPr>
        <w:t xml:space="preserve">The adverse event visibility gap</w:t>
      </w:r>
    </w:p>
    <w:p>
      <w:pPr>
        <w:spacing w:after="160"/>
      </w:pPr>
      <w:r>
        <w:rPr>
          <w:rFonts w:ascii="Arial" w:cs="Arial" w:eastAsia="Arial" w:hAnsi="Arial"/>
          <w:sz w:val="22"/>
          <w:szCs w:val="22"/>
        </w:rPr>
        <w:t xml:space="preserve">The FDA's Human Foods Complaint System (HFCS, formerly CAERS) collects adverse event reports for dietary supplements. Published research estimates that approximately 2% of actual dietary supplement adverse events are ever reported. Despite this undercount, the data that does exist is meaningful and currently invisible to most consumers at the point of purchase.</w:t>
      </w:r>
    </w:p>
    <w:p>
      <w:pPr>
        <w:pStyle w:val="Heading3"/>
        <w:spacing w:after="120" w:before="240"/>
      </w:pPr>
      <w:r>
        <w:rPr>
          <w:rFonts w:ascii="Arial" w:cs="Arial" w:eastAsia="Arial" w:hAnsi="Arial"/>
          <w:b/>
          <w:bCs/>
          <w:sz w:val="24"/>
          <w:szCs w:val="24"/>
        </w:rPr>
        <w:t xml:space="preserve">The import and supply chain gap</w:t>
      </w:r>
    </w:p>
    <w:p>
      <w:pPr>
        <w:spacing w:after="160"/>
      </w:pPr>
      <w:r>
        <w:rPr>
          <w:rFonts w:ascii="Arial" w:cs="Arial" w:eastAsia="Arial" w:hAnsi="Arial"/>
          <w:sz w:val="22"/>
          <w:szCs w:val="22"/>
        </w:rPr>
        <w:t xml:space="preserve">A large share of supplement raw ingredients are sourced internationally. FDA's Import Alert database identifies foreign manufacturers whose shipments have been detained at the border — a direct, verifiable compliance signal that is currently nowhere in the consumer-facing information environment.</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3. Solution Overview</w:t>
      </w:r>
    </w:p>
    <w:p>
      <w:pPr>
        <w:spacing w:after="160"/>
      </w:pPr>
      <w:r>
        <w:rPr>
          <w:rFonts w:ascii="Arial" w:cs="Arial" w:eastAsia="Arial" w:hAnsi="Arial"/>
          <w:sz w:val="22"/>
          <w:szCs w:val="22"/>
        </w:rPr>
        <w:t xml:space="preserve">Provenix is a barcode-scanning app that generates a Trust Score for dietary supplements based on verifiable, primary-source data — not brand self-reporting. The Trust Score reflects what can actually be confirmed about the product's manufacturing provenance, regulatory history, and quality claim credibility.</w:t>
      </w:r>
    </w:p>
    <w:p>
      <w:pPr>
        <w:pStyle w:val="Heading3"/>
        <w:spacing w:after="120" w:before="240"/>
      </w:pPr>
      <w:r>
        <w:rPr>
          <w:rFonts w:ascii="Arial" w:cs="Arial" w:eastAsia="Arial" w:hAnsi="Arial"/>
          <w:b/>
          <w:bCs/>
          <w:sz w:val="24"/>
          <w:szCs w:val="24"/>
        </w:rPr>
        <w:t xml:space="preserve">Core design principles</w:t>
      </w:r>
    </w:p>
    <w:p>
      <w:pPr>
        <w:pStyle w:val="ListParagraph"/>
        <w:numPr>
          <w:ilvl w:val="0"/>
          <w:numId w:val="2"/>
        </w:numPr>
        <w:spacing w:after="100"/>
      </w:pPr>
      <w:r>
        <w:rPr>
          <w:rFonts w:ascii="Arial" w:cs="Arial" w:eastAsia="Arial" w:hAnsi="Arial"/>
          <w:b/>
          <w:bCs/>
          <w:sz w:val="22"/>
          <w:szCs w:val="22"/>
        </w:rPr>
        <w:t xml:space="preserve">Factual, never editorial.</w:t>
      </w:r>
      <w:r>
        <w:rPr>
          <w:rFonts w:ascii="Arial" w:cs="Arial" w:eastAsia="Arial" w:hAnsi="Arial"/>
          <w:sz w:val="22"/>
          <w:szCs w:val="22"/>
        </w:rPr>
        <w:t xml:space="preserve"> Every signal in the Trust Score traces to a verifiable primary source: FDA records, certification databases, or confirmed manufacturer identities. Provenix does not make health claims or express opinions about brands.</w:t>
      </w:r>
    </w:p>
    <w:p>
      <w:pPr>
        <w:pStyle w:val="ListParagraph"/>
        <w:numPr>
          <w:ilvl w:val="0"/>
          <w:numId w:val="2"/>
        </w:numPr>
        <w:spacing w:after="100"/>
      </w:pPr>
      <w:r>
        <w:rPr>
          <w:rFonts w:ascii="Arial" w:cs="Arial" w:eastAsia="Arial" w:hAnsi="Arial"/>
          <w:b/>
          <w:bCs/>
          <w:sz w:val="22"/>
          <w:szCs w:val="22"/>
        </w:rPr>
        <w:t xml:space="preserve">Partial data is honest, not hidden.</w:t>
      </w:r>
      <w:r>
        <w:rPr>
          <w:rFonts w:ascii="Arial" w:cs="Arial" w:eastAsia="Arial" w:hAnsi="Arial"/>
          <w:sz w:val="22"/>
          <w:szCs w:val="22"/>
        </w:rPr>
        <w:t xml:space="preserve"> When manufacturer identity cannot be confirmed, the app surfaces that clearly: what is known, what is unresolved, and why. An 'unresolved' manufacturer is itself a signal.</w:t>
      </w:r>
    </w:p>
    <w:p>
      <w:pPr>
        <w:pStyle w:val="ListParagraph"/>
        <w:numPr>
          <w:ilvl w:val="0"/>
          <w:numId w:val="2"/>
        </w:numPr>
        <w:spacing w:after="100"/>
      </w:pPr>
      <w:r>
        <w:rPr>
          <w:rFonts w:ascii="Arial" w:cs="Arial" w:eastAsia="Arial" w:hAnsi="Arial"/>
          <w:b/>
          <w:bCs/>
          <w:sz w:val="22"/>
          <w:szCs w:val="22"/>
        </w:rPr>
        <w:t xml:space="preserve">Transparency about our own limitations.</w:t>
      </w:r>
      <w:r>
        <w:rPr>
          <w:rFonts w:ascii="Arial" w:cs="Arial" w:eastAsia="Arial" w:hAnsi="Arial"/>
          <w:sz w:val="22"/>
          <w:szCs w:val="22"/>
        </w:rPr>
        <w:t xml:space="preserve"> Provenix publishes a visible correction log when attribution errors are discovered. Data currency is displayed alongside all scores ('last verified [date]').</w:t>
      </w:r>
    </w:p>
    <w:p>
      <w:pPr>
        <w:pStyle w:val="ListParagraph"/>
        <w:numPr>
          <w:ilvl w:val="0"/>
          <w:numId w:val="2"/>
        </w:numPr>
        <w:spacing w:after="100"/>
      </w:pPr>
      <w:r>
        <w:rPr>
          <w:rFonts w:ascii="Arial" w:cs="Arial" w:eastAsia="Arial" w:hAnsi="Arial"/>
          <w:b/>
          <w:bCs/>
          <w:sz w:val="22"/>
          <w:szCs w:val="22"/>
        </w:rPr>
        <w:t xml:space="preserve">Built for trust, not engagement.</w:t>
      </w:r>
      <w:r>
        <w:rPr>
          <w:rFonts w:ascii="Arial" w:cs="Arial" w:eastAsia="Arial" w:hAnsi="Arial"/>
          <w:sz w:val="22"/>
          <w:szCs w:val="22"/>
        </w:rPr>
        <w:t xml:space="preserve"> The app is free because ad-supported models create conflicts of interest in a trust product. Provenix earns revenue through B2B clinical relationships and, eventually, opt-in consumer premium features — not through data monetization or brand promotion.</w:t>
      </w:r>
    </w:p>
    <w:p>
      <w:pPr>
        <w:pStyle w:val="Heading3"/>
        <w:spacing w:after="120" w:before="240"/>
      </w:pPr>
      <w:r>
        <w:rPr>
          <w:rFonts w:ascii="Arial" w:cs="Arial" w:eastAsia="Arial" w:hAnsi="Arial"/>
          <w:b/>
          <w:bCs/>
          <w:sz w:val="24"/>
          <w:szCs w:val="24"/>
        </w:rPr>
        <w:t xml:space="preserve">What Provenix does not do</w:t>
      </w:r>
    </w:p>
    <w:p>
      <w:pPr>
        <w:pStyle w:val="ListParagraph"/>
        <w:numPr>
          <w:ilvl w:val="0"/>
          <w:numId w:val="2"/>
        </w:numPr>
        <w:spacing w:after="100"/>
      </w:pPr>
      <w:r>
        <w:rPr>
          <w:rFonts w:ascii="Arial" w:cs="Arial" w:eastAsia="Arial" w:hAnsi="Arial"/>
          <w:sz w:val="22"/>
          <w:szCs w:val="22"/>
        </w:rPr>
        <w:t xml:space="preserve">Score supplement efficacy (deferred to Examine.com-style platforms)</w:t>
      </w:r>
    </w:p>
    <w:p>
      <w:pPr>
        <w:pStyle w:val="ListParagraph"/>
        <w:numPr>
          <w:ilvl w:val="0"/>
          <w:numId w:val="2"/>
        </w:numPr>
        <w:spacing w:after="100"/>
      </w:pPr>
      <w:r>
        <w:rPr>
          <w:rFonts w:ascii="Arial" w:cs="Arial" w:eastAsia="Arial" w:hAnsi="Arial"/>
          <w:sz w:val="22"/>
          <w:szCs w:val="22"/>
        </w:rPr>
        <w:t xml:space="preserve">Make health claims about specific ingredients</w:t>
      </w:r>
    </w:p>
    <w:p>
      <w:pPr>
        <w:pStyle w:val="ListParagraph"/>
        <w:numPr>
          <w:ilvl w:val="0"/>
          <w:numId w:val="2"/>
        </w:numPr>
        <w:spacing w:after="100"/>
      </w:pPr>
      <w:r>
        <w:rPr>
          <w:rFonts w:ascii="Arial" w:cs="Arial" w:eastAsia="Arial" w:hAnsi="Arial"/>
          <w:sz w:val="22"/>
          <w:szCs w:val="22"/>
        </w:rPr>
        <w:t xml:space="preserve">Operate as an adverse event intake system (links to FDA reporting; does not collect its own AE reports)</w:t>
      </w:r>
    </w:p>
    <w:p>
      <w:pPr>
        <w:pStyle w:val="ListParagraph"/>
        <w:numPr>
          <w:ilvl w:val="0"/>
          <w:numId w:val="2"/>
        </w:numPr>
        <w:spacing w:after="100"/>
      </w:pPr>
      <w:r>
        <w:rPr>
          <w:rFonts w:ascii="Arial" w:cs="Arial" w:eastAsia="Arial" w:hAnsi="Arial"/>
          <w:sz w:val="22"/>
          <w:szCs w:val="22"/>
        </w:rPr>
        <w:t xml:space="preserve">Generate AI-authored health summaries without clinical review</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4. Target Audience</w:t>
      </w:r>
    </w:p>
    <w:p>
      <w:pPr>
        <w:pStyle w:val="Heading3"/>
        <w:spacing w:after="120" w:before="240"/>
      </w:pPr>
      <w:r>
        <w:rPr>
          <w:rFonts w:ascii="Arial" w:cs="Arial" w:eastAsia="Arial" w:hAnsi="Arial"/>
          <w:b/>
          <w:bCs/>
          <w:sz w:val="24"/>
          <w:szCs w:val="24"/>
        </w:rPr>
        <w:t xml:space="preserve">Primary: Health-conscious consumers</w:t>
      </w:r>
    </w:p>
    <w:p>
      <w:pPr>
        <w:spacing w:after="160"/>
      </w:pPr>
      <w:r>
        <w:rPr>
          <w:rFonts w:ascii="Arial" w:cs="Arial" w:eastAsia="Arial" w:hAnsi="Arial"/>
          <w:sz w:val="22"/>
          <w:szCs w:val="22"/>
        </w:rPr>
        <w:t xml:space="preserve">Adults who take supplements regularly and have a heightened awareness of product quality, safety, or supply chain provenance. Likely overlaps with Yuka's existing food-scanning user base. Key insight: supplement scanning frequency is fundamentally lower than food scanning (a bottle lasts a month, not a meal). Engagement strategy must account for this — the app earns trust and occasional high-value sessions, not daily habits.</w:t>
      </w:r>
    </w:p>
    <w:p>
      <w:pPr>
        <w:pStyle w:val="Heading3"/>
        <w:spacing w:after="120" w:before="240"/>
      </w:pPr>
      <w:r>
        <w:rPr>
          <w:rFonts w:ascii="Arial" w:cs="Arial" w:eastAsia="Arial" w:hAnsi="Arial"/>
          <w:b/>
          <w:bCs/>
          <w:sz w:val="24"/>
          <w:szCs w:val="24"/>
        </w:rPr>
        <w:t xml:space="preserve">Secondary: Clinical practitioners (B2B)</w:t>
      </w:r>
    </w:p>
    <w:p>
      <w:pPr>
        <w:spacing w:after="160"/>
      </w:pPr>
      <w:r>
        <w:rPr>
          <w:rFonts w:ascii="Arial" w:cs="Arial" w:eastAsia="Arial" w:hAnsi="Arial"/>
          <w:sz w:val="22"/>
          <w:szCs w:val="22"/>
        </w:rPr>
        <w:t xml:space="preserve">Functional medicine physicians, registered dietitians, integrative health practitioners, and independent pharmacies that currently recommend supplements to patients and carry reputational and liability risk when product quality issues surface. This audience has established willingness to pay for compliance and liability-reduction tools. Aaron's clinical network is a direct entry point.</w:t>
      </w:r>
    </w:p>
    <w:p>
      <w:pPr>
        <w:pStyle w:val="Heading3"/>
        <w:spacing w:after="120" w:before="240"/>
      </w:pPr>
      <w:r>
        <w:rPr>
          <w:rFonts w:ascii="Arial" w:cs="Arial" w:eastAsia="Arial" w:hAnsi="Arial"/>
          <w:b/>
          <w:bCs/>
          <w:sz w:val="24"/>
          <w:szCs w:val="24"/>
        </w:rPr>
        <w:t xml:space="preserve">Tertiary: Institutional buyers</w:t>
      </w:r>
    </w:p>
    <w:p>
      <w:pPr>
        <w:spacing w:after="160"/>
      </w:pPr>
      <w:r>
        <w:rPr>
          <w:rFonts w:ascii="Arial" w:cs="Arial" w:eastAsia="Arial" w:hAnsi="Arial"/>
          <w:sz w:val="22"/>
          <w:szCs w:val="22"/>
        </w:rPr>
        <w:t xml:space="preserve">Health systems, corporate wellness programs, and insurance-adjacent organizations building approved supplement formularies or employee benefit programs. Longer sales cycles but larger contract value. Position as Phase 2 B2B development, informed by learning from the Phase 1 clinical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The framing question: Should Provenix lead with 'empowering consumers to make better choices' or 'trusted by clinicians, built for patients'? These lead to different investor pitches, different early hires, and different allocations of your time in year one.</w:t>
            </w:r>
          </w:p>
          <w:p>
            <w:pPr>
              <w:spacing w:after="0"/>
            </w:pPr>
            <w:r>
              <w:rPr>
                <w:rFonts w:ascii="Arial" w:cs="Arial" w:eastAsia="Arial" w:hAnsi="Arial"/>
                <w:i/>
                <w:iCs/>
                <w:sz w:val="20"/>
                <w:szCs w:val="20"/>
              </w:rPr>
              <w:t xml:space="preserve">The clinical-first framing makes your role as physician co-founder more structurally central — not just a credential, but the primary commercial relationship driver. Worth a deliberate conversation before investor outreach.</w:t>
            </w:r>
          </w:p>
        </w:tc>
      </w:tr>
    </w:tbl>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5. Core Features &amp; Product Scope</w:t>
      </w:r>
    </w:p>
    <w:p>
      <w:pPr>
        <w:pStyle w:val="Heading2"/>
        <w:spacing w:after="160" w:before="360"/>
      </w:pPr>
      <w:r>
        <w:rPr>
          <w:rFonts w:ascii="Arial" w:cs="Arial" w:eastAsia="Arial" w:hAnsi="Arial"/>
          <w:b/>
          <w:bCs/>
          <w:color w:val="2E75B6"/>
          <w:sz w:val="28"/>
          <w:szCs w:val="28"/>
        </w:rPr>
        <w:t xml:space="preserve">5.1 MVP Features (Phase 1)</w:t>
      </w:r>
    </w:p>
    <w:p>
      <w:pPr>
        <w:pStyle w:val="Heading3"/>
        <w:spacing w:after="120" w:before="240"/>
      </w:pPr>
      <w:r>
        <w:rPr>
          <w:rFonts w:ascii="Arial" w:cs="Arial" w:eastAsia="Arial" w:hAnsi="Arial"/>
          <w:b/>
          <w:bCs/>
          <w:sz w:val="24"/>
          <w:szCs w:val="24"/>
        </w:rPr>
        <w:t xml:space="preserve">Barcode scan + product resolution</w:t>
      </w:r>
    </w:p>
    <w:p>
      <w:pPr>
        <w:spacing w:after="160"/>
      </w:pPr>
      <w:r>
        <w:rPr>
          <w:rFonts w:ascii="Arial" w:cs="Arial" w:eastAsia="Arial" w:hAnsi="Arial"/>
          <w:sz w:val="22"/>
          <w:szCs w:val="22"/>
        </w:rPr>
        <w:t xml:space="preserve">Barcode (UPC/GTIN) scan resolves to brand and product reliably via GS1/Open Food Facts. This is the easy part — barcode → product identity works. Manufacturer identity is a separate, probabilistic resolution layer (see Section 7).</w:t>
      </w:r>
    </w:p>
    <w:p>
      <w:pPr>
        <w:pStyle w:val="Heading3"/>
        <w:spacing w:after="120" w:before="240"/>
      </w:pPr>
      <w:r>
        <w:rPr>
          <w:rFonts w:ascii="Arial" w:cs="Arial" w:eastAsia="Arial" w:hAnsi="Arial"/>
          <w:b/>
          <w:bCs/>
          <w:sz w:val="24"/>
          <w:szCs w:val="24"/>
        </w:rPr>
        <w:t xml:space="preserve">Trust Score (composite)</w:t>
      </w:r>
    </w:p>
    <w:p>
      <w:pPr>
        <w:spacing w:after="160"/>
      </w:pPr>
      <w:r>
        <w:rPr>
          <w:rFonts w:ascii="Arial" w:cs="Arial" w:eastAsia="Arial" w:hAnsi="Arial"/>
          <w:sz w:val="22"/>
          <w:szCs w:val="22"/>
        </w:rPr>
        <w:t xml:space="preserve">A single numeric score (0–100) with sub-scores visible on drill-down. See Section 8 for full algorithm. Score is always displayed with its 'last verified' date and a short explanation of what drove it.</w:t>
      </w:r>
    </w:p>
    <w:p>
      <w:pPr>
        <w:pStyle w:val="Heading3"/>
        <w:spacing w:after="120" w:before="240"/>
      </w:pPr>
      <w:r>
        <w:rPr>
          <w:rFonts w:ascii="Arial" w:cs="Arial" w:eastAsia="Arial" w:hAnsi="Arial"/>
          <w:b/>
          <w:bCs/>
          <w:sz w:val="24"/>
          <w:szCs w:val="24"/>
        </w:rPr>
        <w:t xml:space="preserve">Manufacturer identity layer</w:t>
      </w:r>
    </w:p>
    <w:p>
      <w:pPr>
        <w:spacing w:after="160"/>
      </w:pPr>
      <w:r>
        <w:rPr>
          <w:rFonts w:ascii="Arial" w:cs="Arial" w:eastAsia="Arial" w:hAnsi="Arial"/>
          <w:sz w:val="22"/>
          <w:szCs w:val="22"/>
        </w:rPr>
        <w:t xml:space="preserve">For each product on the curated list, Provenix displays the resolved manufacturer (if confirmed), the confidence level of that resolution, and the source(s) that support the attribution. Unresolved manufacturer is displayed explicitly, not hidden.</w:t>
      </w:r>
    </w:p>
    <w:p>
      <w:pPr>
        <w:pStyle w:val="Heading3"/>
        <w:spacing w:after="120" w:before="240"/>
      </w:pPr>
      <w:r>
        <w:rPr>
          <w:rFonts w:ascii="Arial" w:cs="Arial" w:eastAsia="Arial" w:hAnsi="Arial"/>
          <w:b/>
          <w:bCs/>
          <w:sz w:val="24"/>
          <w:szCs w:val="24"/>
        </w:rPr>
        <w:t xml:space="preserve">Regulatory &amp; compliance history</w:t>
      </w:r>
    </w:p>
    <w:p>
      <w:pPr>
        <w:spacing w:after="160"/>
      </w:pPr>
      <w:r>
        <w:rPr>
          <w:rFonts w:ascii="Arial" w:cs="Arial" w:eastAsia="Arial" w:hAnsi="Arial"/>
          <w:sz w:val="22"/>
          <w:szCs w:val="22"/>
        </w:rPr>
        <w:t xml:space="preserve">Draws on FDA warning letters, import alerts, recall records, and (where available) 483 observations tied to the resolved manufacturing facility. See data architecture in Section 7.</w:t>
      </w:r>
    </w:p>
    <w:p>
      <w:pPr>
        <w:pStyle w:val="Heading3"/>
        <w:spacing w:after="120" w:before="240"/>
      </w:pPr>
      <w:r>
        <w:rPr>
          <w:rFonts w:ascii="Arial" w:cs="Arial" w:eastAsia="Arial" w:hAnsi="Arial"/>
          <w:b/>
          <w:bCs/>
          <w:sz w:val="24"/>
          <w:szCs w:val="24"/>
        </w:rPr>
        <w:t xml:space="preserve">Lab testing tier display</w:t>
      </w:r>
    </w:p>
    <w:p>
      <w:pPr>
        <w:spacing w:after="160"/>
      </w:pPr>
      <w:r>
        <w:rPr>
          <w:rFonts w:ascii="Arial" w:cs="Arial" w:eastAsia="Arial" w:hAnsi="Arial"/>
          <w:sz w:val="22"/>
          <w:szCs w:val="22"/>
        </w:rPr>
        <w:t xml:space="preserve">A four-tier rating surfaced on every product profile:</w:t>
      </w:r>
    </w:p>
    <w:p>
      <w:pPr>
        <w:pStyle w:val="ListParagraph"/>
        <w:numPr>
          <w:ilvl w:val="0"/>
          <w:numId w:val="2"/>
        </w:numPr>
        <w:spacing w:after="100"/>
      </w:pPr>
      <w:r>
        <w:rPr>
          <w:rFonts w:ascii="Arial" w:cs="Arial" w:eastAsia="Arial" w:hAnsi="Arial"/>
          <w:b/>
          <w:bCs/>
          <w:sz w:val="22"/>
          <w:szCs w:val="22"/>
        </w:rPr>
        <w:t xml:space="preserve">No testing claimed</w:t>
      </w:r>
      <w:r>
        <w:rPr>
          <w:rFonts w:ascii="Arial" w:cs="Arial" w:eastAsia="Arial" w:hAnsi="Arial"/>
          <w:sz w:val="22"/>
          <w:szCs w:val="22"/>
        </w:rPr>
        <w:t xml:space="preserve"> — no quality claim of any kind on label or website</w:t>
      </w:r>
    </w:p>
    <w:p>
      <w:pPr>
        <w:pStyle w:val="ListParagraph"/>
        <w:numPr>
          <w:ilvl w:val="0"/>
          <w:numId w:val="2"/>
        </w:numPr>
        <w:spacing w:after="100"/>
      </w:pPr>
      <w:r>
        <w:rPr>
          <w:rFonts w:ascii="Arial" w:cs="Arial" w:eastAsia="Arial" w:hAnsi="Arial"/>
          <w:b/>
          <w:bCs/>
          <w:sz w:val="22"/>
          <w:szCs w:val="22"/>
        </w:rPr>
        <w:t xml:space="preserve">Testing claimed, no public COA</w:t>
      </w:r>
      <w:r>
        <w:rPr>
          <w:rFonts w:ascii="Arial" w:cs="Arial" w:eastAsia="Arial" w:hAnsi="Arial"/>
          <w:sz w:val="22"/>
          <w:szCs w:val="22"/>
        </w:rPr>
        <w:t xml:space="preserve"> — brand states third-party testing but no certificate accessible</w:t>
      </w:r>
    </w:p>
    <w:p>
      <w:pPr>
        <w:pStyle w:val="ListParagraph"/>
        <w:numPr>
          <w:ilvl w:val="0"/>
          <w:numId w:val="2"/>
        </w:numPr>
        <w:spacing w:after="100"/>
      </w:pPr>
      <w:r>
        <w:rPr>
          <w:rFonts w:ascii="Arial" w:cs="Arial" w:eastAsia="Arial" w:hAnsi="Arial"/>
          <w:b/>
          <w:bCs/>
          <w:sz w:val="22"/>
          <w:szCs w:val="22"/>
        </w:rPr>
        <w:t xml:space="preserve">COA available, not per-lot</w:t>
      </w:r>
      <w:r>
        <w:rPr>
          <w:rFonts w:ascii="Arial" w:cs="Arial" w:eastAsia="Arial" w:hAnsi="Arial"/>
          <w:sz w:val="22"/>
          <w:szCs w:val="22"/>
        </w:rPr>
        <w:t xml:space="preserve"> — certificate accessible but covers product line, not individual lots</w:t>
      </w:r>
    </w:p>
    <w:p>
      <w:pPr>
        <w:pStyle w:val="ListParagraph"/>
        <w:numPr>
          <w:ilvl w:val="0"/>
          <w:numId w:val="2"/>
        </w:numPr>
        <w:spacing w:after="100"/>
      </w:pPr>
      <w:r>
        <w:rPr>
          <w:rFonts w:ascii="Arial" w:cs="Arial" w:eastAsia="Arial" w:hAnsi="Arial"/>
          <w:b/>
          <w:bCs/>
          <w:sz w:val="22"/>
          <w:szCs w:val="22"/>
        </w:rPr>
        <w:t xml:space="preserve">Public per-lot lot-lookup available</w:t>
      </w:r>
      <w:r>
        <w:rPr>
          <w:rFonts w:ascii="Arial" w:cs="Arial" w:eastAsia="Arial" w:hAnsi="Arial"/>
          <w:sz w:val="22"/>
          <w:szCs w:val="22"/>
        </w:rPr>
        <w:t xml:space="preserve"> — consumer can look up their specific lot number against a published COA</w:t>
      </w:r>
    </w:p>
    <w:p>
      <w:pPr>
        <w:spacing w:after="160"/>
      </w:pPr>
      <w:r>
        <w:rPr>
          <w:rFonts w:ascii="Arial" w:cs="Arial" w:eastAsia="Arial" w:hAnsi="Arial"/>
          <w:sz w:val="22"/>
          <w:szCs w:val="22"/>
        </w:rPr>
        <w:t xml:space="preserve">This four-tier framing is one of Provenix's primary consumer-facing differentiators. 'Lab tested' moves from a binary badge to a graded, verifiable signal.</w:t>
      </w:r>
    </w:p>
    <w:p>
      <w:pPr>
        <w:pStyle w:val="Heading3"/>
        <w:spacing w:after="120" w:before="240"/>
      </w:pPr>
      <w:r>
        <w:rPr>
          <w:rFonts w:ascii="Arial" w:cs="Arial" w:eastAsia="Arial" w:hAnsi="Arial"/>
          <w:b/>
          <w:bCs/>
          <w:sz w:val="24"/>
          <w:szCs w:val="24"/>
        </w:rPr>
        <w:t xml:space="preserve">NDI compliance flag</w:t>
      </w:r>
    </w:p>
    <w:p>
      <w:pPr>
        <w:spacing w:after="160"/>
      </w:pPr>
      <w:r>
        <w:rPr>
          <w:rFonts w:ascii="Arial" w:cs="Arial" w:eastAsia="Arial" w:hAnsi="Arial"/>
          <w:sz w:val="22"/>
          <w:szCs w:val="22"/>
        </w:rPr>
        <w:t xml:space="preserve">For products containing ingredients that should have a New Dietary Ingredient notification on file with FDA, Provenix checks the public NDI log and flags where an expected notification appears absent. This is displayed as a transparency indicator with explanation, not as an enforcement charge. Weight in algorithm is modest (see Section 8).</w:t>
      </w:r>
    </w:p>
    <w:p>
      <w:pPr>
        <w:pStyle w:val="Heading3"/>
        <w:spacing w:after="120" w:before="240"/>
      </w:pPr>
      <w:r>
        <w:rPr>
          <w:rFonts w:ascii="Arial" w:cs="Arial" w:eastAsia="Arial" w:hAnsi="Arial"/>
          <w:b/>
          <w:bCs/>
          <w:sz w:val="24"/>
          <w:szCs w:val="24"/>
        </w:rPr>
        <w:t xml:space="preserve">Adverse event display</w:t>
      </w:r>
    </w:p>
    <w:p>
      <w:pPr>
        <w:spacing w:after="160"/>
      </w:pPr>
      <w:r>
        <w:rPr>
          <w:rFonts w:ascii="Arial" w:cs="Arial" w:eastAsia="Arial" w:hAnsi="Arial"/>
          <w:sz w:val="22"/>
          <w:szCs w:val="22"/>
        </w:rPr>
        <w:t xml:space="preserve">HFCS (formerly CAERS) adverse event report counts tied to the brand/product, displayed with mandatory context: reports are not confirmed as causally linked, they reflect a fraction (~2%) of actual events, and volume correlates with market share. A link to report directly to FDA appears on every product page (see 5.1.1 below).</w:t>
      </w:r>
    </w:p>
    <w:p>
      <w:pPr>
        <w:pStyle w:val="Heading3"/>
        <w:spacing w:after="120" w:before="240"/>
      </w:pPr>
      <w:r>
        <w:rPr>
          <w:rFonts w:ascii="Arial" w:cs="Arial" w:eastAsia="Arial" w:hAnsi="Arial"/>
          <w:b/>
          <w:bCs/>
          <w:sz w:val="24"/>
          <w:szCs w:val="24"/>
        </w:rPr>
        <w:t xml:space="preserve">5.1.1 FDA Adverse Event Reporting Link</w:t>
      </w:r>
    </w:p>
    <w:p>
      <w:pPr>
        <w:spacing w:after="160"/>
      </w:pPr>
      <w:r>
        <w:rPr>
          <w:rFonts w:ascii="Arial" w:cs="Arial" w:eastAsia="Arial" w:hAnsi="Arial"/>
          <w:b/>
          <w:bCs/>
          <w:sz w:val="22"/>
          <w:szCs w:val="22"/>
        </w:rPr>
        <w:t xml:space="preserve">Every product page carries a contextual link to FDA's reporting portal.</w:t>
      </w:r>
      <w:r>
        <w:rPr>
          <w:rFonts w:ascii="Arial" w:cs="Arial" w:eastAsia="Arial" w:hAnsi="Arial"/>
          <w:sz w:val="22"/>
          <w:szCs w:val="22"/>
        </w:rPr>
        <w:t xml:space="preserve"> Labeled as 'Experienced a reaction? Report it to FDA' linking to https://www.safetyreporting.hhs.gov. Provenix does not collect adverse event reports directly. This link is the feature — clean, no liability, genuine public health value. Pair it contextually below the HFCS data display on each product page.</w:t>
      </w:r>
    </w:p>
    <w:p>
      <w:pPr>
        <w:pStyle w:val="Heading3"/>
        <w:spacing w:after="120" w:before="240"/>
      </w:pPr>
      <w:r>
        <w:rPr>
          <w:rFonts w:ascii="Arial" w:cs="Arial" w:eastAsia="Arial" w:hAnsi="Arial"/>
          <w:b/>
          <w:bCs/>
          <w:sz w:val="24"/>
          <w:szCs w:val="24"/>
        </w:rPr>
        <w:t xml:space="preserve">Correction log</w:t>
      </w:r>
    </w:p>
    <w:p>
      <w:pPr>
        <w:spacing w:after="160"/>
      </w:pPr>
      <w:r>
        <w:rPr>
          <w:rFonts w:ascii="Arial" w:cs="Arial" w:eastAsia="Arial" w:hAnsi="Arial"/>
          <w:sz w:val="22"/>
          <w:szCs w:val="22"/>
        </w:rPr>
        <w:t xml:space="preserve">When Provenix discovers a manufacturer attribution error, the correction is documented with a timestamp and brief note on what changed and why. This log is visible on the product page — not buried in T&amp;Cs. Trust platform credibility depends on transparent self-correction, not quiet editing.</w:t>
      </w:r>
    </w:p>
    <w:p>
      <w:pPr>
        <w:pStyle w:val="Heading2"/>
        <w:spacing w:after="160" w:before="360"/>
      </w:pPr>
      <w:r>
        <w:rPr>
          <w:rFonts w:ascii="Arial" w:cs="Arial" w:eastAsia="Arial" w:hAnsi="Arial"/>
          <w:b/>
          <w:bCs/>
          <w:color w:val="2E75B6"/>
          <w:sz w:val="28"/>
          <w:szCs w:val="28"/>
        </w:rPr>
        <w:t xml:space="preserve">5.2 Phase 2 Features</w:t>
      </w:r>
    </w:p>
    <w:p>
      <w:pPr>
        <w:pStyle w:val="ListParagraph"/>
        <w:numPr>
          <w:ilvl w:val="0"/>
          <w:numId w:val="2"/>
        </w:numPr>
        <w:spacing w:after="100"/>
      </w:pPr>
      <w:r>
        <w:rPr>
          <w:rFonts w:ascii="Arial" w:cs="Arial" w:eastAsia="Arial" w:hAnsi="Arial"/>
          <w:sz w:val="22"/>
          <w:szCs w:val="22"/>
        </w:rPr>
        <w:t xml:space="preserve">Change detection alerts — push notification when enforcement action, recall, or manufacturer attribution change affects a product the user has scanned</w:t>
      </w:r>
    </w:p>
    <w:p>
      <w:pPr>
        <w:pStyle w:val="ListParagraph"/>
        <w:numPr>
          <w:ilvl w:val="0"/>
          <w:numId w:val="2"/>
        </w:numPr>
        <w:spacing w:after="100"/>
      </w:pPr>
      <w:r>
        <w:rPr>
          <w:rFonts w:ascii="Arial" w:cs="Arial" w:eastAsia="Arial" w:hAnsi="Arial"/>
          <w:sz w:val="22"/>
          <w:szCs w:val="22"/>
        </w:rPr>
        <w:t xml:space="preserve">Versioned manufacturer attribution — when the actual manufacturer changes (brand switches co-packers), prior-score history is preserved and labeled as historical; current score reflects current manufacturer</w:t>
      </w:r>
    </w:p>
    <w:p>
      <w:pPr>
        <w:pStyle w:val="ListParagraph"/>
        <w:numPr>
          <w:ilvl w:val="0"/>
          <w:numId w:val="2"/>
        </w:numPr>
        <w:spacing w:after="100"/>
      </w:pPr>
      <w:r>
        <w:rPr>
          <w:rFonts w:ascii="Arial" w:cs="Arial" w:eastAsia="Arial" w:hAnsi="Arial"/>
          <w:sz w:val="22"/>
          <w:szCs w:val="22"/>
        </w:rPr>
        <w:t xml:space="preserve">Country of origin transparency flag — binary: does the brand disclose ingredient sourcing geography at all (v1); ingredient-level contaminant test data drives any risk signal (v2, not country-proxy)</w:t>
      </w:r>
    </w:p>
    <w:p>
      <w:pPr>
        <w:pStyle w:val="ListParagraph"/>
        <w:numPr>
          <w:ilvl w:val="0"/>
          <w:numId w:val="2"/>
        </w:numPr>
        <w:spacing w:after="100"/>
      </w:pPr>
      <w:r>
        <w:rPr>
          <w:rFonts w:ascii="Arial" w:cs="Arial" w:eastAsia="Arial" w:hAnsi="Arial"/>
          <w:sz w:val="22"/>
          <w:szCs w:val="22"/>
        </w:rPr>
        <w:t xml:space="preserve">NSF licensing conversation — if SKU list exceeds ~500 products, evaluate automated NSF certification lookup via licensing agreement</w:t>
      </w:r>
    </w:p>
    <w:p>
      <w:pPr>
        <w:pStyle w:val="ListParagraph"/>
        <w:numPr>
          <w:ilvl w:val="0"/>
          <w:numId w:val="2"/>
        </w:numPr>
        <w:spacing w:after="100"/>
      </w:pPr>
      <w:r>
        <w:rPr>
          <w:rFonts w:ascii="Arial" w:cs="Arial" w:eastAsia="Arial" w:hAnsi="Arial"/>
          <w:sz w:val="22"/>
          <w:szCs w:val="22"/>
        </w:rPr>
        <w:t xml:space="preserve">Consumer paid tier — introduced only after beta behavior data, not assumed; candidate features: saved product lists, family dashboard, proactive alerts on scanned products</w:t>
      </w:r>
    </w:p>
    <w:p>
      <w:pPr>
        <w:pStyle w:val="Heading2"/>
        <w:spacing w:after="160" w:before="360"/>
      </w:pPr>
      <w:r>
        <w:rPr>
          <w:rFonts w:ascii="Arial" w:cs="Arial" w:eastAsia="Arial" w:hAnsi="Arial"/>
          <w:b/>
          <w:bCs/>
          <w:color w:val="2E75B6"/>
          <w:sz w:val="28"/>
          <w:szCs w:val="28"/>
        </w:rPr>
        <w:t xml:space="preserve">5.3 Phase 3 / Future</w:t>
      </w:r>
    </w:p>
    <w:p>
      <w:pPr>
        <w:pStyle w:val="ListParagraph"/>
        <w:numPr>
          <w:ilvl w:val="0"/>
          <w:numId w:val="2"/>
        </w:numPr>
        <w:spacing w:after="100"/>
      </w:pPr>
      <w:r>
        <w:rPr>
          <w:rFonts w:ascii="Arial" w:cs="Arial" w:eastAsia="Arial" w:hAnsi="Arial"/>
          <w:sz w:val="22"/>
          <w:szCs w:val="22"/>
        </w:rPr>
        <w:t xml:space="preserve">Peer-reviewed research layer — ingredient-level citations from systematic reviews and meta-analyses (not single studies), physician-reviewed before publish, clearly dated; AI may assist drafting but physician sign-off required before any health-adjacent content goes live</w:t>
      </w:r>
    </w:p>
    <w:p>
      <w:pPr>
        <w:pStyle w:val="ListParagraph"/>
        <w:numPr>
          <w:ilvl w:val="0"/>
          <w:numId w:val="2"/>
        </w:numPr>
        <w:spacing w:after="100"/>
      </w:pPr>
      <w:r>
        <w:rPr>
          <w:rFonts w:ascii="Arial" w:cs="Arial" w:eastAsia="Arial" w:hAnsi="Arial"/>
          <w:sz w:val="22"/>
          <w:szCs w:val="22"/>
        </w:rPr>
        <w:t xml:space="preserve">Protein powder and energy drink category expansion — regulatory pathway field (supplement GMP / food GMP / conventional beverage) is pre-built in Phase 1 schema to enable this without a retrofit</w:t>
      </w:r>
    </w:p>
    <w:p>
      <w:pPr>
        <w:pStyle w:val="ListParagraph"/>
        <w:numPr>
          <w:ilvl w:val="0"/>
          <w:numId w:val="2"/>
        </w:numPr>
        <w:spacing w:after="100"/>
      </w:pPr>
      <w:r>
        <w:rPr>
          <w:rFonts w:ascii="Arial" w:cs="Arial" w:eastAsia="Arial" w:hAnsi="Arial"/>
          <w:sz w:val="22"/>
          <w:szCs w:val="22"/>
        </w:rPr>
        <w:t xml:space="preserve">Broader B2B channel — health systems, corporate wellness programs, insurance-adjacent formulary tools</w:t>
      </w:r>
    </w:p>
    <w:p>
      <w:pPr>
        <w:pStyle w:val="Heading2"/>
        <w:spacing w:after="160" w:before="360"/>
      </w:pPr>
      <w:r>
        <w:rPr>
          <w:rFonts w:ascii="Arial" w:cs="Arial" w:eastAsia="Arial" w:hAnsi="Arial"/>
          <w:b/>
          <w:bCs/>
          <w:color w:val="2E75B6"/>
          <w:sz w:val="28"/>
          <w:szCs w:val="28"/>
        </w:rPr>
        <w:t xml:space="preserve">5.4 Explicit Non-Scope</w:t>
      </w:r>
    </w:p>
    <w:p>
      <w:pPr>
        <w:pStyle w:val="ListParagraph"/>
        <w:numPr>
          <w:ilvl w:val="0"/>
          <w:numId w:val="2"/>
        </w:numPr>
        <w:spacing w:after="100"/>
      </w:pPr>
      <w:r>
        <w:rPr>
          <w:rFonts w:ascii="Arial" w:cs="Arial" w:eastAsia="Arial" w:hAnsi="Arial"/>
          <w:sz w:val="22"/>
          <w:szCs w:val="22"/>
        </w:rPr>
        <w:t xml:space="preserve">Supplement efficacy scoring (not Provenix's domain)</w:t>
      </w:r>
    </w:p>
    <w:p>
      <w:pPr>
        <w:pStyle w:val="ListParagraph"/>
        <w:numPr>
          <w:ilvl w:val="0"/>
          <w:numId w:val="2"/>
        </w:numPr>
        <w:spacing w:after="100"/>
      </w:pPr>
      <w:r>
        <w:rPr>
          <w:rFonts w:ascii="Arial" w:cs="Arial" w:eastAsia="Arial" w:hAnsi="Arial"/>
          <w:sz w:val="22"/>
          <w:szCs w:val="22"/>
        </w:rPr>
        <w:t xml:space="preserve">In-app adverse event intake (links to FDA; does not collect)</w:t>
      </w:r>
    </w:p>
    <w:p>
      <w:pPr>
        <w:pStyle w:val="ListParagraph"/>
        <w:numPr>
          <w:ilvl w:val="0"/>
          <w:numId w:val="2"/>
        </w:numPr>
        <w:spacing w:after="100"/>
      </w:pPr>
      <w:r>
        <w:rPr>
          <w:rFonts w:ascii="Arial" w:cs="Arial" w:eastAsia="Arial" w:hAnsi="Arial"/>
          <w:sz w:val="22"/>
          <w:szCs w:val="22"/>
        </w:rPr>
        <w:t xml:space="preserve">Community forum / Reddit-style discussion</w:t>
      </w:r>
    </w:p>
    <w:p>
      <w:pPr>
        <w:pStyle w:val="ListParagraph"/>
        <w:numPr>
          <w:ilvl w:val="0"/>
          <w:numId w:val="2"/>
        </w:numPr>
        <w:spacing w:after="100"/>
      </w:pPr>
      <w:r>
        <w:rPr>
          <w:rFonts w:ascii="Arial" w:cs="Arial" w:eastAsia="Arial" w:hAnsi="Arial"/>
          <w:sz w:val="22"/>
          <w:szCs w:val="22"/>
        </w:rPr>
        <w:t xml:space="preserve">AI-generated health summaries without clinical review in the publication workflow</w:t>
      </w:r>
    </w:p>
    <w:p>
      <w:pPr>
        <w:pStyle w:val="ListParagraph"/>
        <w:numPr>
          <w:ilvl w:val="0"/>
          <w:numId w:val="2"/>
        </w:numPr>
        <w:spacing w:after="100"/>
      </w:pPr>
      <w:r>
        <w:rPr>
          <w:rFonts w:ascii="Arial" w:cs="Arial" w:eastAsia="Arial" w:hAnsi="Arial"/>
          <w:sz w:val="22"/>
          <w:szCs w:val="22"/>
        </w:rPr>
        <w:t xml:space="preserve">Social media signals as score inputs</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6. UX Principles</w:t>
      </w:r>
    </w:p>
    <w:p>
      <w:pPr>
        <w:pStyle w:val="ListParagraph"/>
        <w:numPr>
          <w:ilvl w:val="0"/>
          <w:numId w:val="2"/>
        </w:numPr>
        <w:spacing w:after="100"/>
      </w:pPr>
      <w:r>
        <w:rPr>
          <w:rFonts w:ascii="Arial" w:cs="Arial" w:eastAsia="Arial" w:hAnsi="Arial"/>
          <w:b/>
          <w:bCs/>
          <w:sz w:val="22"/>
          <w:szCs w:val="22"/>
        </w:rPr>
        <w:t xml:space="preserve">Score first, depth on demand.</w:t>
      </w:r>
      <w:r>
        <w:rPr>
          <w:rFonts w:ascii="Arial" w:cs="Arial" w:eastAsia="Arial" w:hAnsi="Arial"/>
          <w:sz w:val="22"/>
          <w:szCs w:val="22"/>
        </w:rPr>
        <w:t xml:space="preserve"> The Trust Score and one-line summary are immediately visible. Sub-scores and source attribution are one tap deeper. Most users want the headline; power users and clinicians want the receipts.</w:t>
      </w:r>
    </w:p>
    <w:p>
      <w:pPr>
        <w:pStyle w:val="ListParagraph"/>
        <w:numPr>
          <w:ilvl w:val="0"/>
          <w:numId w:val="2"/>
        </w:numPr>
        <w:spacing w:after="100"/>
      </w:pPr>
      <w:r>
        <w:rPr>
          <w:rFonts w:ascii="Arial" w:cs="Arial" w:eastAsia="Arial" w:hAnsi="Arial"/>
          <w:b/>
          <w:bCs/>
          <w:sz w:val="22"/>
          <w:szCs w:val="22"/>
        </w:rPr>
        <w:t xml:space="preserve">Never hide what we don't know.</w:t>
      </w:r>
      <w:r>
        <w:rPr>
          <w:rFonts w:ascii="Arial" w:cs="Arial" w:eastAsia="Arial" w:hAnsi="Arial"/>
          <w:sz w:val="22"/>
          <w:szCs w:val="22"/>
        </w:rPr>
        <w:t xml:space="preserve"> Unresolved manufacturer, missing COA, no certification — these appear explicitly, labeled clearly, never omitted or softened.</w:t>
      </w:r>
    </w:p>
    <w:p>
      <w:pPr>
        <w:pStyle w:val="ListParagraph"/>
        <w:numPr>
          <w:ilvl w:val="0"/>
          <w:numId w:val="2"/>
        </w:numPr>
        <w:spacing w:after="100"/>
      </w:pPr>
      <w:r>
        <w:rPr>
          <w:rFonts w:ascii="Arial" w:cs="Arial" w:eastAsia="Arial" w:hAnsi="Arial"/>
          <w:b/>
          <w:bCs/>
          <w:sz w:val="22"/>
          <w:szCs w:val="22"/>
        </w:rPr>
        <w:t xml:space="preserve">Search and scan are co-equal.</w:t>
      </w:r>
      <w:r>
        <w:rPr>
          <w:rFonts w:ascii="Arial" w:cs="Arial" w:eastAsia="Arial" w:hAnsi="Arial"/>
          <w:sz w:val="22"/>
          <w:szCs w:val="22"/>
        </w:rPr>
        <w:t xml:space="preserve"> Supplement bottle barcodes fail to scan at higher rates than food packaging. Manual search is not a paid-tier feature. Do not replicate Yuka's paywall-on-search model — it would fight against the physical reality of the product category.</w:t>
      </w:r>
    </w:p>
    <w:p>
      <w:pPr>
        <w:pStyle w:val="ListParagraph"/>
        <w:numPr>
          <w:ilvl w:val="0"/>
          <w:numId w:val="2"/>
        </w:numPr>
        <w:spacing w:after="100"/>
      </w:pPr>
      <w:r>
        <w:rPr>
          <w:rFonts w:ascii="Arial" w:cs="Arial" w:eastAsia="Arial" w:hAnsi="Arial"/>
          <w:b/>
          <w:bCs/>
          <w:sz w:val="22"/>
          <w:szCs w:val="22"/>
        </w:rPr>
        <w:t xml:space="preserve">Context on every data point.</w:t>
      </w:r>
      <w:r>
        <w:rPr>
          <w:rFonts w:ascii="Arial" w:cs="Arial" w:eastAsia="Arial" w:hAnsi="Arial"/>
          <w:sz w:val="22"/>
          <w:szCs w:val="22"/>
        </w:rPr>
        <w:t xml:space="preserve"> HFCS adverse event counts appear with normalization language. 'Last verified' timestamps appear on every score. NDI flags appear with an explanation of what NDI notifications are and why absence is notable.</w:t>
      </w:r>
    </w:p>
    <w:p>
      <w:pPr>
        <w:pStyle w:val="ListParagraph"/>
        <w:numPr>
          <w:ilvl w:val="0"/>
          <w:numId w:val="2"/>
        </w:numPr>
        <w:spacing w:after="100"/>
      </w:pPr>
      <w:r>
        <w:rPr>
          <w:rFonts w:ascii="Arial" w:cs="Arial" w:eastAsia="Arial" w:hAnsi="Arial"/>
          <w:b/>
          <w:bCs/>
          <w:sz w:val="22"/>
          <w:szCs w:val="22"/>
        </w:rPr>
        <w:t xml:space="preserve">Factual, never editorial.</w:t>
      </w:r>
      <w:r>
        <w:rPr>
          <w:rFonts w:ascii="Arial" w:cs="Arial" w:eastAsia="Arial" w:hAnsi="Arial"/>
          <w:sz w:val="22"/>
          <w:szCs w:val="22"/>
        </w:rPr>
        <w:t xml:space="preserve"> Provenix surfaces what FDA records and verified certifications show. It does not write copy characterizing a brand as 'risky' or 'trustworthy.' The data speaks; the language stays descriptive.</w:t>
      </w:r>
    </w:p>
    <w:p>
      <w:pPr>
        <w:pStyle w:val="ListParagraph"/>
        <w:numPr>
          <w:ilvl w:val="0"/>
          <w:numId w:val="2"/>
        </w:numPr>
        <w:spacing w:after="100"/>
      </w:pPr>
      <w:r>
        <w:rPr>
          <w:rFonts w:ascii="Arial" w:cs="Arial" w:eastAsia="Arial" w:hAnsi="Arial"/>
          <w:b/>
          <w:bCs/>
          <w:sz w:val="22"/>
          <w:szCs w:val="22"/>
        </w:rPr>
        <w:t xml:space="preserve">Correction is visible, not buried.</w:t>
      </w:r>
      <w:r>
        <w:rPr>
          <w:rFonts w:ascii="Arial" w:cs="Arial" w:eastAsia="Arial" w:hAnsi="Arial"/>
          <w:sz w:val="22"/>
          <w:szCs w:val="22"/>
        </w:rPr>
        <w:t xml:space="preserve"> Product page shows a correction history. Users who notice a prior error can see it was caught and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Consumer app is free at launch — no paywall on any core feature including search. Jason's strong recommendation; wants your alignment.</w:t>
            </w:r>
          </w:p>
          <w:p>
            <w:pPr>
              <w:spacing w:after="80"/>
            </w:pPr>
            <w:r>
              <w:rPr>
                <w:rFonts w:ascii="Arial" w:cs="Arial" w:eastAsia="Arial" w:hAnsi="Arial"/>
                <w:i/>
                <w:iCs/>
                <w:sz w:val="20"/>
                <w:szCs w:val="20"/>
              </w:rPr>
              <w:t xml:space="preserve">Pricing TBD: A paid consumer tier should only be introduced once you have real beta data on what features drive return visits and genuine willingness to pay. Candidates discussed: saved product lists, family dashboards, proactive alerts on previously scanned products. The Trust Score itself should never be paywalled — it's the core value proposition.</w:t>
            </w:r>
          </w:p>
          <w:p>
            <w:pPr>
              <w:spacing w:after="0"/>
            </w:pPr>
            <w:r>
              <w:rPr>
                <w:rFonts w:ascii="Arial" w:cs="Arial" w:eastAsia="Arial" w:hAnsi="Arial"/>
                <w:i/>
                <w:iCs/>
                <w:sz w:val="20"/>
                <w:szCs w:val="20"/>
              </w:rPr>
              <w:t xml:space="preserve">Alternative pricing framing worth discussing: position the consumer app as permanently free, funded by B2B revenue. 'Free because we don't sell your data or take brand money' is a credibility statement and a differentiator, not just a growth tactic.</w:t>
            </w:r>
          </w:p>
        </w:tc>
      </w:tr>
    </w:tbl>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7. Data Architecture &amp; Sources</w:t>
      </w:r>
    </w:p>
    <w:p>
      <w:pPr>
        <w:pStyle w:val="Heading2"/>
        <w:spacing w:after="160" w:before="360"/>
      </w:pPr>
      <w:r>
        <w:rPr>
          <w:rFonts w:ascii="Arial" w:cs="Arial" w:eastAsia="Arial" w:hAnsi="Arial"/>
          <w:b/>
          <w:bCs/>
          <w:color w:val="2E75B6"/>
          <w:sz w:val="28"/>
          <w:szCs w:val="28"/>
        </w:rPr>
        <w:t xml:space="preserve">7.1 The manufacturer resolution problem</w:t>
      </w:r>
    </w:p>
    <w:p>
      <w:pPr>
        <w:spacing w:after="160"/>
      </w:pPr>
      <w:r>
        <w:rPr>
          <w:rFonts w:ascii="Arial" w:cs="Arial" w:eastAsia="Arial" w:hAnsi="Arial"/>
          <w:sz w:val="22"/>
          <w:szCs w:val="22"/>
        </w:rPr>
        <w:t xml:space="preserve">A barcode scan resolves to brand and product reliably. Manufacturer identity is a separate inference layer. Under 21 CFR 101.5, the co-packer's address never has to appear on the label — so a large share of products are legally compliant while disclosing zero facility information. Manufacturer resolution is probabilistic by design, not by failure.</w:t>
      </w:r>
    </w:p>
    <w:p>
      <w:pPr>
        <w:spacing w:after="160"/>
      </w:pPr>
      <w:r>
        <w:rPr>
          <w:rFonts w:ascii="Arial" w:cs="Arial" w:eastAsia="Arial" w:hAnsi="Arial"/>
          <w:sz w:val="22"/>
          <w:szCs w:val="22"/>
        </w:rPr>
        <w:t xml:space="preserve">Resolution sources, in priority order: NSF certified-product listings (often include facility address tied to specific finished products); enforcement events where the manufacturing relationship became public record; user-contributed label photography revealing hidden fine print; direct brand outreach for the curated MVP list.</w:t>
      </w:r>
    </w:p>
    <w:p>
      <w:pPr>
        <w:spacing w:after="160"/>
      </w:pPr>
      <w:r>
        <w:rPr>
          <w:rFonts w:ascii="Arial" w:cs="Arial" w:eastAsia="Arial" w:hAnsi="Arial"/>
          <w:sz w:val="22"/>
          <w:szCs w:val="22"/>
        </w:rPr>
        <w:t xml:space="preserve">The product always displays: 'Manufacturer resolved with [high/moderate/low] confidence based on [source]' or 'Manufacturer unresolved — here's what we know about the brand.' The latter is honest and still valuable.</w:t>
      </w:r>
    </w:p>
    <w:p>
      <w:pPr>
        <w:pStyle w:val="Heading2"/>
        <w:spacing w:after="160" w:before="360"/>
      </w:pPr>
      <w:r>
        <w:rPr>
          <w:rFonts w:ascii="Arial" w:cs="Arial" w:eastAsia="Arial" w:hAnsi="Arial"/>
          <w:b/>
          <w:bCs/>
          <w:color w:val="2E75B6"/>
          <w:sz w:val="28"/>
          <w:szCs w:val="28"/>
        </w:rPr>
        <w:t xml:space="preserve">7.2 Update cadences</w:t>
      </w:r>
    </w:p>
    <w:p>
      <w:pPr>
        <w:pStyle w:val="ListParagraph"/>
        <w:numPr>
          <w:ilvl w:val="0"/>
          <w:numId w:val="2"/>
        </w:numPr>
        <w:spacing w:after="100"/>
      </w:pPr>
      <w:r>
        <w:rPr>
          <w:rFonts w:ascii="Arial" w:cs="Arial" w:eastAsia="Arial" w:hAnsi="Arial"/>
          <w:b/>
          <w:bCs/>
          <w:sz w:val="22"/>
          <w:szCs w:val="22"/>
        </w:rPr>
        <w:t xml:space="preserve">Near-real-time:</w:t>
      </w:r>
      <w:r>
        <w:rPr>
          <w:rFonts w:ascii="Arial" w:cs="Arial" w:eastAsia="Arial" w:hAnsi="Arial"/>
          <w:sz w:val="22"/>
          <w:szCs w:val="22"/>
        </w:rPr>
        <w:t xml:space="preserve"> Enforcement events, recalls (via FDA RSS), import alert changes. Push notifications for users who have scanned affected products.</w:t>
      </w:r>
    </w:p>
    <w:p>
      <w:pPr>
        <w:pStyle w:val="ListParagraph"/>
        <w:numPr>
          <w:ilvl w:val="0"/>
          <w:numId w:val="2"/>
        </w:numPr>
        <w:spacing w:after="100"/>
      </w:pPr>
      <w:r>
        <w:rPr>
          <w:rFonts w:ascii="Arial" w:cs="Arial" w:eastAsia="Arial" w:hAnsi="Arial"/>
          <w:b/>
          <w:bCs/>
          <w:sz w:val="22"/>
          <w:szCs w:val="22"/>
        </w:rPr>
        <w:t xml:space="preserve">Monthly:</w:t>
      </w:r>
      <w:r>
        <w:rPr>
          <w:rFonts w:ascii="Arial" w:cs="Arial" w:eastAsia="Arial" w:hAnsi="Arial"/>
          <w:sz w:val="22"/>
          <w:szCs w:val="22"/>
        </w:rPr>
        <w:t xml:space="preserve"> Manufacturer resolution layer review, certification status checks, brand disclosure updates.</w:t>
      </w:r>
    </w:p>
    <w:p>
      <w:pPr>
        <w:pStyle w:val="ListParagraph"/>
        <w:numPr>
          <w:ilvl w:val="0"/>
          <w:numId w:val="2"/>
        </w:numPr>
        <w:spacing w:after="100"/>
      </w:pPr>
      <w:r>
        <w:rPr>
          <w:rFonts w:ascii="Arial" w:cs="Arial" w:eastAsia="Arial" w:hAnsi="Arial"/>
          <w:b/>
          <w:bCs/>
          <w:sz w:val="22"/>
          <w:szCs w:val="22"/>
        </w:rPr>
        <w:t xml:space="preserve">Quarterly:</w:t>
      </w:r>
      <w:r>
        <w:rPr>
          <w:rFonts w:ascii="Arial" w:cs="Arial" w:eastAsia="Arial" w:hAnsi="Arial"/>
          <w:sz w:val="22"/>
          <w:szCs w:val="22"/>
        </w:rPr>
        <w:t xml:space="preserve"> HFCS bulk data refresh (FDA's release cadence).</w:t>
      </w:r>
    </w:p>
    <w:p>
      <w:pPr>
        <w:spacing w:after="160"/>
      </w:pPr>
      <w:r>
        <w:rPr>
          <w:rFonts w:ascii="Arial" w:cs="Arial" w:eastAsia="Arial" w:hAnsi="Arial"/>
          <w:sz w:val="22"/>
          <w:szCs w:val="22"/>
        </w:rPr>
        <w:t xml:space="preserve">T&amp;C disclaimer ('information current as of last verification date') is the backstop — but it supplements the above cadences, not substitutes for them.</w:t>
      </w:r>
    </w:p>
    <w:p>
      <w:pPr>
        <w:pStyle w:val="Heading2"/>
        <w:spacing w:after="160" w:before="360"/>
      </w:pPr>
      <w:r>
        <w:rPr>
          <w:rFonts w:ascii="Arial" w:cs="Arial" w:eastAsia="Arial" w:hAnsi="Arial"/>
          <w:b/>
          <w:bCs/>
          <w:color w:val="2E75B6"/>
          <w:sz w:val="28"/>
          <w:szCs w:val="28"/>
        </w:rPr>
        <w:t xml:space="preserve">7.3 Manufacturer attribution change policy</w:t>
      </w:r>
    </w:p>
    <w:p>
      <w:pPr>
        <w:pStyle w:val="ListParagraph"/>
        <w:numPr>
          <w:ilvl w:val="0"/>
          <w:numId w:val="2"/>
        </w:numPr>
        <w:spacing w:after="100"/>
      </w:pPr>
      <w:r>
        <w:rPr>
          <w:rFonts w:ascii="Arial" w:cs="Arial" w:eastAsia="Arial" w:hAnsi="Arial"/>
          <w:b/>
          <w:bCs/>
          <w:sz w:val="22"/>
          <w:szCs w:val="22"/>
        </w:rPr>
        <w:t xml:space="preserve">If Provenix made an error:</w:t>
      </w:r>
      <w:r>
        <w:rPr>
          <w:rFonts w:ascii="Arial" w:cs="Arial" w:eastAsia="Arial" w:hAnsi="Arial"/>
          <w:sz w:val="22"/>
          <w:szCs w:val="22"/>
        </w:rPr>
        <w:t xml:space="preserve"> Correction log entry with timestamp and explanation, visible on the product page. Not buried in T&amp;Cs. Transparent self-correction is a trust feature.</w:t>
      </w:r>
    </w:p>
    <w:p>
      <w:pPr>
        <w:pStyle w:val="ListParagraph"/>
        <w:numPr>
          <w:ilvl w:val="0"/>
          <w:numId w:val="2"/>
        </w:numPr>
        <w:spacing w:after="100"/>
      </w:pPr>
      <w:r>
        <w:rPr>
          <w:rFonts w:ascii="Arial" w:cs="Arial" w:eastAsia="Arial" w:hAnsi="Arial"/>
          <w:b/>
          <w:bCs/>
          <w:sz w:val="22"/>
          <w:szCs w:val="22"/>
        </w:rPr>
        <w:t xml:space="preserve">If the manufacturer actually changes:</w:t>
      </w:r>
      <w:r>
        <w:rPr>
          <w:rFonts w:ascii="Arial" w:cs="Arial" w:eastAsia="Arial" w:hAnsi="Arial"/>
          <w:sz w:val="22"/>
          <w:szCs w:val="22"/>
        </w:rPr>
        <w:t xml:space="preserve"> Versioned attribution. Prior scores are preserved and labeled 'as of [date], manufacturing attributed to [prior manufacturer].' Current score reflects current manufacturer. Push notification to users who scanned the product.</w:t>
      </w:r>
    </w:p>
    <w:p>
      <w:pPr>
        <w:pStyle w:val="Heading2"/>
        <w:spacing w:after="160" w:before="360"/>
      </w:pPr>
      <w:r>
        <w:rPr>
          <w:rFonts w:ascii="Arial" w:cs="Arial" w:eastAsia="Arial" w:hAnsi="Arial"/>
          <w:b/>
          <w:bCs/>
          <w:color w:val="2E75B6"/>
          <w:sz w:val="28"/>
          <w:szCs w:val="28"/>
        </w:rPr>
        <w:t xml:space="preserve">7.4 Data source reference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800"/>
        <w:gridCol w:w="4060"/>
        <w:gridCol w:w="14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Method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Cost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Constraint / Decision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openFDA / HFCS
(formerly CAERS)</w:t>
            </w:r>
          </w:p>
        </w:tc>
        <w:tc>
          <w:tcPr>
            <w:tcW w:type="dxa" w:w="17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REST API + quarterly CSV/ASCII bulk download</w:t>
            </w:r>
          </w:p>
        </w:tc>
        <w:tc>
          <w:tcPr>
            <w:tcW w:type="dxa" w:w="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Free
(API key required)</w:t>
            </w:r>
          </w:p>
        </w:tc>
        <w:tc>
          <w:tcPr>
            <w:tcW w:type="dxa" w:w="40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CC0 public domain — cleanest license available. CAERS has been renamed HFCS (Human Foods Complaint System) under MoCRA; update all doc references. API key allows 240 req/min, 120k req/day. ~1-month lag per quarter on bulk files.
CRITICAL: The openFDA food enforcement endpoint's own documentation explicitly prohibits using it 'to collect data to issue alerts to the public.' Use FDA RSS/press release feeds as the notification trigger for live recall alerts; use openFDA for the underlying structured data after the notification fires.</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MVP — first 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FDA Warning Letters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Public FDA search page — custom ETL/scraper required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Free
(public domain)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No dedicated openFDA API endpoint. Requires building own ingestion pipeline against FDA's search page. More engineering effort than other FDA sources but no ToS barrier; government public-domain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MVP</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FDA Import Alert Database (OASIS)</w:t>
            </w:r>
          </w:p>
        </w:tc>
        <w:tc>
          <w:tcPr>
            <w:tcW w:type="dxa" w:w="17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Public web — ETL required</w:t>
            </w:r>
          </w:p>
        </w:tc>
        <w:tc>
          <w:tcPr>
            <w:tcW w:type="dxa" w:w="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Free
(public domain)</w:t>
            </w:r>
          </w:p>
        </w:tc>
        <w:tc>
          <w:tcPr>
            <w:tcW w:type="dxa" w:w="40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Track alert type in data model: facility-specific import alerts are weighted materially higher in the algorithm than country/product-category-level alerts. Do not collapse into a single 'import alert' boolean field.</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MVP — algorithm input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FDA NDI Notification Log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Public FDA website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Free
(public domain)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Requires knowing the product's full ingredient list before checking. Absence of NDI notification is ambiguous — not all ingredients require one. Weight modestly in algorithm (transparency flag, not enforcement 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MVP (modest weight)</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FDA Recall RSS / Press Releases</w:t>
            </w:r>
          </w:p>
        </w:tc>
        <w:tc>
          <w:tcPr>
            <w:tcW w:type="dxa" w:w="17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RSS subscription feed</w:t>
            </w:r>
          </w:p>
        </w:tc>
        <w:tc>
          <w:tcPr>
            <w:tcW w:type="dxa" w:w="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Free</w:t>
            </w:r>
          </w:p>
        </w:tc>
        <w:tc>
          <w:tcPr>
            <w:tcW w:type="dxa" w:w="40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Use as the live notification trigger for recall alerts (not openFDA enforcement endpoint). Pair: RSS fires the push alert; openFDA provides the structured detail page.</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MVP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FDA Form 483s — public subset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FDA FOIA Electronic Reading Room (proactive postings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Free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Only a 'frequently requested' subset is proactively posted. Comprehensive coverage requires FOIA requests (months of wait + fees) or a paid aggregator. Do not represent full 483 coverage as free in investor materials.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MVP (subset only)</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FDA Form 483s — full corpus</w:t>
            </w:r>
          </w:p>
        </w:tc>
        <w:tc>
          <w:tcPr>
            <w:tcW w:type="dxa" w:w="17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Paid aggregator
(Redica / FDAzilla)</w:t>
            </w:r>
          </w:p>
        </w:tc>
        <w:tc>
          <w:tcPr>
            <w:tcW w:type="dxa" w:w="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Enterprise — get quote before budgeting</w:t>
            </w:r>
          </w:p>
        </w:tc>
        <w:tc>
          <w:tcPr>
            <w:tcW w:type="dxa" w:w="40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Defer until curated SKU list exceeds ~500 products. At that trigger, get a Redica quote and evaluate against incremental Trust Score quality improvement. Treat as a costed decision, not a free resource.</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Phase 2 trigger
(~500 SKU threshold)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NSF Certified Product Listings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Manual lookup only — NO automated access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Free (manual); licensing cost unknown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NSF ToS explicitly prohibits 'any form of data extraction or data mining without prior written permission.' Manual lookup is compliant for the curated MVP list. For automated/bulk access, a licensing conversation with NSF is required before building any scraper. Do not build a scraper without that permission.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MVP (manual);
Phase 2: evaluate licensing</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Open Food Facts / GS1
(barcode resolution)</w:t>
            </w:r>
          </w:p>
        </w:tc>
        <w:tc>
          <w:tcPr>
            <w:tcW w:type="dxa" w:w="17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REST API + nightly DB dumps (JSONL/Parquet)</w:t>
            </w:r>
          </w:p>
        </w:tc>
        <w:tc>
          <w:tcPr>
            <w:tcW w:type="dxa" w:w="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Free</w:t>
            </w:r>
          </w:p>
        </w:tc>
        <w:tc>
          <w:tcPr>
            <w:tcW w:type="dxa" w:w="40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ODbL share-alike clause: if OFF data is merged into a combined database, that database may need to be released as open data. ARCHITECTURE DECISION: Keep OFF data in a dedicated identity/barcode-resolution layer, separate from proprietary enrichment data. Do not merge these layers. Supplement coverage is community-contributed and may be partial — spot-check against curated SKU list before committing.</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MVP — barcode resolution</w:t>
            </w:r>
          </w:p>
        </w:tc>
      </w:tr>
    </w:tbl>
    <w:p>
      <w:pPr>
        <w:spacing w:after="16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7.5 Architectural constraints summary</w:t>
      </w:r>
    </w:p>
    <w:p>
      <w:pPr>
        <w:pStyle w:val="ListParagraph"/>
        <w:numPr>
          <w:ilvl w:val="0"/>
          <w:numId w:val="2"/>
        </w:numPr>
        <w:spacing w:after="100"/>
      </w:pPr>
      <w:r>
        <w:rPr>
          <w:rFonts w:ascii="Arial" w:cs="Arial" w:eastAsia="Arial" w:hAnsi="Arial"/>
          <w:b/>
          <w:bCs/>
          <w:sz w:val="22"/>
          <w:szCs w:val="22"/>
        </w:rPr>
        <w:t xml:space="preserve">ODbL share-alike (Open Food Facts):</w:t>
      </w:r>
      <w:r>
        <w:rPr>
          <w:rFonts w:ascii="Arial" w:cs="Arial" w:eastAsia="Arial" w:hAnsi="Arial"/>
          <w:sz w:val="22"/>
          <w:szCs w:val="22"/>
        </w:rPr>
        <w:t xml:space="preserve"> Keep OFF data in a dedicated barcode/identity layer. Do not merge with proprietary enrichment data.</w:t>
      </w:r>
    </w:p>
    <w:p>
      <w:pPr>
        <w:pStyle w:val="ListParagraph"/>
        <w:numPr>
          <w:ilvl w:val="0"/>
          <w:numId w:val="2"/>
        </w:numPr>
        <w:spacing w:after="100"/>
      </w:pPr>
      <w:r>
        <w:rPr>
          <w:rFonts w:ascii="Arial" w:cs="Arial" w:eastAsia="Arial" w:hAnsi="Arial"/>
          <w:b/>
          <w:bCs/>
          <w:sz w:val="22"/>
          <w:szCs w:val="22"/>
        </w:rPr>
        <w:t xml:space="preserve">NSF no-scraping rule:</w:t>
      </w:r>
      <w:r>
        <w:rPr>
          <w:rFonts w:ascii="Arial" w:cs="Arial" w:eastAsia="Arial" w:hAnsi="Arial"/>
          <w:sz w:val="22"/>
          <w:szCs w:val="22"/>
        </w:rPr>
        <w:t xml:space="preserve"> Manual lookup only for MVP curated list. Licensing required for automated access — initiate that conversation before Phase 2 build.</w:t>
      </w:r>
    </w:p>
    <w:p>
      <w:pPr>
        <w:pStyle w:val="ListParagraph"/>
        <w:numPr>
          <w:ilvl w:val="0"/>
          <w:numId w:val="2"/>
        </w:numPr>
        <w:spacing w:after="100"/>
      </w:pPr>
      <w:r>
        <w:rPr>
          <w:rFonts w:ascii="Arial" w:cs="Arial" w:eastAsia="Arial" w:hAnsi="Arial"/>
          <w:b/>
          <w:bCs/>
          <w:sz w:val="22"/>
          <w:szCs w:val="22"/>
        </w:rPr>
        <w:t xml:space="preserve">openFDA recall alert restriction:</w:t>
      </w:r>
      <w:r>
        <w:rPr>
          <w:rFonts w:ascii="Arial" w:cs="Arial" w:eastAsia="Arial" w:hAnsi="Arial"/>
          <w:sz w:val="22"/>
          <w:szCs w:val="22"/>
        </w:rPr>
        <w:t xml:space="preserve"> FDA explicitly prohibits using the food enforcement endpoint to issue public alerts. Use FDA RSS feeds for notification triggers.</w:t>
      </w:r>
    </w:p>
    <w:p>
      <w:pPr>
        <w:pStyle w:val="ListParagraph"/>
        <w:numPr>
          <w:ilvl w:val="0"/>
          <w:numId w:val="2"/>
        </w:numPr>
        <w:spacing w:after="100"/>
      </w:pPr>
      <w:r>
        <w:rPr>
          <w:rFonts w:ascii="Arial" w:cs="Arial" w:eastAsia="Arial" w:hAnsi="Arial"/>
          <w:b/>
          <w:bCs/>
          <w:sz w:val="22"/>
          <w:szCs w:val="22"/>
        </w:rPr>
        <w:t xml:space="preserve">483 comprehensive coverage:</w:t>
      </w:r>
      <w:r>
        <w:rPr>
          <w:rFonts w:ascii="Arial" w:cs="Arial" w:eastAsia="Arial" w:hAnsi="Arial"/>
          <w:sz w:val="22"/>
          <w:szCs w:val="22"/>
        </w:rPr>
        <w:t xml:space="preserve"> Not free. Redica/FDAzilla decision deferred to ~500 SKU threshold.</w:t>
      </w:r>
    </w:p>
    <w:p>
      <w:pPr>
        <w:pStyle w:val="ListParagraph"/>
        <w:numPr>
          <w:ilvl w:val="0"/>
          <w:numId w:val="2"/>
        </w:numPr>
        <w:spacing w:after="100"/>
      </w:pPr>
      <w:r>
        <w:rPr>
          <w:rFonts w:ascii="Arial" w:cs="Arial" w:eastAsia="Arial" w:hAnsi="Arial"/>
          <w:b/>
          <w:bCs/>
          <w:sz w:val="22"/>
          <w:szCs w:val="22"/>
        </w:rPr>
        <w:t xml:space="preserve">AI/LLM in data pipeline:</w:t>
      </w:r>
      <w:r>
        <w:rPr>
          <w:rFonts w:ascii="Arial" w:cs="Arial" w:eastAsia="Arial" w:hAnsi="Arial"/>
          <w:sz w:val="22"/>
          <w:szCs w:val="22"/>
        </w:rPr>
        <w:t xml:space="preserve"> Acceptable for internal triage, deduplication, and drafting. Not acceptable in the live user-facing path without deterministic validation. Peer-reviewed research summaries (Phase 3) require physician review before publish.</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8. Trust Score &amp; Scoring Algorithm</w:t>
      </w:r>
    </w:p>
    <w:p>
      <w:pPr>
        <w:pStyle w:val="Heading2"/>
        <w:spacing w:after="160" w:before="360"/>
      </w:pPr>
      <w:r>
        <w:rPr>
          <w:rFonts w:ascii="Arial" w:cs="Arial" w:eastAsia="Arial" w:hAnsi="Arial"/>
          <w:b/>
          <w:bCs/>
          <w:color w:val="2E75B6"/>
          <w:sz w:val="28"/>
          <w:szCs w:val="28"/>
        </w:rPr>
        <w:t xml:space="preserve">8.1 Score structure</w:t>
      </w:r>
    </w:p>
    <w:p>
      <w:pPr>
        <w:spacing w:after="160"/>
      </w:pPr>
      <w:r>
        <w:rPr>
          <w:rFonts w:ascii="Arial" w:cs="Arial" w:eastAsia="Arial" w:hAnsi="Arial"/>
          <w:sz w:val="22"/>
          <w:szCs w:val="22"/>
        </w:rPr>
        <w:t xml:space="preserve">The Trust Score is a composite 0–100 score derived from six sub-scores. The overall score and each sub-score are always displayed with their 'last verified' date. Sub-score weights below are proposed and should be validated with physician co-founder input before MVP launch.</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2400"/>
        <w:gridCol w:w="26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Sub-score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 Notes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Data Source</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Manufacturer
Transparency</w:t>
            </w:r>
          </w:p>
        </w:tc>
        <w:tc>
          <w:tcPr>
            <w:tcW w:type="dxa" w:w="29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Resolved with high / moderate / low confidence. Attribution source quality (NSF listing &gt; enforcement record &gt; user-contributed &gt; inferred).</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High weight — Provenix's core differentiator. Unresolved manufacturer is surfaced explicitly, not hidden. Resolution confidence score displayed alongside.</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NSF certified listings, enforcement records, user-contributed photos, direct outreach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Regulatory &amp;
Compliance History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Active import alerts (facility-specific vs. category-level), warning letters (active vs. closed), 483 observations (where available), recall history, NDI compliance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Facility-specific import alert ≈ warning letter in weight. Category-level import alert: lower weight. NDI flag: modest negative signal. 483s weighted where available; absence of 483 data does not mean clean record.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FDA OASIS, FDA warning letters, openFDA enforcement, NDI notification log, 483 public subset (MVP) / Redica (Phase 2)</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Testing &amp; Quality
Transparency</w:t>
            </w:r>
          </w:p>
        </w:tc>
        <w:tc>
          <w:tcPr>
            <w:tcW w:type="dxa" w:w="29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Four-tier rating: (1) No testing claimed (2) Testing claimed, no public COA (3) COA available, not per-lot (4) Public per-lot lot-lookup available.</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Graded, not binary. Tier 4 is a meaningful positive signal — few brands achieve it. Tier 1 and 2 carry negative signal. Display prominently on product card, not buried in sub-scores.</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Brand website review, NSF/USP/Informed Sport databases, direct brand outreach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Third-Party
Certifications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NSF/ANSI 173, NSF Certified for Sport, USP Verified, Informed Sport/Informed Choice, other accredited programs.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Positive signal where present. Absence is common and is not by itself a negative signal — the testing tier rating already captures quality claim credibility independently.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NSF certified listings (manual), USP database, Informed Sport database</w:t>
            </w:r>
          </w:p>
        </w:tc>
      </w:tr>
      <w:tr>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Ingredient
Transparency</w:t>
            </w:r>
          </w:p>
        </w:tc>
        <w:tc>
          <w:tcPr>
            <w:tcW w:type="dxa" w:w="29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v1: Binary disclosure flag — does the brand disclose country of origin for ingredients at all? v2: Ingredient-level contaminant test data (heavy metals, etc.) where available from licensed independent testing.</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v1: Low weight; transparency flag only. Do NOT build a country-risk proxy score — conflicts with 'factual, never editorial' principle and risks geographic bias. v2: Contaminant test data is the correct signal; let measured results drive score, not country of origin.</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top"/>
          </w:tcPr>
          <w:p>
            <w:pPr>
              <w:spacing w:after="60"/>
            </w:pPr>
            <w:r>
              <w:rPr>
                <w:rFonts w:ascii="Arial" w:cs="Arial" w:eastAsia="Arial" w:hAnsi="Arial"/>
                <w:sz w:val="18"/>
                <w:szCs w:val="18"/>
              </w:rPr>
              <w:t xml:space="preserve">Brand label / website; v2: ConsumerLab or licensed independent test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Adverse Events
(HFCS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HFCS report count tied to brand/product. Displayed with FDA normalization language. FDA reporting link on every product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Surface with strong mandatory context. Not a primary score driver without volume normalization (more sales = more reports regardless of safety). Raw counts are informative but confounded. FDA disclaimer language is required wherever this data appears.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18"/>
                <w:szCs w:val="18"/>
              </w:rPr>
              <w:t xml:space="preserve">openFDA HFCS endpoint / HFCS quarterly data files</w:t>
            </w:r>
          </w:p>
        </w:tc>
      </w:tr>
    </w:tbl>
    <w:p>
      <w:pPr>
        <w:spacing w:after="16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8.2 Algorithm design principles</w:t>
      </w:r>
    </w:p>
    <w:p>
      <w:pPr>
        <w:pStyle w:val="ListParagraph"/>
        <w:numPr>
          <w:ilvl w:val="0"/>
          <w:numId w:val="2"/>
        </w:numPr>
        <w:spacing w:after="100"/>
      </w:pPr>
      <w:r>
        <w:rPr>
          <w:rFonts w:ascii="Arial" w:cs="Arial" w:eastAsia="Arial" w:hAnsi="Arial"/>
          <w:sz w:val="22"/>
          <w:szCs w:val="22"/>
        </w:rPr>
        <w:t xml:space="preserve">Every score input must trace to a primary source. No score driver is inferred from brand marketing copy, social media, news articles, or unverified reports.</w:t>
      </w:r>
    </w:p>
    <w:p>
      <w:pPr>
        <w:pStyle w:val="ListParagraph"/>
        <w:numPr>
          <w:ilvl w:val="0"/>
          <w:numId w:val="2"/>
        </w:numPr>
        <w:spacing w:after="100"/>
      </w:pPr>
      <w:r>
        <w:rPr>
          <w:rFonts w:ascii="Arial" w:cs="Arial" w:eastAsia="Arial" w:hAnsi="Arial"/>
          <w:sz w:val="22"/>
          <w:szCs w:val="22"/>
        </w:rPr>
        <w:t xml:space="preserve">News coverage: acceptable as an internal triage signal to accelerate human review — not a direct score input.</w:t>
      </w:r>
    </w:p>
    <w:p>
      <w:pPr>
        <w:pStyle w:val="ListParagraph"/>
        <w:numPr>
          <w:ilvl w:val="0"/>
          <w:numId w:val="2"/>
        </w:numPr>
        <w:spacing w:after="100"/>
      </w:pPr>
      <w:r>
        <w:rPr>
          <w:rFonts w:ascii="Arial" w:cs="Arial" w:eastAsia="Arial" w:hAnsi="Arial"/>
          <w:sz w:val="22"/>
          <w:szCs w:val="22"/>
        </w:rPr>
        <w:t xml:space="preserve">Social media: excluded from the algorithm entirely. Manipulable, unverifiable, and inconsistent with 'factual, never editorial.'</w:t>
      </w:r>
    </w:p>
    <w:p>
      <w:pPr>
        <w:pStyle w:val="ListParagraph"/>
        <w:numPr>
          <w:ilvl w:val="0"/>
          <w:numId w:val="2"/>
        </w:numPr>
        <w:spacing w:after="100"/>
      </w:pPr>
      <w:r>
        <w:rPr>
          <w:rFonts w:ascii="Arial" w:cs="Arial" w:eastAsia="Arial" w:hAnsi="Arial"/>
          <w:sz w:val="22"/>
          <w:szCs w:val="22"/>
        </w:rPr>
        <w:t xml:space="preserve">AE counts: always normalized contextually, never raw. If AE counts are incorporated into the score in a future version, they require statistical normalization against estimated market volume.</w:t>
      </w:r>
    </w:p>
    <w:p>
      <w:pPr>
        <w:pStyle w:val="ListParagraph"/>
        <w:numPr>
          <w:ilvl w:val="0"/>
          <w:numId w:val="2"/>
        </w:numPr>
        <w:spacing w:after="100"/>
      </w:pPr>
      <w:r>
        <w:rPr>
          <w:rFonts w:ascii="Arial" w:cs="Arial" w:eastAsia="Arial" w:hAnsi="Arial"/>
          <w:sz w:val="22"/>
          <w:szCs w:val="22"/>
        </w:rPr>
        <w:t xml:space="preserve">Country of origin: v1 = disclosure transparency flag only (binary). v2 = measured contaminant data, if licensed, can inform the score. Country-of-origin proxy risk scoring is not implemented.</w:t>
      </w:r>
    </w:p>
    <w:p>
      <w:pPr>
        <w:pStyle w:val="ListParagraph"/>
        <w:numPr>
          <w:ilvl w:val="0"/>
          <w:numId w:val="2"/>
        </w:numPr>
        <w:spacing w:after="100"/>
      </w:pPr>
      <w:r>
        <w:rPr>
          <w:rFonts w:ascii="Arial" w:cs="Arial" w:eastAsia="Arial" w:hAnsi="Arial"/>
          <w:sz w:val="22"/>
          <w:szCs w:val="22"/>
        </w:rPr>
        <w:t xml:space="preserve">Protein powders and energy drinks: excluded from MVP scope. The 'regulatory pathway' field (supplement GMP / food GMP / conventional beverage) is pre-built in the data schema so category expansion does not require a schema retrofit.</w:t>
      </w:r>
    </w:p>
    <w:p>
      <w:pPr>
        <w:pStyle w:val="Heading2"/>
        <w:spacing w:after="160" w:before="360"/>
      </w:pPr>
      <w:r>
        <w:rPr>
          <w:rFonts w:ascii="Arial" w:cs="Arial" w:eastAsia="Arial" w:hAnsi="Arial"/>
          <w:b/>
          <w:bCs/>
          <w:color w:val="2E75B6"/>
          <w:sz w:val="28"/>
          <w:szCs w:val="28"/>
        </w:rPr>
        <w:t xml:space="preserve">8.3 What the score does not represent</w:t>
      </w:r>
    </w:p>
    <w:p>
      <w:pPr>
        <w:spacing w:after="160"/>
      </w:pPr>
      <w:r>
        <w:rPr>
          <w:rFonts w:ascii="Arial" w:cs="Arial" w:eastAsia="Arial" w:hAnsi="Arial"/>
          <w:sz w:val="22"/>
          <w:szCs w:val="22"/>
        </w:rPr>
        <w:t xml:space="preserve">The Trust Score is not an efficacy rating, a recommendation, or a statement that a product is safe or unsafe. It reflects the verifiable provenance and compliance transparency of the product and its manufacturing supply chain, based on publicly available information current as of the displayed verification date.</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9. Monetization Strategy</w:t>
      </w:r>
    </w:p>
    <w:p>
      <w:pPr>
        <w:pStyle w:val="Heading2"/>
        <w:spacing w:after="160" w:before="360"/>
      </w:pPr>
      <w:r>
        <w:rPr>
          <w:rFonts w:ascii="Arial" w:cs="Arial" w:eastAsia="Arial" w:hAnsi="Arial"/>
          <w:b/>
          <w:bCs/>
          <w:color w:val="2E75B6"/>
          <w:sz w:val="28"/>
          <w:szCs w:val="28"/>
        </w:rPr>
        <w:t xml:space="preserve">9.1 Consumer app — free at launch</w:t>
      </w:r>
    </w:p>
    <w:p>
      <w:pPr>
        <w:spacing w:after="160"/>
      </w:pPr>
      <w:r>
        <w:rPr>
          <w:rFonts w:ascii="Arial" w:cs="Arial" w:eastAsia="Arial" w:hAnsi="Arial"/>
          <w:sz w:val="22"/>
          <w:szCs w:val="22"/>
        </w:rPr>
        <w:t xml:space="preserve">The consumer app launches with no paywall on any core feature. Trust Score, product profiles, manufacturer resolution, compliance history, lab testing tier, and the FDA reporting link are all freely accessible. The 'free because we don't sell your data or take brand money' positioning is both a business decision and a credibility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Free consumer launch is Jason's strong recommendation based on two concerns: (1) the scan-frequency problem — supplement bottles last a month, not a meal, so a subscription is harder to justify than Yuka's; (2) paywalling the core value proposition early would undermine the trust positioning with exactly the audience Aaron's clinical credibility attracts.</w:t>
            </w:r>
          </w:p>
          <w:p>
            <w:pPr>
              <w:spacing w:after="0"/>
            </w:pPr>
            <w:r>
              <w:rPr>
                <w:rFonts w:ascii="Arial" w:cs="Arial" w:eastAsia="Arial" w:hAnsi="Arial"/>
                <w:i/>
                <w:iCs/>
                <w:sz w:val="20"/>
                <w:szCs w:val="20"/>
              </w:rPr>
              <w:t xml:space="preserve">Needs your agreement before this is locked. If you have a different view on consumer monetization timing or model, that conversation should happen before any investor pitch includes a revenue model.</w:t>
            </w:r>
          </w:p>
        </w:tc>
      </w:tr>
    </w:tbl>
    <w:p>
      <w:pPr>
        <w:pStyle w:val="Heading2"/>
        <w:spacing w:after="160" w:before="360"/>
      </w:pPr>
      <w:r>
        <w:rPr>
          <w:rFonts w:ascii="Arial" w:cs="Arial" w:eastAsia="Arial" w:hAnsi="Arial"/>
          <w:b/>
          <w:bCs/>
          <w:color w:val="2E75B6"/>
          <w:sz w:val="28"/>
          <w:szCs w:val="28"/>
        </w:rPr>
        <w:t xml:space="preserve">9.2 Consumer paid tier — deferred, data-informed</w:t>
      </w:r>
    </w:p>
    <w:p>
      <w:pPr>
        <w:spacing w:after="160"/>
      </w:pPr>
      <w:r>
        <w:rPr>
          <w:rFonts w:ascii="Arial" w:cs="Arial" w:eastAsia="Arial" w:hAnsi="Arial"/>
          <w:sz w:val="22"/>
          <w:szCs w:val="22"/>
        </w:rPr>
        <w:t xml:space="preserve">A consumer paid tier is introduced only after beta user behavior data shows what actually drives return visits and genuine willingness to pay. Do not assume what consumers will pay for — discover it. Candidate features for a paid tier:</w:t>
      </w:r>
    </w:p>
    <w:p>
      <w:pPr>
        <w:pStyle w:val="ListParagraph"/>
        <w:numPr>
          <w:ilvl w:val="0"/>
          <w:numId w:val="2"/>
        </w:numPr>
        <w:spacing w:after="100"/>
      </w:pPr>
      <w:r>
        <w:rPr>
          <w:rFonts w:ascii="Arial" w:cs="Arial" w:eastAsia="Arial" w:hAnsi="Arial"/>
          <w:sz w:val="22"/>
          <w:szCs w:val="22"/>
        </w:rPr>
        <w:t xml:space="preserve">Saved product lists and personal supplement dashboard</w:t>
      </w:r>
    </w:p>
    <w:p>
      <w:pPr>
        <w:pStyle w:val="ListParagraph"/>
        <w:numPr>
          <w:ilvl w:val="0"/>
          <w:numId w:val="2"/>
        </w:numPr>
        <w:spacing w:after="100"/>
      </w:pPr>
      <w:r>
        <w:rPr>
          <w:rFonts w:ascii="Arial" w:cs="Arial" w:eastAsia="Arial" w:hAnsi="Arial"/>
          <w:sz w:val="22"/>
          <w:szCs w:val="22"/>
        </w:rPr>
        <w:t xml:space="preserve">Family/household management — multiple profiles</w:t>
      </w:r>
    </w:p>
    <w:p>
      <w:pPr>
        <w:pStyle w:val="ListParagraph"/>
        <w:numPr>
          <w:ilvl w:val="0"/>
          <w:numId w:val="2"/>
        </w:numPr>
        <w:spacing w:after="100"/>
      </w:pPr>
      <w:r>
        <w:rPr>
          <w:rFonts w:ascii="Arial" w:cs="Arial" w:eastAsia="Arial" w:hAnsi="Arial"/>
          <w:sz w:val="22"/>
          <w:szCs w:val="22"/>
        </w:rPr>
        <w:t xml:space="preserve">Proactive alerts when a product they have scanned has a new enforcement action, recall, or manufacturer change</w:t>
      </w:r>
    </w:p>
    <w:p>
      <w:pPr>
        <w:pStyle w:val="ListParagraph"/>
        <w:numPr>
          <w:ilvl w:val="0"/>
          <w:numId w:val="2"/>
        </w:numPr>
        <w:spacing w:after="100"/>
      </w:pPr>
      <w:r>
        <w:rPr>
          <w:rFonts w:ascii="Arial" w:cs="Arial" w:eastAsia="Arial" w:hAnsi="Arial"/>
          <w:sz w:val="22"/>
          <w:szCs w:val="22"/>
        </w:rPr>
        <w:t xml:space="preserve">Priority access to new product additions (curated list expansion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Pricing is TBD and should be a deliberate co-founder decision before Series A conversations. Key question to discuss: Is the consumer paid tier a real revenue driver in the 3-year model, or is it a retention tool that keeps B2B credibility high? The answer changes how you pitch the business.</w:t>
            </w:r>
          </w:p>
          <w:p>
            <w:pPr>
              <w:spacing w:after="0"/>
            </w:pPr>
            <w:r>
              <w:rPr>
                <w:rFonts w:ascii="Arial" w:cs="Arial" w:eastAsia="Arial" w:hAnsi="Arial"/>
                <w:i/>
                <w:iCs/>
                <w:sz w:val="20"/>
                <w:szCs w:val="20"/>
              </w:rPr>
              <w:t xml:space="preserve">One framing worth pressure-testing: if B2B revenue can sustain the business, keep the consumer app permanently free and use that as a differentiator. 'Provenix is free because institutions pay for the compliance value, not because consumers pay for information they deserve to have for free.' That is a story. Decide if it's your story.</w:t>
            </w:r>
          </w:p>
        </w:tc>
      </w:tr>
    </w:tbl>
    <w:p>
      <w:pPr>
        <w:pStyle w:val="Heading2"/>
        <w:spacing w:after="160" w:before="360"/>
      </w:pPr>
      <w:r>
        <w:rPr>
          <w:rFonts w:ascii="Arial" w:cs="Arial" w:eastAsia="Arial" w:hAnsi="Arial"/>
          <w:b/>
          <w:bCs/>
          <w:color w:val="2E75B6"/>
          <w:sz w:val="28"/>
          <w:szCs w:val="28"/>
        </w:rPr>
        <w:t xml:space="preserve">9.3 B2B clinical pilot — Phase 1 (concurrent with consumer launch)</w:t>
      </w:r>
    </w:p>
    <w:p>
      <w:pPr>
        <w:spacing w:after="160"/>
      </w:pPr>
      <w:r>
        <w:rPr>
          <w:rFonts w:ascii="Arial" w:cs="Arial" w:eastAsia="Arial" w:hAnsi="Arial"/>
          <w:sz w:val="22"/>
          <w:szCs w:val="22"/>
        </w:rPr>
        <w:t xml:space="preserve">The B2B revenue track begins in Phase 1, not Phase 3. A small pilot — two to three functional medicine practices — uses the same underlying data as the consumer app, packaged differently: a practitioner dashboard showing Trust Scores and compliance flags for the brands they currently recommend, a simple approval workflow for their formulary, and a branded report they can share with patients.</w:t>
      </w:r>
    </w:p>
    <w:p>
      <w:pPr>
        <w:spacing w:after="160"/>
      </w:pPr>
      <w:r>
        <w:rPr>
          <w:rFonts w:ascii="Arial" w:cs="Arial" w:eastAsia="Arial" w:hAnsi="Arial"/>
          <w:sz w:val="22"/>
          <w:szCs w:val="22"/>
        </w:rPr>
        <w:t xml:space="preserve">The value proposition for clinical buyers is explicit: reduce reputational and liability risk when supplement recommendations turn out to involve non-compliant manufacturers. Aaron's direct clinical relationships are the entry point. This does not require building a separate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This is the sequencing decision that needs your direct input. Jason's view: B2B should run in parallel with consumer launch in Phase 1, not as a Phase 3 initiative. The B2B pilot requires you to take the lead on the first 2-3 clinical relationships — it's your network and your credibility that opens those doors.</w:t>
            </w:r>
          </w:p>
          <w:p>
            <w:pPr>
              <w:spacing w:after="80"/>
            </w:pPr>
            <w:r>
              <w:rPr>
                <w:rFonts w:ascii="Arial" w:cs="Arial" w:eastAsia="Arial" w:hAnsi="Arial"/>
                <w:i/>
                <w:iCs/>
                <w:sz w:val="20"/>
                <w:szCs w:val="20"/>
              </w:rPr>
              <w:t xml:space="preserve">If the B2B-in-Phase-1 approach is right, the two of you need to agree on: (1) which 2-3 practices to approach first, (2) what the pilot deliverable looks like (dashboard? PDF report? something else?), and (3) what you charge for it, even if it's 'founding partner' pricing.</w:t>
            </w:r>
          </w:p>
          <w:p>
            <w:pPr>
              <w:spacing w:after="0"/>
            </w:pPr>
            <w:r>
              <w:rPr>
                <w:rFonts w:ascii="Arial" w:cs="Arial" w:eastAsia="Arial" w:hAnsi="Arial"/>
                <w:i/>
                <w:iCs/>
                <w:sz w:val="20"/>
                <w:szCs w:val="20"/>
              </w:rPr>
              <w:t xml:space="preserve">The institutional B2B channel (health systems, corporate wellness, formularies) is longer sales cycles and Phase 2+. The clinical pilot is about proving the model and generating early revenue, not closing enterprise deals.</w:t>
            </w:r>
          </w:p>
        </w:tc>
      </w:tr>
    </w:tbl>
    <w:p>
      <w:pPr>
        <w:pStyle w:val="Heading2"/>
        <w:spacing w:after="160" w:before="360"/>
      </w:pPr>
      <w:r>
        <w:rPr>
          <w:rFonts w:ascii="Arial" w:cs="Arial" w:eastAsia="Arial" w:hAnsi="Arial"/>
          <w:b/>
          <w:bCs/>
          <w:color w:val="2E75B6"/>
          <w:sz w:val="28"/>
          <w:szCs w:val="28"/>
        </w:rPr>
        <w:t xml:space="preserve">9.4 Data licensing costs</w:t>
      </w:r>
    </w:p>
    <w:p>
      <w:pPr>
        <w:spacing w:after="160"/>
      </w:pPr>
      <w:r>
        <w:rPr>
          <w:rFonts w:ascii="Arial" w:cs="Arial" w:eastAsia="Arial" w:hAnsi="Arial"/>
          <w:sz w:val="22"/>
          <w:szCs w:val="22"/>
        </w:rPr>
        <w:t xml:space="preserve">Default posture: stay on free data sources. The free stack (openFDA, FDA warning letters, import alerts, NDI log, Open Food Facts, manual NSF lookups) covers MVP and likely the first year of operation.</w:t>
      </w:r>
    </w:p>
    <w:p>
      <w:pPr>
        <w:spacing w:after="160"/>
      </w:pPr>
      <w:r>
        <w:rPr>
          <w:rFonts w:ascii="Arial" w:cs="Arial" w:eastAsia="Arial" w:hAnsi="Arial"/>
          <w:sz w:val="22"/>
          <w:szCs w:val="22"/>
        </w:rPr>
        <w:t xml:space="preserve">The Redica/FDAzilla decision (comprehensive 483 coverage) is deferred to a defined trigger: when the curated SKU list exceeds ~500 products, get a Redica quote and evaluate it against the incremental Trust Score quality improvement it enables. Budget it then; do not pre-commit.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Jason's posture: willing to pay for Redica/FDAzilla if the value is clear, but wants to stay free by default and only cross that line when the trigger is reached. Does this align with your budget expectations? Worth confirming before the financial model is built.</w:t>
            </w:r>
          </w:p>
        </w:tc>
      </w:tr>
    </w:tbl>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10. Product Roadmap</w:t>
      </w:r>
    </w:p>
    <w:p>
      <w:pPr>
        <w:pStyle w:val="Heading2"/>
        <w:spacing w:after="160" w:before="360"/>
      </w:pPr>
      <w:r>
        <w:rPr>
          <w:rFonts w:ascii="Arial" w:cs="Arial" w:eastAsia="Arial" w:hAnsi="Arial"/>
          <w:b/>
          <w:bCs/>
          <w:color w:val="2E75B6"/>
          <w:sz w:val="28"/>
          <w:szCs w:val="28"/>
        </w:rPr>
        <w:t xml:space="preserve">Phase 1 — MVP (Months 1–6)</w:t>
      </w:r>
    </w:p>
    <w:p>
      <w:pPr>
        <w:pStyle w:val="Heading3"/>
        <w:spacing w:after="120" w:before="240"/>
      </w:pPr>
      <w:r>
        <w:rPr>
          <w:rFonts w:ascii="Arial" w:cs="Arial" w:eastAsia="Arial" w:hAnsi="Arial"/>
          <w:b/>
          <w:bCs/>
          <w:sz w:val="24"/>
          <w:szCs w:val="24"/>
        </w:rPr>
        <w:t xml:space="preserve">Consumer product</w:t>
      </w:r>
    </w:p>
    <w:p>
      <w:pPr>
        <w:pStyle w:val="ListParagraph"/>
        <w:numPr>
          <w:ilvl w:val="0"/>
          <w:numId w:val="2"/>
        </w:numPr>
        <w:spacing w:after="100"/>
      </w:pPr>
      <w:r>
        <w:rPr>
          <w:rFonts w:ascii="Arial" w:cs="Arial" w:eastAsia="Arial" w:hAnsi="Arial"/>
          <w:sz w:val="22"/>
          <w:szCs w:val="22"/>
        </w:rPr>
        <w:t xml:space="preserve">Curated list of 50–100 SKUs — selected for high consumer interest and data availability</w:t>
      </w:r>
    </w:p>
    <w:p>
      <w:pPr>
        <w:pStyle w:val="ListParagraph"/>
        <w:numPr>
          <w:ilvl w:val="0"/>
          <w:numId w:val="2"/>
        </w:numPr>
        <w:spacing w:after="100"/>
      </w:pPr>
      <w:r>
        <w:rPr>
          <w:rFonts w:ascii="Arial" w:cs="Arial" w:eastAsia="Arial" w:hAnsi="Arial"/>
          <w:sz w:val="22"/>
          <w:szCs w:val="22"/>
        </w:rPr>
        <w:t xml:space="preserve">Barcode scan + manual search (both free, both on launch day)</w:t>
      </w:r>
    </w:p>
    <w:p>
      <w:pPr>
        <w:pStyle w:val="ListParagraph"/>
        <w:numPr>
          <w:ilvl w:val="0"/>
          <w:numId w:val="2"/>
        </w:numPr>
        <w:spacing w:after="100"/>
      </w:pPr>
      <w:r>
        <w:rPr>
          <w:rFonts w:ascii="Arial" w:cs="Arial" w:eastAsia="Arial" w:hAnsi="Arial"/>
          <w:sz w:val="22"/>
          <w:szCs w:val="22"/>
        </w:rPr>
        <w:t xml:space="preserve">Trust Score with Manufacturer Transparency, Regulatory/Compliance, and Testing Tier sub-scores at minimum</w:t>
      </w:r>
    </w:p>
    <w:p>
      <w:pPr>
        <w:pStyle w:val="ListParagraph"/>
        <w:numPr>
          <w:ilvl w:val="0"/>
          <w:numId w:val="2"/>
        </w:numPr>
        <w:spacing w:after="100"/>
      </w:pPr>
      <w:r>
        <w:rPr>
          <w:rFonts w:ascii="Arial" w:cs="Arial" w:eastAsia="Arial" w:hAnsi="Arial"/>
          <w:sz w:val="22"/>
          <w:szCs w:val="22"/>
        </w:rPr>
        <w:t xml:space="preserve">Manufacturer resolution layer with confidence scoring and source attribution</w:t>
      </w:r>
    </w:p>
    <w:p>
      <w:pPr>
        <w:pStyle w:val="ListParagraph"/>
        <w:numPr>
          <w:ilvl w:val="0"/>
          <w:numId w:val="2"/>
        </w:numPr>
        <w:spacing w:after="100"/>
      </w:pPr>
      <w:r>
        <w:rPr>
          <w:rFonts w:ascii="Arial" w:cs="Arial" w:eastAsia="Arial" w:hAnsi="Arial"/>
          <w:sz w:val="22"/>
          <w:szCs w:val="22"/>
        </w:rPr>
        <w:t xml:space="preserve">HFCS adverse event data display with required context language</w:t>
      </w:r>
    </w:p>
    <w:p>
      <w:pPr>
        <w:pStyle w:val="ListParagraph"/>
        <w:numPr>
          <w:ilvl w:val="0"/>
          <w:numId w:val="2"/>
        </w:numPr>
        <w:spacing w:after="100"/>
      </w:pPr>
      <w:r>
        <w:rPr>
          <w:rFonts w:ascii="Arial" w:cs="Arial" w:eastAsia="Arial" w:hAnsi="Arial"/>
          <w:sz w:val="22"/>
          <w:szCs w:val="22"/>
        </w:rPr>
        <w:t xml:space="preserve">FDA adverse event reporting link on every product page</w:t>
      </w:r>
    </w:p>
    <w:p>
      <w:pPr>
        <w:pStyle w:val="ListParagraph"/>
        <w:numPr>
          <w:ilvl w:val="0"/>
          <w:numId w:val="2"/>
        </w:numPr>
        <w:spacing w:after="100"/>
      </w:pPr>
      <w:r>
        <w:rPr>
          <w:rFonts w:ascii="Arial" w:cs="Arial" w:eastAsia="Arial" w:hAnsi="Arial"/>
          <w:sz w:val="22"/>
          <w:szCs w:val="22"/>
        </w:rPr>
        <w:t xml:space="preserve">FDA warning letters and recall history integrated</w:t>
      </w:r>
    </w:p>
    <w:p>
      <w:pPr>
        <w:pStyle w:val="ListParagraph"/>
        <w:numPr>
          <w:ilvl w:val="0"/>
          <w:numId w:val="2"/>
        </w:numPr>
        <w:spacing w:after="100"/>
      </w:pPr>
      <w:r>
        <w:rPr>
          <w:rFonts w:ascii="Arial" w:cs="Arial" w:eastAsia="Arial" w:hAnsi="Arial"/>
          <w:sz w:val="22"/>
          <w:szCs w:val="22"/>
        </w:rPr>
        <w:t xml:space="preserve">FDA Import Alert integration (facility-specific and category-level, separately tracked)</w:t>
      </w:r>
    </w:p>
    <w:p>
      <w:pPr>
        <w:pStyle w:val="ListParagraph"/>
        <w:numPr>
          <w:ilvl w:val="0"/>
          <w:numId w:val="2"/>
        </w:numPr>
        <w:spacing w:after="100"/>
      </w:pPr>
      <w:r>
        <w:rPr>
          <w:rFonts w:ascii="Arial" w:cs="Arial" w:eastAsia="Arial" w:hAnsi="Arial"/>
          <w:sz w:val="22"/>
          <w:szCs w:val="22"/>
        </w:rPr>
        <w:t xml:space="preserve">NDI compliance flag for products with relevant ingredients</w:t>
      </w:r>
    </w:p>
    <w:p>
      <w:pPr>
        <w:pStyle w:val="ListParagraph"/>
        <w:numPr>
          <w:ilvl w:val="0"/>
          <w:numId w:val="2"/>
        </w:numPr>
        <w:spacing w:after="100"/>
      </w:pPr>
      <w:r>
        <w:rPr>
          <w:rFonts w:ascii="Arial" w:cs="Arial" w:eastAsia="Arial" w:hAnsi="Arial"/>
          <w:sz w:val="22"/>
          <w:szCs w:val="22"/>
        </w:rPr>
        <w:t xml:space="preserve">NSF certification status (manual lookup for curated list)</w:t>
      </w:r>
    </w:p>
    <w:p>
      <w:pPr>
        <w:pStyle w:val="ListParagraph"/>
        <w:numPr>
          <w:ilvl w:val="0"/>
          <w:numId w:val="2"/>
        </w:numPr>
        <w:spacing w:after="100"/>
      </w:pPr>
      <w:r>
        <w:rPr>
          <w:rFonts w:ascii="Arial" w:cs="Arial" w:eastAsia="Arial" w:hAnsi="Arial"/>
          <w:sz w:val="22"/>
          <w:szCs w:val="22"/>
        </w:rPr>
        <w:t xml:space="preserve">Visible correction log on product pages</w:t>
      </w:r>
    </w:p>
    <w:p>
      <w:pPr>
        <w:pStyle w:val="ListParagraph"/>
        <w:numPr>
          <w:ilvl w:val="0"/>
          <w:numId w:val="2"/>
        </w:numPr>
        <w:spacing w:after="100"/>
      </w:pPr>
      <w:r>
        <w:rPr>
          <w:rFonts w:ascii="Arial" w:cs="Arial" w:eastAsia="Arial" w:hAnsi="Arial"/>
          <w:sz w:val="22"/>
          <w:szCs w:val="22"/>
        </w:rPr>
        <w:t xml:space="preserve">Consumer app: free, no paywall, no paid tier at launch</w:t>
      </w:r>
    </w:p>
    <w:p>
      <w:pPr>
        <w:pStyle w:val="Heading3"/>
        <w:spacing w:after="120" w:before="240"/>
      </w:pPr>
      <w:r>
        <w:rPr>
          <w:rFonts w:ascii="Arial" w:cs="Arial" w:eastAsia="Arial" w:hAnsi="Arial"/>
          <w:b/>
          <w:bCs/>
          <w:sz w:val="24"/>
          <w:szCs w:val="24"/>
        </w:rPr>
        <w:t xml:space="preserve">B2B pilot (concurrent with consumer launch)</w:t>
      </w:r>
    </w:p>
    <w:p>
      <w:pPr>
        <w:pStyle w:val="ListParagraph"/>
        <w:numPr>
          <w:ilvl w:val="0"/>
          <w:numId w:val="2"/>
        </w:numPr>
        <w:spacing w:after="100"/>
      </w:pPr>
      <w:r>
        <w:rPr>
          <w:rFonts w:ascii="Arial" w:cs="Arial" w:eastAsia="Arial" w:hAnsi="Arial"/>
          <w:sz w:val="22"/>
          <w:szCs w:val="22"/>
        </w:rPr>
        <w:t xml:space="preserve">2–3 functional medicine practices recruited via Aaron's clinical network</w:t>
      </w:r>
    </w:p>
    <w:p>
      <w:pPr>
        <w:pStyle w:val="ListParagraph"/>
        <w:numPr>
          <w:ilvl w:val="0"/>
          <w:numId w:val="2"/>
        </w:numPr>
        <w:spacing w:after="100"/>
      </w:pPr>
      <w:r>
        <w:rPr>
          <w:rFonts w:ascii="Arial" w:cs="Arial" w:eastAsia="Arial" w:hAnsi="Arial"/>
          <w:sz w:val="22"/>
          <w:szCs w:val="22"/>
        </w:rPr>
        <w:t xml:space="preserve">Practitioner dashboard: Trust Scores and compliance flags for brands they currently recommend</w:t>
      </w:r>
    </w:p>
    <w:p>
      <w:pPr>
        <w:pStyle w:val="ListParagraph"/>
        <w:numPr>
          <w:ilvl w:val="0"/>
          <w:numId w:val="2"/>
        </w:numPr>
        <w:spacing w:after="100"/>
      </w:pPr>
      <w:r>
        <w:rPr>
          <w:rFonts w:ascii="Arial" w:cs="Arial" w:eastAsia="Arial" w:hAnsi="Arial"/>
          <w:sz w:val="22"/>
          <w:szCs w:val="22"/>
        </w:rPr>
        <w:t xml:space="preserve">Simple formulary approval workflow</w:t>
      </w:r>
    </w:p>
    <w:p>
      <w:pPr>
        <w:pStyle w:val="ListParagraph"/>
        <w:numPr>
          <w:ilvl w:val="0"/>
          <w:numId w:val="2"/>
        </w:numPr>
        <w:spacing w:after="100"/>
      </w:pPr>
      <w:r>
        <w:rPr>
          <w:rFonts w:ascii="Arial" w:cs="Arial" w:eastAsia="Arial" w:hAnsi="Arial"/>
          <w:sz w:val="22"/>
          <w:szCs w:val="22"/>
        </w:rPr>
        <w:t xml:space="preserve">Pilot pricing determined by co-founders before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8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B2B Phase 1 pilot is Jason's strong recommendation. Needs your agreement on: (1) which practices to approach, (2) what the pilot deliverable looks like, (3) pricing even if it's 'founding partner' rates.</w:t>
            </w:r>
          </w:p>
          <w:p>
            <w:pPr>
              <w:spacing w:after="0"/>
            </w:pPr>
            <w:r>
              <w:rPr>
                <w:rFonts w:ascii="Arial" w:cs="Arial" w:eastAsia="Arial" w:hAnsi="Arial"/>
                <w:i/>
                <w:iCs/>
                <w:sz w:val="20"/>
                <w:szCs w:val="20"/>
              </w:rPr>
              <w:t xml:space="preserve">This is the highest-priority unresolved decision going into Phase 1 planning.</w:t>
            </w:r>
          </w:p>
        </w:tc>
      </w:tr>
    </w:tbl>
    <w:p>
      <w:pPr>
        <w:pStyle w:val="Heading2"/>
        <w:spacing w:after="160" w:before="360"/>
      </w:pPr>
      <w:r>
        <w:rPr>
          <w:rFonts w:ascii="Arial" w:cs="Arial" w:eastAsia="Arial" w:hAnsi="Arial"/>
          <w:b/>
          <w:bCs/>
          <w:color w:val="2E75B6"/>
          <w:sz w:val="28"/>
          <w:szCs w:val="28"/>
        </w:rPr>
        <w:t xml:space="preserve">Phase 2 — Scale (Months 7–18)</w:t>
      </w:r>
    </w:p>
    <w:p>
      <w:pPr>
        <w:pStyle w:val="ListParagraph"/>
        <w:numPr>
          <w:ilvl w:val="0"/>
          <w:numId w:val="2"/>
        </w:numPr>
        <w:spacing w:after="100"/>
      </w:pPr>
      <w:r>
        <w:rPr>
          <w:rFonts w:ascii="Arial" w:cs="Arial" w:eastAsia="Arial" w:hAnsi="Arial"/>
          <w:sz w:val="22"/>
          <w:szCs w:val="22"/>
        </w:rPr>
        <w:t xml:space="preserve">Expand curated list to 500+ SKUs with structured onboarding pipeline</w:t>
      </w:r>
    </w:p>
    <w:p>
      <w:pPr>
        <w:pStyle w:val="ListParagraph"/>
        <w:numPr>
          <w:ilvl w:val="0"/>
          <w:numId w:val="2"/>
        </w:numPr>
        <w:spacing w:after="100"/>
      </w:pPr>
      <w:r>
        <w:rPr>
          <w:rFonts w:ascii="Arial" w:cs="Arial" w:eastAsia="Arial" w:hAnsi="Arial"/>
          <w:sz w:val="22"/>
          <w:szCs w:val="22"/>
        </w:rPr>
        <w:t xml:space="preserve">Change detection alerts and push notifications for scanned products</w:t>
      </w:r>
    </w:p>
    <w:p>
      <w:pPr>
        <w:pStyle w:val="ListParagraph"/>
        <w:numPr>
          <w:ilvl w:val="0"/>
          <w:numId w:val="2"/>
        </w:numPr>
        <w:spacing w:after="100"/>
      </w:pPr>
      <w:r>
        <w:rPr>
          <w:rFonts w:ascii="Arial" w:cs="Arial" w:eastAsia="Arial" w:hAnsi="Arial"/>
          <w:sz w:val="22"/>
          <w:szCs w:val="22"/>
        </w:rPr>
        <w:t xml:space="preserve">Versioned manufacturer attribution (with change history)</w:t>
      </w:r>
    </w:p>
    <w:p>
      <w:pPr>
        <w:pStyle w:val="ListParagraph"/>
        <w:numPr>
          <w:ilvl w:val="0"/>
          <w:numId w:val="2"/>
        </w:numPr>
        <w:spacing w:after="100"/>
      </w:pPr>
      <w:r>
        <w:rPr>
          <w:rFonts w:ascii="Arial" w:cs="Arial" w:eastAsia="Arial" w:hAnsi="Arial"/>
          <w:sz w:val="22"/>
          <w:szCs w:val="22"/>
        </w:rPr>
        <w:t xml:space="preserve">Country of origin transparency flag (v1: binary disclosure)</w:t>
      </w:r>
    </w:p>
    <w:p>
      <w:pPr>
        <w:pStyle w:val="ListParagraph"/>
        <w:numPr>
          <w:ilvl w:val="0"/>
          <w:numId w:val="2"/>
        </w:numPr>
        <w:spacing w:after="100"/>
      </w:pPr>
      <w:r>
        <w:rPr>
          <w:rFonts w:ascii="Arial" w:cs="Arial" w:eastAsia="Arial" w:hAnsi="Arial"/>
          <w:sz w:val="22"/>
          <w:szCs w:val="22"/>
        </w:rPr>
        <w:t xml:space="preserve">NSF certification licensing conversation (if SKU count warrants automation)</w:t>
      </w:r>
    </w:p>
    <w:p>
      <w:pPr>
        <w:pStyle w:val="ListParagraph"/>
        <w:numPr>
          <w:ilvl w:val="0"/>
          <w:numId w:val="2"/>
        </w:numPr>
        <w:spacing w:after="100"/>
      </w:pPr>
      <w:r>
        <w:rPr>
          <w:rFonts w:ascii="Arial" w:cs="Arial" w:eastAsia="Arial" w:hAnsi="Arial"/>
          <w:sz w:val="22"/>
          <w:szCs w:val="22"/>
        </w:rPr>
        <w:t xml:space="preserve">Redica/FDAzilla evaluation at 500-SKU trigger for comprehensive 483 coverage</w:t>
      </w:r>
    </w:p>
    <w:p>
      <w:pPr>
        <w:pStyle w:val="ListParagraph"/>
        <w:numPr>
          <w:ilvl w:val="0"/>
          <w:numId w:val="2"/>
        </w:numPr>
        <w:spacing w:after="100"/>
      </w:pPr>
      <w:r>
        <w:rPr>
          <w:rFonts w:ascii="Arial" w:cs="Arial" w:eastAsia="Arial" w:hAnsi="Arial"/>
          <w:sz w:val="22"/>
          <w:szCs w:val="22"/>
        </w:rPr>
        <w:t xml:space="preserve">Consumer paid tier evaluation based on observed beta behavior data</w:t>
      </w:r>
    </w:p>
    <w:p>
      <w:pPr>
        <w:pStyle w:val="ListParagraph"/>
        <w:numPr>
          <w:ilvl w:val="0"/>
          <w:numId w:val="2"/>
        </w:numPr>
        <w:spacing w:after="100"/>
      </w:pPr>
      <w:r>
        <w:rPr>
          <w:rFonts w:ascii="Arial" w:cs="Arial" w:eastAsia="Arial" w:hAnsi="Arial"/>
          <w:sz w:val="22"/>
          <w:szCs w:val="22"/>
        </w:rPr>
        <w:t xml:space="preserve">Formal B2B pricing and packaging based on Phase 1 pilot learnings</w:t>
      </w:r>
    </w:p>
    <w:p>
      <w:pPr>
        <w:pStyle w:val="ListParagraph"/>
        <w:numPr>
          <w:ilvl w:val="0"/>
          <w:numId w:val="2"/>
        </w:numPr>
        <w:spacing w:after="100"/>
      </w:pPr>
      <w:r>
        <w:rPr>
          <w:rFonts w:ascii="Arial" w:cs="Arial" w:eastAsia="Arial" w:hAnsi="Arial"/>
          <w:sz w:val="22"/>
          <w:szCs w:val="22"/>
        </w:rPr>
        <w:t xml:space="preserve">Institutional B2B channel development (health systems, corporate wellness)</w:t>
      </w:r>
    </w:p>
    <w:p>
      <w:pPr>
        <w:pStyle w:val="Heading2"/>
        <w:spacing w:after="160" w:before="360"/>
      </w:pPr>
      <w:r>
        <w:rPr>
          <w:rFonts w:ascii="Arial" w:cs="Arial" w:eastAsia="Arial" w:hAnsi="Arial"/>
          <w:b/>
          <w:bCs/>
          <w:color w:val="2E75B6"/>
          <w:sz w:val="28"/>
          <w:szCs w:val="28"/>
        </w:rPr>
        <w:t xml:space="preserve">Phase 3 — Expand (Months 19+)</w:t>
      </w:r>
    </w:p>
    <w:p>
      <w:pPr>
        <w:pStyle w:val="ListParagraph"/>
        <w:numPr>
          <w:ilvl w:val="0"/>
          <w:numId w:val="2"/>
        </w:numPr>
        <w:spacing w:after="100"/>
      </w:pPr>
      <w:r>
        <w:rPr>
          <w:rFonts w:ascii="Arial" w:cs="Arial" w:eastAsia="Arial" w:hAnsi="Arial"/>
          <w:sz w:val="22"/>
          <w:szCs w:val="22"/>
        </w:rPr>
        <w:t xml:space="preserve">Peer-reviewed research layer: ingredient-level citations from systematic reviews, physician review workflow before publish, clearly dated, AI-assisted drafting only</w:t>
      </w:r>
    </w:p>
    <w:p>
      <w:pPr>
        <w:pStyle w:val="ListParagraph"/>
        <w:numPr>
          <w:ilvl w:val="0"/>
          <w:numId w:val="2"/>
        </w:numPr>
        <w:spacing w:after="100"/>
      </w:pPr>
      <w:r>
        <w:rPr>
          <w:rFonts w:ascii="Arial" w:cs="Arial" w:eastAsia="Arial" w:hAnsi="Arial"/>
          <w:sz w:val="22"/>
          <w:szCs w:val="22"/>
        </w:rPr>
        <w:t xml:space="preserve">Protein powder and energy drink category expansion (regulatory pathway field pre-built in schema)</w:t>
      </w:r>
    </w:p>
    <w:p>
      <w:pPr>
        <w:pStyle w:val="ListParagraph"/>
        <w:numPr>
          <w:ilvl w:val="0"/>
          <w:numId w:val="2"/>
        </w:numPr>
        <w:spacing w:after="100"/>
      </w:pPr>
      <w:r>
        <w:rPr>
          <w:rFonts w:ascii="Arial" w:cs="Arial" w:eastAsia="Arial" w:hAnsi="Arial"/>
          <w:sz w:val="22"/>
          <w:szCs w:val="22"/>
        </w:rPr>
        <w:t xml:space="preserve">Country of origin v2: ingredient-level contaminant test data (licensed) as score input</w:t>
      </w:r>
    </w:p>
    <w:p>
      <w:pPr>
        <w:pStyle w:val="ListParagraph"/>
        <w:numPr>
          <w:ilvl w:val="0"/>
          <w:numId w:val="2"/>
        </w:numPr>
        <w:spacing w:after="100"/>
      </w:pPr>
      <w:r>
        <w:rPr>
          <w:rFonts w:ascii="Arial" w:cs="Arial" w:eastAsia="Arial" w:hAnsi="Arial"/>
          <w:sz w:val="22"/>
          <w:szCs w:val="22"/>
        </w:rPr>
        <w:t xml:space="preserve">Broader institutional B2B — insurance, formularies, health system integrations</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11. Technical Considerations</w:t>
      </w:r>
    </w:p>
    <w:p>
      <w:pPr>
        <w:pStyle w:val="Heading2"/>
        <w:spacing w:after="160" w:before="360"/>
      </w:pPr>
      <w:r>
        <w:rPr>
          <w:rFonts w:ascii="Arial" w:cs="Arial" w:eastAsia="Arial" w:hAnsi="Arial"/>
          <w:b/>
          <w:bCs/>
          <w:color w:val="2E75B6"/>
          <w:sz w:val="28"/>
          <w:szCs w:val="28"/>
        </w:rPr>
        <w:t xml:space="preserve">11.1 Data model design principles</w:t>
      </w:r>
    </w:p>
    <w:p>
      <w:pPr>
        <w:pStyle w:val="ListParagraph"/>
        <w:numPr>
          <w:ilvl w:val="0"/>
          <w:numId w:val="2"/>
        </w:numPr>
        <w:spacing w:after="100"/>
      </w:pPr>
      <w:r>
        <w:rPr>
          <w:rFonts w:ascii="Arial" w:cs="Arial" w:eastAsia="Arial" w:hAnsi="Arial"/>
          <w:sz w:val="22"/>
          <w:szCs w:val="22"/>
        </w:rPr>
        <w:t xml:space="preserve">Supplement product, brand entity, and manufacturing facility are three distinct objects in the data model — not merged. This separation is what makes attribution versioning and correction logging structurally possible.</w:t>
      </w:r>
    </w:p>
    <w:p>
      <w:pPr>
        <w:pStyle w:val="ListParagraph"/>
        <w:numPr>
          <w:ilvl w:val="0"/>
          <w:numId w:val="2"/>
        </w:numPr>
        <w:spacing w:after="100"/>
      </w:pPr>
      <w:r>
        <w:rPr>
          <w:rFonts w:ascii="Arial" w:cs="Arial" w:eastAsia="Arial" w:hAnsi="Arial"/>
          <w:sz w:val="22"/>
          <w:szCs w:val="22"/>
        </w:rPr>
        <w:t xml:space="preserve">Regulatory pathway field (supplement GMP / food GMP / conventional beverage) is included in the product schema from day one, enabling protein/energy drink expansion without a schema retrofit.</w:t>
      </w:r>
    </w:p>
    <w:p>
      <w:pPr>
        <w:pStyle w:val="ListParagraph"/>
        <w:numPr>
          <w:ilvl w:val="0"/>
          <w:numId w:val="2"/>
        </w:numPr>
        <w:spacing w:after="100"/>
      </w:pPr>
      <w:r>
        <w:rPr>
          <w:rFonts w:ascii="Arial" w:cs="Arial" w:eastAsia="Arial" w:hAnsi="Arial"/>
          <w:sz w:val="22"/>
          <w:szCs w:val="22"/>
        </w:rPr>
        <w:t xml:space="preserve">ODbL compliance: Open Food Facts data kept in a dedicated barcode/identity layer. Not merged with proprietary enrichment data.</w:t>
      </w:r>
    </w:p>
    <w:p>
      <w:pPr>
        <w:pStyle w:val="ListParagraph"/>
        <w:numPr>
          <w:ilvl w:val="0"/>
          <w:numId w:val="2"/>
        </w:numPr>
        <w:spacing w:after="100"/>
      </w:pPr>
      <w:r>
        <w:rPr>
          <w:rFonts w:ascii="Arial" w:cs="Arial" w:eastAsia="Arial" w:hAnsi="Arial"/>
          <w:sz w:val="22"/>
          <w:szCs w:val="22"/>
        </w:rPr>
        <w:t xml:space="preserve">Manufacturer attribution versioning: every change creates a new version record with timestamp, source, and reason. Old versions are retained and labeled historical.</w:t>
      </w:r>
    </w:p>
    <w:p>
      <w:pPr>
        <w:pStyle w:val="Heading2"/>
        <w:spacing w:after="160" w:before="360"/>
      </w:pPr>
      <w:r>
        <w:rPr>
          <w:rFonts w:ascii="Arial" w:cs="Arial" w:eastAsia="Arial" w:hAnsi="Arial"/>
          <w:b/>
          <w:bCs/>
          <w:color w:val="2E75B6"/>
          <w:sz w:val="28"/>
          <w:szCs w:val="28"/>
        </w:rPr>
        <w:t xml:space="preserve">11.2 Ingestion pipeline architecture</w:t>
      </w:r>
    </w:p>
    <w:p>
      <w:pPr>
        <w:pStyle w:val="ListParagraph"/>
        <w:numPr>
          <w:ilvl w:val="0"/>
          <w:numId w:val="2"/>
        </w:numPr>
        <w:spacing w:after="100"/>
      </w:pPr>
      <w:r>
        <w:rPr>
          <w:rFonts w:ascii="Arial" w:cs="Arial" w:eastAsia="Arial" w:hAnsi="Arial"/>
          <w:b/>
          <w:bCs/>
          <w:sz w:val="22"/>
          <w:szCs w:val="22"/>
        </w:rPr>
        <w:t xml:space="preserve">Near-real-time layer:</w:t>
      </w:r>
      <w:r>
        <w:rPr>
          <w:rFonts w:ascii="Arial" w:cs="Arial" w:eastAsia="Arial" w:hAnsi="Arial"/>
          <w:sz w:val="22"/>
          <w:szCs w:val="22"/>
        </w:rPr>
        <w:t xml:space="preserve"> FDA RSS recall feed (webhook/subscription trigger), import alert monitoring, warning letter monitoring. These fire push notifications to affected users.</w:t>
      </w:r>
    </w:p>
    <w:p>
      <w:pPr>
        <w:pStyle w:val="ListParagraph"/>
        <w:numPr>
          <w:ilvl w:val="0"/>
          <w:numId w:val="2"/>
        </w:numPr>
        <w:spacing w:after="100"/>
      </w:pPr>
      <w:r>
        <w:rPr>
          <w:rFonts w:ascii="Arial" w:cs="Arial" w:eastAsia="Arial" w:hAnsi="Arial"/>
          <w:b/>
          <w:bCs/>
          <w:sz w:val="22"/>
          <w:szCs w:val="22"/>
        </w:rPr>
        <w:t xml:space="preserve">Batch layer:</w:t>
      </w:r>
      <w:r>
        <w:rPr>
          <w:rFonts w:ascii="Arial" w:cs="Arial" w:eastAsia="Arial" w:hAnsi="Arial"/>
          <w:sz w:val="22"/>
          <w:szCs w:val="22"/>
        </w:rPr>
        <w:t xml:space="preserve"> openFDA/HFCS quarterly bulk files, monthly manufacturer resolution review, certification status checks. Scheduled jobs, not real-time.</w:t>
      </w:r>
    </w:p>
    <w:p>
      <w:pPr>
        <w:pStyle w:val="ListParagraph"/>
        <w:numPr>
          <w:ilvl w:val="0"/>
          <w:numId w:val="2"/>
        </w:numPr>
        <w:spacing w:after="100"/>
      </w:pPr>
      <w:r>
        <w:rPr>
          <w:rFonts w:ascii="Arial" w:cs="Arial" w:eastAsia="Arial" w:hAnsi="Arial"/>
          <w:b/>
          <w:bCs/>
          <w:sz w:val="22"/>
          <w:szCs w:val="22"/>
        </w:rPr>
        <w:t xml:space="preserve">Manual layer:</w:t>
      </w:r>
      <w:r>
        <w:rPr>
          <w:rFonts w:ascii="Arial" w:cs="Arial" w:eastAsia="Arial" w:hAnsi="Arial"/>
          <w:sz w:val="22"/>
          <w:szCs w:val="22"/>
        </w:rPr>
        <w:t xml:space="preserve"> NSF certification lookups (manual for curated list), direct brand outreach verification, correction log entries. Human-in-the-loop for high-consequence changes.</w:t>
      </w:r>
    </w:p>
    <w:p>
      <w:pPr>
        <w:pStyle w:val="Heading2"/>
        <w:spacing w:after="160" w:before="360"/>
      </w:pPr>
      <w:r>
        <w:rPr>
          <w:rFonts w:ascii="Arial" w:cs="Arial" w:eastAsia="Arial" w:hAnsi="Arial"/>
          <w:b/>
          <w:bCs/>
          <w:color w:val="2E75B6"/>
          <w:sz w:val="28"/>
          <w:szCs w:val="28"/>
        </w:rPr>
        <w:t xml:space="preserve">11.3 Barcode resolution limitations</w:t>
      </w:r>
    </w:p>
    <w:p>
      <w:pPr>
        <w:spacing w:after="160"/>
      </w:pPr>
      <w:r>
        <w:rPr>
          <w:rFonts w:ascii="Arial" w:cs="Arial" w:eastAsia="Arial" w:hAnsi="Arial"/>
          <w:sz w:val="22"/>
          <w:szCs w:val="22"/>
        </w:rPr>
        <w:t xml:space="preserve">Supplement bottle barcode scan failure rates are materially higher than food packaging. The UX must handle the 'scan failed' state gracefully — not with an error, but with a seamless fallback to manual search. This is a known physical constraint of the product category, not an edge case.</w:t>
      </w:r>
    </w:p>
    <w:p>
      <w:pPr>
        <w:pStyle w:val="Heading2"/>
        <w:spacing w:after="160" w:before="360"/>
      </w:pPr>
      <w:r>
        <w:rPr>
          <w:rFonts w:ascii="Arial" w:cs="Arial" w:eastAsia="Arial" w:hAnsi="Arial"/>
          <w:b/>
          <w:bCs/>
          <w:color w:val="2E75B6"/>
          <w:sz w:val="28"/>
          <w:szCs w:val="28"/>
        </w:rPr>
        <w:t xml:space="preserve">11.4 AI/LLM policy</w:t>
      </w:r>
    </w:p>
    <w:p>
      <w:pPr>
        <w:spacing w:after="160"/>
      </w:pPr>
      <w:r>
        <w:rPr>
          <w:rFonts w:ascii="Arial" w:cs="Arial" w:eastAsia="Arial" w:hAnsi="Arial"/>
          <w:sz w:val="22"/>
          <w:szCs w:val="22"/>
        </w:rPr>
        <w:t xml:space="preserve">AI tools may be used for internal pipeline tasks: triage, deduplication, drafting manufacturer resolution hypotheses for human review. AI-generated content does not appear in the user-facing product without deterministic validation or (for health-adjacent content in Phase 3) physician review and sign-off. This is the same principle the scoring pipeline follows: verifiable primary sources, not probabilistic inference, in the user-facing path.</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12. Legal &amp; Compliance Considerations</w:t>
      </w:r>
    </w:p>
    <w:p>
      <w:pPr>
        <w:pStyle w:val="Heading2"/>
        <w:spacing w:after="160" w:before="360"/>
      </w:pPr>
      <w:r>
        <w:rPr>
          <w:rFonts w:ascii="Arial" w:cs="Arial" w:eastAsia="Arial" w:hAnsi="Arial"/>
          <w:b/>
          <w:bCs/>
          <w:color w:val="2E75B6"/>
          <w:sz w:val="28"/>
          <w:szCs w:val="28"/>
        </w:rPr>
        <w:t xml:space="preserve">12.1 Data use constraints</w:t>
      </w:r>
    </w:p>
    <w:p>
      <w:pPr>
        <w:pStyle w:val="ListParagraph"/>
        <w:numPr>
          <w:ilvl w:val="0"/>
          <w:numId w:val="2"/>
        </w:numPr>
        <w:spacing w:after="100"/>
      </w:pPr>
      <w:r>
        <w:rPr>
          <w:rFonts w:ascii="Arial" w:cs="Arial" w:eastAsia="Arial" w:hAnsi="Arial"/>
          <w:b/>
          <w:bCs/>
          <w:sz w:val="22"/>
          <w:szCs w:val="22"/>
        </w:rPr>
        <w:t xml:space="preserve">openFDA food enforcement endpoint:</w:t>
      </w:r>
      <w:r>
        <w:rPr>
          <w:rFonts w:ascii="Arial" w:cs="Arial" w:eastAsia="Arial" w:hAnsi="Arial"/>
          <w:sz w:val="22"/>
          <w:szCs w:val="22"/>
        </w:rPr>
        <w:t xml:space="preserve"> FDA documentation prohibits use 'to collect data to issue alerts to the public.' Use FDA RSS/press release feeds for the notification trigger. openFDA provides the structured detail.</w:t>
      </w:r>
    </w:p>
    <w:p>
      <w:pPr>
        <w:pStyle w:val="ListParagraph"/>
        <w:numPr>
          <w:ilvl w:val="0"/>
          <w:numId w:val="2"/>
        </w:numPr>
        <w:spacing w:after="100"/>
      </w:pPr>
      <w:r>
        <w:rPr>
          <w:rFonts w:ascii="Arial" w:cs="Arial" w:eastAsia="Arial" w:hAnsi="Arial"/>
          <w:b/>
          <w:bCs/>
          <w:sz w:val="22"/>
          <w:szCs w:val="22"/>
        </w:rPr>
        <w:t xml:space="preserve">NSF ToS:</w:t>
      </w:r>
      <w:r>
        <w:rPr>
          <w:rFonts w:ascii="Arial" w:cs="Arial" w:eastAsia="Arial" w:hAnsi="Arial"/>
          <w:sz w:val="22"/>
          <w:szCs w:val="22"/>
        </w:rPr>
        <w:t xml:space="preserve"> 'Any form of data extraction or data mining... without prior written permission of NSF is strictly prohibited.' Manual lookup is compliant. Do not build a scraper without explicit NSF license.</w:t>
      </w:r>
    </w:p>
    <w:p>
      <w:pPr>
        <w:pStyle w:val="ListParagraph"/>
        <w:numPr>
          <w:ilvl w:val="0"/>
          <w:numId w:val="2"/>
        </w:numPr>
        <w:spacing w:after="100"/>
      </w:pPr>
      <w:r>
        <w:rPr>
          <w:rFonts w:ascii="Arial" w:cs="Arial" w:eastAsia="Arial" w:hAnsi="Arial"/>
          <w:b/>
          <w:bCs/>
          <w:sz w:val="22"/>
          <w:szCs w:val="22"/>
        </w:rPr>
        <w:t xml:space="preserve">ODbL (Open Food Facts):</w:t>
      </w:r>
      <w:r>
        <w:rPr>
          <w:rFonts w:ascii="Arial" w:cs="Arial" w:eastAsia="Arial" w:hAnsi="Arial"/>
          <w:sz w:val="22"/>
          <w:szCs w:val="22"/>
        </w:rPr>
        <w:t xml:space="preserve"> Share-alike requirement. Keep OFF data architecturally separate from proprietary enrichment data.</w:t>
      </w:r>
    </w:p>
    <w:p>
      <w:pPr>
        <w:pStyle w:val="ListParagraph"/>
        <w:numPr>
          <w:ilvl w:val="0"/>
          <w:numId w:val="2"/>
        </w:numPr>
        <w:spacing w:after="100"/>
      </w:pPr>
      <w:r>
        <w:rPr>
          <w:rFonts w:ascii="Arial" w:cs="Arial" w:eastAsia="Arial" w:hAnsi="Arial"/>
          <w:b/>
          <w:bCs/>
          <w:sz w:val="22"/>
          <w:szCs w:val="22"/>
        </w:rPr>
        <w:t xml:space="preserve">Government data (FDA, openFDA):</w:t>
      </w:r>
      <w:r>
        <w:rPr>
          <w:rFonts w:ascii="Arial" w:cs="Arial" w:eastAsia="Arial" w:hAnsi="Arial"/>
          <w:sz w:val="22"/>
          <w:szCs w:val="22"/>
        </w:rPr>
        <w:t xml:space="preserve"> CC0 public domain. Attribution appreciated but not legally required.</w:t>
      </w:r>
    </w:p>
    <w:p>
      <w:pPr>
        <w:pStyle w:val="Heading2"/>
        <w:spacing w:after="160" w:before="360"/>
      </w:pPr>
      <w:r>
        <w:rPr>
          <w:rFonts w:ascii="Arial" w:cs="Arial" w:eastAsia="Arial" w:hAnsi="Arial"/>
          <w:b/>
          <w:bCs/>
          <w:color w:val="2E75B6"/>
          <w:sz w:val="28"/>
          <w:szCs w:val="28"/>
        </w:rPr>
        <w:t xml:space="preserve">12.2 Adverse event display requirements</w:t>
      </w:r>
    </w:p>
    <w:p>
      <w:pPr>
        <w:spacing w:after="160"/>
      </w:pPr>
      <w:r>
        <w:rPr>
          <w:rFonts w:ascii="Arial" w:cs="Arial" w:eastAsia="Arial" w:hAnsi="Arial"/>
          <w:sz w:val="22"/>
          <w:szCs w:val="22"/>
        </w:rPr>
        <w:t xml:space="preserve">Every display of HFCS adverse event data must include FDA's standard disclaimer language: reports are not confirmed as caused by the product; they reflect a fraction of actual events; common products have higher counts due to market share, not necessarily higher risk. This is non-negotiable — it is both legally prudent and accurate.</w:t>
      </w:r>
    </w:p>
    <w:p>
      <w:pPr>
        <w:pStyle w:val="Heading2"/>
        <w:spacing w:after="160" w:before="360"/>
      </w:pPr>
      <w:r>
        <w:rPr>
          <w:rFonts w:ascii="Arial" w:cs="Arial" w:eastAsia="Arial" w:hAnsi="Arial"/>
          <w:b/>
          <w:bCs/>
          <w:color w:val="2E75B6"/>
          <w:sz w:val="28"/>
          <w:szCs w:val="28"/>
        </w:rPr>
        <w:t xml:space="preserve">12.3 'Factual, never editorial' as a legal principle</w:t>
      </w:r>
    </w:p>
    <w:p>
      <w:pPr>
        <w:spacing w:after="160"/>
      </w:pPr>
      <w:r>
        <w:rPr>
          <w:rFonts w:ascii="Arial" w:cs="Arial" w:eastAsia="Arial" w:hAnsi="Arial"/>
          <w:sz w:val="22"/>
          <w:szCs w:val="22"/>
        </w:rPr>
        <w:t xml:space="preserve">Provenix's 'factual, never editorial' design principle is also defamation protection. Scores and profiles draw on primary FDA records, certified databases, and verified source documents — not on editorial judgments about brands. Departure from this principle (e.g., characterizing a brand as 'dangerous' based on indirect signals) creates liability exposure that the factual approach avoids.</w:t>
      </w:r>
    </w:p>
    <w:p>
      <w:pPr>
        <w:pStyle w:val="Heading2"/>
        <w:spacing w:after="160" w:before="360"/>
      </w:pPr>
      <w:r>
        <w:rPr>
          <w:rFonts w:ascii="Arial" w:cs="Arial" w:eastAsia="Arial" w:hAnsi="Arial"/>
          <w:b/>
          <w:bCs/>
          <w:color w:val="2E75B6"/>
          <w:sz w:val="28"/>
          <w:szCs w:val="28"/>
        </w:rPr>
        <w:t xml:space="preserve">12.4 NDI flag disclaimer</w:t>
      </w:r>
    </w:p>
    <w:p>
      <w:pPr>
        <w:spacing w:after="160"/>
      </w:pPr>
      <w:r>
        <w:rPr>
          <w:rFonts w:ascii="Arial" w:cs="Arial" w:eastAsia="Arial" w:hAnsi="Arial"/>
          <w:sz w:val="22"/>
          <w:szCs w:val="22"/>
        </w:rPr>
        <w:t xml:space="preserve">Where the NDI compliance flag is surfaced, it must be accompanied by language explaining that absence of an NDI notification is not a confirmed regulatory violation — some ingredients may be exempt, grandfathered, or subject to ongoing regulatory interpretation. The flag indicates a compliance signal, not a finding.</w:t>
      </w:r>
    </w:p>
    <w:p>
      <w:pPr>
        <w:pStyle w:val="Heading2"/>
        <w:spacing w:after="160" w:before="360"/>
      </w:pPr>
      <w:r>
        <w:rPr>
          <w:rFonts w:ascii="Arial" w:cs="Arial" w:eastAsia="Arial" w:hAnsi="Arial"/>
          <w:b/>
          <w:bCs/>
          <w:color w:val="2E75B6"/>
          <w:sz w:val="28"/>
          <w:szCs w:val="28"/>
        </w:rPr>
        <w:t xml:space="preserve">12.5 T&amp;C baseline requirements</w:t>
      </w:r>
    </w:p>
    <w:p>
      <w:pPr>
        <w:pStyle w:val="ListParagraph"/>
        <w:numPr>
          <w:ilvl w:val="0"/>
          <w:numId w:val="2"/>
        </w:numPr>
        <w:spacing w:after="100"/>
      </w:pPr>
      <w:r>
        <w:rPr>
          <w:rFonts w:ascii="Arial" w:cs="Arial" w:eastAsia="Arial" w:hAnsi="Arial"/>
          <w:sz w:val="22"/>
          <w:szCs w:val="22"/>
        </w:rPr>
        <w:t xml:space="preserve">Information currency disclaimer: all data current as of displayed verification date.</w:t>
      </w:r>
    </w:p>
    <w:p>
      <w:pPr>
        <w:pStyle w:val="ListParagraph"/>
        <w:numPr>
          <w:ilvl w:val="0"/>
          <w:numId w:val="2"/>
        </w:numPr>
        <w:spacing w:after="100"/>
      </w:pPr>
      <w:r>
        <w:rPr>
          <w:rFonts w:ascii="Arial" w:cs="Arial" w:eastAsia="Arial" w:hAnsi="Arial"/>
          <w:sz w:val="22"/>
          <w:szCs w:val="22"/>
        </w:rPr>
        <w:t xml:space="preserve">Not a substitute for medical advice.</w:t>
      </w:r>
    </w:p>
    <w:p>
      <w:pPr>
        <w:pStyle w:val="ListParagraph"/>
        <w:numPr>
          <w:ilvl w:val="0"/>
          <w:numId w:val="2"/>
        </w:numPr>
        <w:spacing w:after="100"/>
      </w:pPr>
      <w:r>
        <w:rPr>
          <w:rFonts w:ascii="Arial" w:cs="Arial" w:eastAsia="Arial" w:hAnsi="Arial"/>
          <w:sz w:val="22"/>
          <w:szCs w:val="22"/>
        </w:rPr>
        <w:t xml:space="preserve">Not a product safety guarantee.</w:t>
      </w:r>
    </w:p>
    <w:p>
      <w:pPr>
        <w:pStyle w:val="ListParagraph"/>
        <w:numPr>
          <w:ilvl w:val="0"/>
          <w:numId w:val="2"/>
        </w:numPr>
        <w:spacing w:after="100"/>
      </w:pPr>
      <w:r>
        <w:rPr>
          <w:rFonts w:ascii="Arial" w:cs="Arial" w:eastAsia="Arial" w:hAnsi="Arial"/>
          <w:sz w:val="22"/>
          <w:szCs w:val="22"/>
        </w:rPr>
        <w:t xml:space="preserve">Correction log policy: errors corrected with visible history.</w:t>
      </w:r>
    </w:p>
    <w:p>
      <w:pPr>
        <w:pStyle w:val="ListParagraph"/>
        <w:numPr>
          <w:ilvl w:val="0"/>
          <w:numId w:val="2"/>
        </w:numPr>
        <w:spacing w:after="100"/>
      </w:pPr>
      <w:r>
        <w:rPr>
          <w:rFonts w:ascii="Arial" w:cs="Arial" w:eastAsia="Arial" w:hAnsi="Arial"/>
          <w:sz w:val="22"/>
          <w:szCs w:val="22"/>
        </w:rPr>
        <w:t xml:space="preserve">Manufacturer attribution versioning: historical attributions retained and labeled.</w:t>
      </w:r>
    </w:p>
    <w:p>
      <w:pPr>
        <w:pBdr>
          <w:bottom w:val="single" w:color="2E75B6" w:sz="4" w:space="1"/>
        </w:pBdr>
        <w:spacing w:after="240" w:before="240"/>
      </w:pPr>
    </w:p>
    <w:p>
      <w:pPr>
        <w:pStyle w:val="Heading1"/>
        <w:spacing w:after="200" w:before="480"/>
      </w:pPr>
      <w:r>
        <w:rPr>
          <w:rFonts w:ascii="Arial" w:cs="Arial" w:eastAsia="Arial" w:hAnsi="Arial"/>
          <w:b/>
          <w:bCs/>
          <w:color w:val="1F4E79"/>
          <w:sz w:val="36"/>
          <w:szCs w:val="36"/>
        </w:rPr>
        <w:t xml:space="preserve">13. Open Questions &amp; Decisions Pending</w:t>
      </w:r>
    </w:p>
    <w:p>
      <w:pPr>
        <w:pStyle w:val="Heading2"/>
        <w:spacing w:after="160" w:before="360"/>
      </w:pPr>
      <w:r>
        <w:rPr>
          <w:rFonts w:ascii="Arial" w:cs="Arial" w:eastAsia="Arial" w:hAnsi="Arial"/>
          <w:b/>
          <w:bCs/>
          <w:color w:val="2E75B6"/>
          <w:sz w:val="28"/>
          <w:szCs w:val="28"/>
        </w:rPr>
        <w:t xml:space="preserve">13.1 Co-founder alignment items (consolidated Aaron notes)</w:t>
      </w:r>
    </w:p>
    <w:p>
      <w:pPr>
        <w:spacing w:after="160"/>
      </w:pPr>
      <w:r>
        <w:rPr>
          <w:rFonts w:ascii="Arial" w:cs="Arial" w:eastAsia="Arial" w:hAnsi="Arial"/>
          <w:sz w:val="22"/>
          <w:szCs w:val="22"/>
        </w:rPr>
        <w:t xml:space="preserve">The following decisions are proposed by Jason and require Aaron's explicit agreement before they are locked. These are the highest-priority pre-launch alignment items: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DECISION 1 — B2B Phase 1 pilot: Jason proposes running a B2B pilot (2–3 functional medicine practices) concurrently with the consumer app launch, not as a Phase 3 initiative. This requires Aaron to take the lead on those first clinical relationships. Needs your alignment and your input on which practices to approach first.</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DECISION 2 — Consumer app free at launch: Jason proposes launching with no consumer paywall on any core feature. A paid tier is introduced only after beta behavior data informs what drives genuine willingness to pay. Needs your agreement before investor pitch includes a revenue model.</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DECISION 3 — Consumer pricing model (TBD): The free/paid split for consumers needs a deliberate decision before Series A. Suggested agenda: (1) Is consumer subscription a real revenue driver in the 3-year model, or primarily a retention tool? (2) Does 'permanently free consumer app, funded by B2B' align with your vision? (3) If a paid tier, which features go behind it? Recommend grounding this discussion in actual beta user data before committing.</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DECISION 4 — Clinical/B2B positioning framing: Two options discussed. Option A: 'Empowering consumers to make better supplement choices' (consumer-first, clinical credibility as supporting proof point). Option B: 'Trusted by clinicians, built for patients' (clinical relationship as the primary commercial engine, consumer app as distribution). These lead to different investor pitches, different early hires, and different allocations of your time. Your voice on this is important — it determines how central your role is in year one.</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DECISION 5 — Data licensing posture: Jason is willing to pay for Redica/FDAzilla (comprehensive 483 coverage) when the curated SKU list exceeds ~500 products, but wants to stay free by default until then. Does this align with your budget expectations for the business?</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thick" w:color="F9A825" w:sz="16"/>
              <w:bottom w:val="single" w:color="F9A825" w:sz="3"/>
              <w:right w:val="single" w:color="F9A825" w:sz="1"/>
            </w:tcBorders>
            <w:shd w:fill="FFF9C4" w:val="clear"/>
            <w:tcMar>
              <w:top w:type="dxa" w:w="120"/>
              <w:left w:type="dxa" w:w="200"/>
              <w:bottom w:type="dxa" w:w="120"/>
              <w:right w:type="dxa" w:w="160"/>
            </w:tcMar>
          </w:tcPr>
          <w:p>
            <w:pPr>
              <w:spacing w:after="0"/>
            </w:pPr>
            <w:r>
              <w:rPr>
                <w:rFonts w:ascii="Arial" w:cs="Arial" w:eastAsia="Arial" w:hAnsi="Arial"/>
                <w:b/>
                <w:bCs/>
                <w:color w:val="8B4513"/>
                <w:sz w:val="20"/>
                <w:szCs w:val="20"/>
              </w:rPr>
              <w:t xml:space="preserve">[FOR AARON] </w:t>
            </w:r>
            <w:r>
              <w:rPr>
                <w:rFonts w:ascii="Arial" w:cs="Arial" w:eastAsia="Arial" w:hAnsi="Arial"/>
                <w:i/>
                <w:iCs/>
                <w:sz w:val="20"/>
                <w:szCs w:val="20"/>
              </w:rPr>
              <w:t xml:space="preserve">DECISION 6 — Physician review workflow (Phase 3): The peer-reviewed research layer (ingredient-level citations) requires physician sign-off before any health-adjacent content goes live. This creates an ongoing editorial obligation on your time. Before Phase 3 scoping, the two of you should agree on what that workflow looks like and whether it's you, a contracted reviewer, or an advisory panel that serves this function.</w:t>
            </w:r>
          </w:p>
        </w:tc>
      </w:tr>
    </w:tbl>
    <w:p>
      <w:pPr>
        <w:pStyle w:val="Heading2"/>
        <w:spacing w:after="160" w:before="360"/>
      </w:pPr>
      <w:r>
        <w:rPr>
          <w:rFonts w:ascii="Arial" w:cs="Arial" w:eastAsia="Arial" w:hAnsi="Arial"/>
          <w:b/>
          <w:bCs/>
          <w:color w:val="2E75B6"/>
          <w:sz w:val="28"/>
          <w:szCs w:val="28"/>
        </w:rPr>
        <w:t xml:space="preserve">13.2 Technical open questions</w:t>
      </w:r>
    </w:p>
    <w:p>
      <w:pPr>
        <w:pStyle w:val="ListParagraph"/>
        <w:numPr>
          <w:ilvl w:val="0"/>
          <w:numId w:val="2"/>
        </w:numPr>
        <w:spacing w:after="100"/>
      </w:pPr>
      <w:r>
        <w:rPr>
          <w:rFonts w:ascii="Arial" w:cs="Arial" w:eastAsia="Arial" w:hAnsi="Arial"/>
          <w:sz w:val="22"/>
          <w:szCs w:val="22"/>
        </w:rPr>
        <w:t xml:space="preserve">What is the minimum viable Trust Score — which sub-scores must be present for a product to receive a score at all, vs. display 'insufficient data'?</w:t>
      </w:r>
    </w:p>
    <w:p>
      <w:pPr>
        <w:pStyle w:val="ListParagraph"/>
        <w:numPr>
          <w:ilvl w:val="0"/>
          <w:numId w:val="2"/>
        </w:numPr>
        <w:spacing w:after="100"/>
      </w:pPr>
      <w:r>
        <w:rPr>
          <w:rFonts w:ascii="Arial" w:cs="Arial" w:eastAsia="Arial" w:hAnsi="Arial"/>
          <w:sz w:val="22"/>
          <w:szCs w:val="22"/>
        </w:rPr>
        <w:t xml:space="preserve">What does the 'unresolved manufacturer' UX state look like exactly — and does it carry any score at all?</w:t>
      </w:r>
    </w:p>
    <w:p>
      <w:pPr>
        <w:pStyle w:val="ListParagraph"/>
        <w:numPr>
          <w:ilvl w:val="0"/>
          <w:numId w:val="2"/>
        </w:numPr>
        <w:spacing w:after="100"/>
      </w:pPr>
      <w:r>
        <w:rPr>
          <w:rFonts w:ascii="Arial" w:cs="Arial" w:eastAsia="Arial" w:hAnsi="Arial"/>
          <w:sz w:val="22"/>
          <w:szCs w:val="22"/>
        </w:rPr>
        <w:t xml:space="preserve">What is the curated list selection methodology for the initial 50–100 SKUs? (Recommendation: high consumer search volume + data availability + category diversity across vitamins, minerals, botanicals, sports nutrition)</w:t>
      </w:r>
    </w:p>
    <w:p>
      <w:pPr>
        <w:pStyle w:val="ListParagraph"/>
        <w:numPr>
          <w:ilvl w:val="0"/>
          <w:numId w:val="2"/>
        </w:numPr>
        <w:spacing w:after="100"/>
      </w:pPr>
      <w:r>
        <w:rPr>
          <w:rFonts w:ascii="Arial" w:cs="Arial" w:eastAsia="Arial" w:hAnsi="Arial"/>
          <w:sz w:val="22"/>
          <w:szCs w:val="22"/>
        </w:rPr>
        <w:t xml:space="preserve">What does the B2B pilot deliverable look like precisely — dashboard, PDF report, API, or something else?</w:t>
      </w:r>
    </w:p>
    <w:p>
      <w:pPr>
        <w:pStyle w:val="ListParagraph"/>
        <w:numPr>
          <w:ilvl w:val="0"/>
          <w:numId w:val="2"/>
        </w:numPr>
        <w:spacing w:after="100"/>
      </w:pPr>
      <w:r>
        <w:rPr>
          <w:rFonts w:ascii="Arial" w:cs="Arial" w:eastAsia="Arial" w:hAnsi="Arial"/>
          <w:sz w:val="22"/>
          <w:szCs w:val="22"/>
        </w:rPr>
        <w:t xml:space="preserve">Should the correction log show only the current correction or the full history of all corrections for a product?</w:t>
      </w:r>
    </w:p>
    <w:p>
      <w:pPr>
        <w:pStyle w:val="Heading2"/>
        <w:spacing w:after="160" w:before="360"/>
      </w:pPr>
      <w:r>
        <w:rPr>
          <w:rFonts w:ascii="Arial" w:cs="Arial" w:eastAsia="Arial" w:hAnsi="Arial"/>
          <w:b/>
          <w:bCs/>
          <w:color w:val="2E75B6"/>
          <w:sz w:val="28"/>
          <w:szCs w:val="28"/>
        </w:rPr>
        <w:t xml:space="preserve">13.3 Regulatory questions for legal review</w:t>
      </w:r>
    </w:p>
    <w:p>
      <w:pPr>
        <w:pStyle w:val="ListParagraph"/>
        <w:numPr>
          <w:ilvl w:val="0"/>
          <w:numId w:val="2"/>
        </w:numPr>
        <w:spacing w:after="100"/>
      </w:pPr>
      <w:r>
        <w:rPr>
          <w:rFonts w:ascii="Arial" w:cs="Arial" w:eastAsia="Arial" w:hAnsi="Arial"/>
          <w:sz w:val="22"/>
          <w:szCs w:val="22"/>
        </w:rPr>
        <w:t xml:space="preserve">What obligations, if any, does systematic collection of supplement-related adverse event information impose on Provenix, even if the intake channel is an FDA link rather than Provenix's own form?</w:t>
      </w:r>
    </w:p>
    <w:p>
      <w:pPr>
        <w:pStyle w:val="ListParagraph"/>
        <w:numPr>
          <w:ilvl w:val="0"/>
          <w:numId w:val="2"/>
        </w:numPr>
        <w:spacing w:after="100"/>
      </w:pPr>
      <w:r>
        <w:rPr>
          <w:rFonts w:ascii="Arial" w:cs="Arial" w:eastAsia="Arial" w:hAnsi="Arial"/>
          <w:sz w:val="22"/>
          <w:szCs w:val="22"/>
        </w:rPr>
        <w:t xml:space="preserve">What disclaimers are required when displaying HFCS data and the FDA reporting link together?</w:t>
      </w:r>
    </w:p>
    <w:p>
      <w:pPr>
        <w:pStyle w:val="ListParagraph"/>
        <w:numPr>
          <w:ilvl w:val="0"/>
          <w:numId w:val="2"/>
        </w:numPr>
        <w:spacing w:after="100"/>
      </w:pPr>
      <w:r>
        <w:rPr>
          <w:rFonts w:ascii="Arial" w:cs="Arial" w:eastAsia="Arial" w:hAnsi="Arial"/>
          <w:sz w:val="22"/>
          <w:szCs w:val="22"/>
        </w:rPr>
        <w:t xml:space="preserve">Does the NDI compliance flag language require attorney review before launch?</w:t>
      </w:r>
    </w:p>
    <w:p>
      <w:pPr>
        <w:pStyle w:val="ListParagraph"/>
        <w:numPr>
          <w:ilvl w:val="0"/>
          <w:numId w:val="2"/>
        </w:numPr>
        <w:spacing w:after="100"/>
      </w:pPr>
      <w:r>
        <w:rPr>
          <w:rFonts w:ascii="Arial" w:cs="Arial" w:eastAsia="Arial" w:hAnsi="Arial"/>
          <w:sz w:val="22"/>
          <w:szCs w:val="22"/>
        </w:rPr>
        <w:t xml:space="preserve">What does the 'factual, never editorial' standard require in the T&amp;Cs with respect to the Trust Score itself — i.e., how is the score characterized legally?</w:t>
      </w:r>
    </w:p>
    <w:p>
      <w:pPr>
        <w:spacing w:after="24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2026-06-24T23:16:40.788Z</dcterms:created>
  <dcterms:modified xsi:type="dcterms:W3CDTF">2026-06-24T23:16:40.788Z</dcterms:modified>
</cp:coreProperties>
</file>

<file path=docProps/custom.xml><?xml version="1.0" encoding="utf-8"?>
<Properties xmlns="http://schemas.openxmlformats.org/officeDocument/2006/custom-properties" xmlns:vt="http://schemas.openxmlformats.org/officeDocument/2006/docPropsVTypes"/>
</file>