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Times New Roman" w:cs="Times New Roman" w:eastAsia="Times New Roman" w:hAnsi="Times New Roman"/>
          <w:color w:val="000000"/>
          <w:sz w:val="20"/>
          <w:szCs w:val="20"/>
        </w:rPr>
        <w:t xml:space="preserve"/>
      </w:r>
    </w:p>
    <w:p>
      <w:pPr>
        <w:spacing w:after="80" w:before="0"/>
        <w:jc w:val="center"/>
      </w:pPr>
      <w:r>
        <w:rPr>
          <w:rFonts w:ascii="Times New Roman" w:cs="Times New Roman" w:eastAsia="Times New Roman" w:hAnsi="Times New Roman"/>
          <w:b/>
          <w:bCs/>
          <w:color w:val="000000"/>
          <w:sz w:val="28"/>
          <w:szCs w:val="28"/>
        </w:rPr>
        <w:t xml:space="preserve">NSL-KDD Network Intrusion Detection using Machine Learning Algorithms: A Case Study</w:t>
      </w:r>
    </w:p>
    <w:p>
      <w:pPr>
        <w:spacing w:after="60" w:before="0"/>
        <w:jc w:val="center"/>
      </w:pPr>
      <w:r>
        <w:rPr>
          <w:rFonts w:ascii="Times New Roman" w:cs="Times New Roman" w:eastAsia="Times New Roman" w:hAnsi="Times New Roman"/>
          <w:color w:val="444444"/>
          <w:sz w:val="18"/>
          <w:szCs w:val="18"/>
        </w:rPr>
        <w:t xml:space="preserve">Data Mining Project  |  CAP 4770 / 6771  |  NSL-KDD Dataset  |  MySQL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none" w:color="FFFFFF" w:sz="0"/>
              <w:bottom w:val="single" w:color="888888" w:sz="1"/>
              <w:right w:val="none" w:color="FFFFFF" w:sz="0"/>
            </w:tcBorders>
            <w:tcMar>
              <w:top w:type="dxa" w:w="80"/>
              <w:left w:type="dxa" w:w="0"/>
              <w:bottom w:type="dxa" w:w="80"/>
              <w:right w:type="dxa" w:w="0"/>
            </w:tcMar>
          </w:tcPr>
          <w:p>
            <w:pPr>
              <w:spacing w:after="60" w:before="0"/>
              <w:jc w:val="center"/>
            </w:pPr>
            <w:r>
              <w:rPr>
                <w:rFonts w:ascii="Times New Roman" w:cs="Times New Roman" w:eastAsia="Times New Roman" w:hAnsi="Times New Roman"/>
                <w:b/>
                <w:bCs/>
                <w:color w:val="000000"/>
                <w:sz w:val="20"/>
                <w:szCs w:val="20"/>
              </w:rPr>
              <w:t xml:space="preserve">Abstract</w:t>
            </w:r>
          </w:p>
          <w:p>
            <w:pPr>
              <w:spacing w:after="0" w:before="0" w:line="260" w:lineRule="auto"/>
              <w:jc w:val="both"/>
            </w:pPr>
            <w:r>
              <w:rPr>
                <w:rFonts w:ascii="Times New Roman" w:cs="Times New Roman" w:eastAsia="Times New Roman" w:hAnsi="Times New Roman"/>
                <w:color w:val="000000"/>
                <w:sz w:val="18"/>
                <w:szCs w:val="18"/>
              </w:rPr>
              <w:t xml:space="preserve">Developing an accurate intrusion detection model is critical for protecting networked digital infrastructure against attacks. In this paper, a diverse set of machine learning classification algorithms — Logistic Regression, Naive Bayes, K-Nearest Neighbours (KNN), Decision Tree, Random Forest, and Support Vector Machine (SVM) — are employed to classify network connections as normal or anomalous using the NSL-KDD dataset. Data is retrieved directly from a MySQL database (nsl_kdd) into Jupyter using mysql-connector-python, following the same connection pattern established for the CAP 4770/6771 course. A 13-feature common schema is applied, with five zero-variance features removed, log transformation applied to reduce skewness, and random oversampling (sklearn.utils.resample) used to address the 9.4:1 class imbalance. Preprocessing follows the pipeline established in NSL_KDD_PreProcess.ipynb and Cleaning.ipynb. The empirical results demonstrate that the Random Forest classifier with oversampling achieves the best overall performance: 99.39% accuracy, F1-Score of 0.9765, and AUC-ROC of 0.9980 on the held-out test set of 2,803 records, with only 17 total misclassifications.</w:t>
            </w:r>
          </w:p>
        </w:tc>
      </w:tr>
    </w:tbl>
    <w:p>
      <w:pPr>
        <w:spacing w:after="60" w:before="0"/>
      </w:pPr>
      <w:r>
        <w:rPr>
          <w:rFonts w:ascii="Times New Roman" w:cs="Times New Roman" w:eastAsia="Times New Roman" w:hAnsi="Times New Roman"/>
          <w:color w:val="000000"/>
          <w:sz w:val="20"/>
          <w:szCs w:val="20"/>
        </w:rPr>
        <w:t xml:space="preserve"/>
      </w:r>
    </w:p>
    <w:p>
      <w:pPr>
        <w:spacing w:after="80" w:before="0" w:line="276" w:lineRule="auto"/>
        <w:jc w:val="both"/>
      </w:pPr>
      <w:r>
        <w:rPr>
          <w:rFonts w:ascii="Times New Roman" w:cs="Times New Roman" w:eastAsia="Times New Roman" w:hAnsi="Times New Roman"/>
          <w:b/>
          <w:bCs/>
          <w:color w:val="000000"/>
          <w:sz w:val="20"/>
          <w:szCs w:val="20"/>
        </w:rPr>
        <w:t xml:space="preserve">Keywords: </w:t>
      </w:r>
      <w:r>
        <w:rPr>
          <w:rFonts w:ascii="Times New Roman" w:cs="Times New Roman" w:eastAsia="Times New Roman" w:hAnsi="Times New Roman"/>
          <w:color w:val="000000"/>
          <w:sz w:val="20"/>
          <w:szCs w:val="20"/>
        </w:rPr>
        <w:t xml:space="preserve">Network Intrusion Detection, NSL-KDD, MySQL, Binary Classification, Random Forest, Oversampling, CAP 4770.</w:t>
      </w:r>
    </w:p>
    <w:p>
      <w:pPr>
        <w:spacing w:after="60" w:before="120"/>
      </w:pPr>
      <w:r>
        <w:rPr>
          <w:rFonts w:ascii="Times New Roman" w:cs="Times New Roman" w:eastAsia="Times New Roman" w:hAnsi="Times New Roman"/>
          <w:b/>
          <w:bCs/>
          <w:color w:val="000000"/>
          <w:sz w:val="20"/>
          <w:szCs w:val="20"/>
        </w:rPr>
        <w:t xml:space="preserve">1)  Introduction</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The rapid expansion of networked digital systems has made network security one of the most critical areas of applied computer science. Intrusion detection systems (IDS) form a vital defensive layer by identifying malicious or anomalous network activity before damage occurs. Traditional rule-based IDS approaches are brittle against novel attack patterns and require continuous manual maintenance (Tavallaee et al., 2009). Machine learning offers a compelling alternative: classifiers that learn discriminative patterns directly from labelled traffic data, capable of generalising to unseen attack variants without manual rule updates.</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In this study, the binary NSL-KDD intrusion detection problem — normal traffic versus attack traffic — is analysed using six machine learning algorithms within a reproducible Jupyter notebook pipeline. Data is imported directly from a MySQL server database (nsl_kdd) using the mysql-connector-python library and the same connection pattern used throughout the CAP 4770/6771 course (host='localhost', use_pure=True). The preprocessing pipeline — implemented across NSL_KDD_PreProcess.ipynb and Cleaning.ipynb — maps raw NSL-KDD columns to a 13-feature common schema, removes zero-variance features, applies log transformation, encodes categorical variables, standardises features, and uses random oversampling to address class imbalance. Empirical results, cross-validation scores, confusion matrix analysis, and feature importance are all reported.</w:t>
      </w:r>
    </w:p>
    <w:p>
      <w:pPr>
        <w:spacing w:after="60" w:before="120"/>
      </w:pPr>
      <w:r>
        <w:rPr>
          <w:rFonts w:ascii="Times New Roman" w:cs="Times New Roman" w:eastAsia="Times New Roman" w:hAnsi="Times New Roman"/>
          <w:b/>
          <w:bCs/>
          <w:color w:val="000000"/>
          <w:sz w:val="20"/>
          <w:szCs w:val="20"/>
        </w:rPr>
        <w:t xml:space="preserve">2)  Literature Review</w:t>
      </w:r>
    </w:p>
    <w:p>
      <w:pPr>
        <w:spacing w:after="40" w:before="80"/>
      </w:pPr>
      <w:r>
        <w:rPr>
          <w:rFonts w:ascii="Times New Roman" w:cs="Times New Roman" w:eastAsia="Times New Roman" w:hAnsi="Times New Roman"/>
          <w:color w:val="000000"/>
          <w:sz w:val="20"/>
          <w:szCs w:val="20"/>
        </w:rPr>
        <w:t xml:space="preserve">2.1. Network intrusion detection and machine learning</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Tavallaee et al. (2009) introduced NSL-KDD as a corrected benchmark, removing redundant records from KDD Cup 1999 that caused classifiers to be biased toward high-frequency traffic. Revathi and Malathi (2013) compared Naive Bayes, SVM, Decision Tree, and KNN on NSL-KDD for binary classification, finding that Decision Tree-based methods consistently outperform linear classifiers. Breiman (2001) introduced Random Forest, demonstrating that ensemble averaging of bootstrapped decision trees achieves lower variance than any individual tree — a property particularly valuable for imbalanced IDS datasets.</w:t>
      </w:r>
    </w:p>
    <w:p>
      <w:pPr>
        <w:spacing w:after="40" w:before="80"/>
      </w:pPr>
      <w:r>
        <w:rPr>
          <w:rFonts w:ascii="Times New Roman" w:cs="Times New Roman" w:eastAsia="Times New Roman" w:hAnsi="Times New Roman"/>
          <w:color w:val="000000"/>
          <w:sz w:val="20"/>
          <w:szCs w:val="20"/>
        </w:rPr>
        <w:t xml:space="preserve">2.2. Class imbalance handling</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Class imbalance is a structural challenge in IDS datasets. In the NSL-KDD training split used here, normal traffic represents 90.4% of records versus 9.6% for anomalous traffic — a 9.4:1 ratio. Without correction, classifiers maximise accuracy by predicting majority-class labels, yielding poor recall on the attack class that matters most. Chawla et al. (2002) proposed SMOTE as the standard solution, generating synthetic minority samples. This study uses the simpler sklearn.utils.resample approach (random oversampling with replacement), which duplicates existing minority records to equalise class counts without requiring external dependencies.</w:t>
      </w:r>
    </w:p>
    <w:p>
      <w:pPr>
        <w:spacing w:after="40" w:before="80"/>
      </w:pPr>
      <w:r>
        <w:rPr>
          <w:rFonts w:ascii="Times New Roman" w:cs="Times New Roman" w:eastAsia="Times New Roman" w:hAnsi="Times New Roman"/>
          <w:color w:val="000000"/>
          <w:sz w:val="20"/>
          <w:szCs w:val="20"/>
        </w:rPr>
        <w:t xml:space="preserve">2.3. Research gap and contribution</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Most prior NSL-KDD studies evaluate models on the full 41-feature raw schema. This study evaluates under a 13-feature common schema designed for cross-dataset compatibility with CICIDS2017, CIC-IoT2023, and UNSW-NB15 — enabling future transfer learning experiments. Five features that are zero-valued in NSL-KDD due to dataset format limitations are explicitly identified and removed. The MySQL-to-Jupyter data pipeline integrates the NSL-KDD analysis into the same data infrastructure used for the flight delay prediction work in this course, demonstrating the reusability of the connection pattern.</w:t>
      </w:r>
    </w:p>
    <w:p>
      <w:pPr>
        <w:spacing w:after="60" w:before="120"/>
      </w:pPr>
      <w:r>
        <w:rPr>
          <w:rFonts w:ascii="Times New Roman" w:cs="Times New Roman" w:eastAsia="Times New Roman" w:hAnsi="Times New Roman"/>
          <w:b/>
          <w:bCs/>
          <w:color w:val="000000"/>
          <w:sz w:val="20"/>
          <w:szCs w:val="20"/>
        </w:rPr>
        <w:t xml:space="preserve">3)  Case Study and Modelling Framework</w:t>
      </w:r>
    </w:p>
    <w:p>
      <w:pPr>
        <w:spacing w:after="40" w:before="80"/>
      </w:pPr>
      <w:r>
        <w:rPr>
          <w:rFonts w:ascii="Times New Roman" w:cs="Times New Roman" w:eastAsia="Times New Roman" w:hAnsi="Times New Roman"/>
          <w:color w:val="000000"/>
          <w:sz w:val="20"/>
          <w:szCs w:val="20"/>
        </w:rPr>
        <w:t xml:space="preserve">3.1. Problem description and research framework</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The aim of this case study is to classify network connections as Normal (0) or Anomaly/Attack (1), maximising attack detection recall while controlling false positives. The research framework consists of five blocks: (1) data collection from a MySQL database, (2) data preparation and zero-variance removal, (3) feature engineering with log transformation, label encoding, standardisation, and oversampling, (4) model training with 5-fold cross-validation, and (5) evaluation on a held-out test set.</w:t>
      </w:r>
    </w:p>
    <w:p>
      <w:pPr>
        <w:spacing w:after="40" w:before="80"/>
      </w:pPr>
      <w:r>
        <w:rPr>
          <w:rFonts w:ascii="Times New Roman" w:cs="Times New Roman" w:eastAsia="Times New Roman" w:hAnsi="Times New Roman"/>
          <w:color w:val="000000"/>
          <w:sz w:val="20"/>
          <w:szCs w:val="20"/>
        </w:rPr>
        <w:t xml:space="preserve">3.2. Data description and collection</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The NSL-KDD dataset was obtained from the Canadian Institute for Cybersecurity. Raw 42-column records are mapped to a 13-feature common schema by NSL_KDD_PreProcess.ipynb: service and TCP flag columns are concatenated into a composite service_state feature (e.g., 'http_sf'); packet counts unavailable in NSL-KDD are set to zero; byte rates and average packet size are computed from available fields. The Cleaning.ipynb notebook applies IQR-based outlier capping, normalises categorical strings to lowercase with underscores, fills NaN values, and validates the schema before saving the cleaned CSVs.</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The two cleaned tables (nsl_kdd_common_train_clean, nsl_kdd_common_test_clean) are loaded into the MySQL database nsl_kdd and retrieved in the analysis notebook using the following connection pattern, consistent with the course convention established in cap4770_6771_mysql.ipynb:</w:t>
      </w:r>
    </w:p>
    <w:p>
      <w:pPr>
        <w:spacing w:after="20" w:before="0"/>
      </w:pPr>
      <w:r>
        <w:rPr>
          <w:rFonts w:ascii="Times New Roman" w:cs="Times New Roman" w:eastAsia="Times New Roman" w:hAnsi="Times New Roman"/>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0"/>
        <w:gridCol w:w="720"/>
      </w:tblGrid>
      <w:tr>
        <w:tc>
          <w:tcPr>
            <w:tcW w:type="dxa" w:w="8640"/>
            <w:tcBorders>
              <w:top w:val="none" w:color="FFFFFF" w:sz="0"/>
              <w:left w:val="none" w:color="FFFFFF" w:sz="0"/>
              <w:bottom w:val="none" w:color="FFFFFF" w:sz="0"/>
              <w:right w:val="none" w:color="FFFFFF" w:sz="0"/>
            </w:tcBorders>
            <w:tcMar>
              <w:top w:type="dxa" w:w="40"/>
              <w:left w:type="dxa" w:w="720"/>
              <w:bottom w:type="dxa" w:w="40"/>
              <w:right w:type="dxa" w:w="120"/>
            </w:tcMar>
          </w:tcPr>
          <w:p>
            <w:pPr>
              <w:spacing w:after="20" w:before="20"/>
              <w:jc w:val="center"/>
            </w:pPr>
            <w:r>
              <w:rPr>
                <w:rFonts w:ascii="Times New Roman" w:cs="Times New Roman" w:eastAsia="Times New Roman" w:hAnsi="Times New Roman"/>
                <w:color w:val="000000"/>
                <w:sz w:val="20"/>
                <w:szCs w:val="20"/>
              </w:rPr>
              <w:t xml:space="preserve">conn = sql.connect(host='localhost', user='root', password='bob123', database='nsl_kdd', use_pure=True)</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right"/>
            </w:pPr>
            <w:r>
              <w:rPr>
                <w:rFonts w:ascii="Times New Roman" w:cs="Times New Roman" w:eastAsia="Times New Roman" w:hAnsi="Times New Roman"/>
                <w:color w:val="000000"/>
                <w:sz w:val="20"/>
                <w:szCs w:val="20"/>
              </w:rPr>
              <w:t xml:space="preserve">(0)</w:t>
            </w:r>
          </w:p>
        </w:tc>
      </w:tr>
    </w:tbl>
    <w:p>
      <w:pPr>
        <w:spacing w:after="20" w:before="0"/>
      </w:pPr>
      <w:r>
        <w:rPr>
          <w:rFonts w:ascii="Times New Roman" w:cs="Times New Roman" w:eastAsia="Times New Roman" w:hAnsi="Times New Roman"/>
          <w:color w:val="000000"/>
          <w:sz w:val="20"/>
          <w:szCs w:val="20"/>
        </w:rPr>
        <w:t xml:space="preserve"/>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After fetching both tables with pd.read_sql() and closing the connection, the training split contains 10,264 records (9,276 normal, 988 anomaly) and the test split contains 2,803 records (2,444 normal, 359 anomaly). No missing values were found in either split. Table 1 describes all features and preprocessing applied.</w:t>
      </w:r>
    </w:p>
    <w:p>
      <w:pPr>
        <w:spacing w:after="40" w:before="0"/>
      </w:pPr>
      <w:r>
        <w:rPr>
          <w:rFonts w:ascii="Times New Roman" w:cs="Times New Roman" w:eastAsia="Times New Roman" w:hAnsi="Times New Roman"/>
          <w:color w:val="000000"/>
          <w:sz w:val="20"/>
          <w:szCs w:val="20"/>
        </w:rPr>
        <w:t xml:space="preserve"/>
      </w:r>
    </w:p>
    <w:p>
      <w:pPr>
        <w:spacing w:after="40" w:before="0"/>
      </w:pPr>
      <w:r>
        <w:rPr>
          <w:rFonts w:ascii="Times New Roman" w:cs="Times New Roman" w:eastAsia="Times New Roman" w:hAnsi="Times New Roman"/>
          <w:b/>
          <w:bCs/>
          <w:color w:val="000000"/>
          <w:sz w:val="20"/>
          <w:szCs w:val="20"/>
        </w:rPr>
        <w:t xml:space="preserve">Table 1. </w:t>
      </w:r>
      <w:r>
        <w:rPr>
          <w:rFonts w:ascii="Times New Roman" w:cs="Times New Roman" w:eastAsia="Times New Roman" w:hAnsi="Times New Roman"/>
          <w:color w:val="000000"/>
          <w:sz w:val="20"/>
          <w:szCs w:val="20"/>
        </w:rPr>
        <w:t xml:space="preserve">Description of features in the common schema and preprocessing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1440"/>
        <w:gridCol w:w="2160"/>
      </w:tblGrid>
      <w:tr>
        <w:tc>
          <w:tcPr>
            <w:tcW w:type="dxa" w:w="200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Feature</w:t>
            </w:r>
          </w:p>
        </w:tc>
        <w:tc>
          <w:tcPr>
            <w:tcW w:type="dxa" w:w="376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Description</w:t>
            </w:r>
          </w:p>
        </w:tc>
        <w:tc>
          <w:tcPr>
            <w:tcW w:type="dxa" w:w="144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Type</w:t>
            </w:r>
          </w:p>
        </w:tc>
        <w:tc>
          <w:tcPr>
            <w:tcW w:type="dxa" w:w="216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Preprocessing</w:t>
            </w:r>
          </w:p>
        </w:tc>
      </w:tr>
      <w:tr>
        <w:tc>
          <w:tcPr>
            <w:tcW w:type="dxa" w:w="20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flow_duration</w:t>
            </w:r>
          </w:p>
        </w:tc>
        <w:tc>
          <w:tcPr>
            <w:tcW w:type="dxa" w:w="376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Connection duration in seconds (NSL-KDD: duration)</w:t>
            </w:r>
          </w:p>
        </w:tc>
        <w:tc>
          <w:tcPr>
            <w:tcW w:type="dxa" w:w="144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Continuous</w:t>
            </w:r>
          </w:p>
        </w:tc>
        <w:tc>
          <w:tcPr>
            <w:tcW w:type="dxa" w:w="216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log1p → scaled</w:t>
            </w:r>
          </w:p>
        </w:tc>
      </w:tr>
      <w:tr>
        <w:tc>
          <w:tcPr>
            <w:tcW w:type="dxa" w:w="20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protocol</w:t>
            </w:r>
          </w:p>
        </w:tc>
        <w:tc>
          <w:tcPr>
            <w:tcW w:type="dxa" w:w="376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Network protocol: tcp / udp / icmp</w:t>
            </w:r>
          </w:p>
        </w:tc>
        <w:tc>
          <w:tcPr>
            <w:tcW w:type="dxa" w:w="144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Categorical</w:t>
            </w:r>
          </w:p>
        </w:tc>
        <w:tc>
          <w:tcPr>
            <w:tcW w:type="dxa" w:w="216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Label encoded</w:t>
            </w:r>
          </w:p>
        </w:tc>
      </w:tr>
      <w:tr>
        <w:tc>
          <w:tcPr>
            <w:tcW w:type="dxa" w:w="20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service_state</w:t>
            </w:r>
          </w:p>
        </w:tc>
        <w:tc>
          <w:tcPr>
            <w:tcW w:type="dxa" w:w="376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Service + TCP flag concatenated (e.g., http_sf)</w:t>
            </w:r>
          </w:p>
        </w:tc>
        <w:tc>
          <w:tcPr>
            <w:tcW w:type="dxa" w:w="144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Categorical</w:t>
            </w:r>
          </w:p>
        </w:tc>
        <w:tc>
          <w:tcPr>
            <w:tcW w:type="dxa" w:w="216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Label encoded</w:t>
            </w:r>
          </w:p>
        </w:tc>
      </w:tr>
      <w:tr>
        <w:tc>
          <w:tcPr>
            <w:tcW w:type="dxa" w:w="20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fwd_bytes</w:t>
            </w:r>
          </w:p>
        </w:tc>
        <w:tc>
          <w:tcPr>
            <w:tcW w:type="dxa" w:w="376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Forward byte count (NSL-KDD: src_bytes)</w:t>
            </w:r>
          </w:p>
        </w:tc>
        <w:tc>
          <w:tcPr>
            <w:tcW w:type="dxa" w:w="144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Continuous</w:t>
            </w:r>
          </w:p>
        </w:tc>
        <w:tc>
          <w:tcPr>
            <w:tcW w:type="dxa" w:w="216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log1p → scaled</w:t>
            </w:r>
          </w:p>
        </w:tc>
      </w:tr>
      <w:tr>
        <w:tc>
          <w:tcPr>
            <w:tcW w:type="dxa" w:w="20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bwd_bytes</w:t>
            </w:r>
          </w:p>
        </w:tc>
        <w:tc>
          <w:tcPr>
            <w:tcW w:type="dxa" w:w="376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Backward byte count (NSL-KDD: dst_bytes)</w:t>
            </w:r>
          </w:p>
        </w:tc>
        <w:tc>
          <w:tcPr>
            <w:tcW w:type="dxa" w:w="144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Continuous</w:t>
            </w:r>
          </w:p>
        </w:tc>
        <w:tc>
          <w:tcPr>
            <w:tcW w:type="dxa" w:w="216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log1p → scaled</w:t>
            </w:r>
          </w:p>
        </w:tc>
      </w:tr>
      <w:tr>
        <w:tc>
          <w:tcPr>
            <w:tcW w:type="dxa" w:w="20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packet_rate</w:t>
            </w:r>
          </w:p>
        </w:tc>
        <w:tc>
          <w:tcPr>
            <w:tcW w:type="dxa" w:w="376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Proxy: connections/sec (count / duration)</w:t>
            </w:r>
          </w:p>
        </w:tc>
        <w:tc>
          <w:tcPr>
            <w:tcW w:type="dxa" w:w="144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Continuous</w:t>
            </w:r>
          </w:p>
        </w:tc>
        <w:tc>
          <w:tcPr>
            <w:tcW w:type="dxa" w:w="216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log1p → scaled</w:t>
            </w:r>
          </w:p>
        </w:tc>
      </w:tr>
      <w:tr>
        <w:tc>
          <w:tcPr>
            <w:tcW w:type="dxa" w:w="20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byte_rate</w:t>
            </w:r>
          </w:p>
        </w:tc>
        <w:tc>
          <w:tcPr>
            <w:tcW w:type="dxa" w:w="376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Total bytes/sec ((src+dst) / duration)</w:t>
            </w:r>
          </w:p>
        </w:tc>
        <w:tc>
          <w:tcPr>
            <w:tcW w:type="dxa" w:w="144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Continuous</w:t>
            </w:r>
          </w:p>
        </w:tc>
        <w:tc>
          <w:tcPr>
            <w:tcW w:type="dxa" w:w="216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log1p → scaled</w:t>
            </w:r>
          </w:p>
        </w:tc>
      </w:tr>
      <w:tr>
        <w:tc>
          <w:tcPr>
            <w:tcW w:type="dxa" w:w="20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avg_packet_size</w:t>
            </w:r>
          </w:p>
        </w:tc>
        <w:tc>
          <w:tcPr>
            <w:tcW w:type="dxa" w:w="376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Bytes per connection ((src+dst) / count)</w:t>
            </w:r>
          </w:p>
        </w:tc>
        <w:tc>
          <w:tcPr>
            <w:tcW w:type="dxa" w:w="144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Continuous</w:t>
            </w:r>
          </w:p>
        </w:tc>
        <w:tc>
          <w:tcPr>
            <w:tcW w:type="dxa" w:w="216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log1p → scaled</w:t>
            </w:r>
          </w:p>
        </w:tc>
      </w:tr>
      <w:tr>
        <w:tc>
          <w:tcPr>
            <w:tcW w:type="dxa" w:w="2000"/>
            <w:tcBorders>
              <w:top w:val="single" w:color="BBBBBB" w:sz="1"/>
              <w:left w:val="single" w:color="BBBBBB" w:sz="1"/>
              <w:bottom w:val="single" w:color="BBBBBB" w:sz="1"/>
              <w:right w:val="single" w:color="BBBBBB" w:sz="1"/>
            </w:tcBorders>
            <w:shd w:fill="FFF0F0"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fwd_packet_count*</w:t>
            </w:r>
          </w:p>
        </w:tc>
        <w:tc>
          <w:tcPr>
            <w:tcW w:type="dxa" w:w="3760"/>
            <w:tcBorders>
              <w:top w:val="single" w:color="BBBBBB" w:sz="1"/>
              <w:left w:val="single" w:color="BBBBBB" w:sz="1"/>
              <w:bottom w:val="single" w:color="BBBBBB" w:sz="1"/>
              <w:right w:val="single" w:color="BBBBBB" w:sz="1"/>
            </w:tcBorders>
            <w:shd w:fill="FFF0F0"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Forward packet count — constant 0 in NSL-KDD</w:t>
            </w:r>
          </w:p>
        </w:tc>
        <w:tc>
          <w:tcPr>
            <w:tcW w:type="dxa" w:w="1440"/>
            <w:tcBorders>
              <w:top w:val="single" w:color="BBBBBB" w:sz="1"/>
              <w:left w:val="single" w:color="BBBBBB" w:sz="1"/>
              <w:bottom w:val="single" w:color="BBBBBB" w:sz="1"/>
              <w:right w:val="single" w:color="BBBBBB" w:sz="1"/>
            </w:tcBorders>
            <w:shd w:fill="FFF0F0"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Constant</w:t>
            </w:r>
          </w:p>
        </w:tc>
        <w:tc>
          <w:tcPr>
            <w:tcW w:type="dxa" w:w="2160"/>
            <w:tcBorders>
              <w:top w:val="single" w:color="BBBBBB" w:sz="1"/>
              <w:left w:val="single" w:color="BBBBBB" w:sz="1"/>
              <w:bottom w:val="single" w:color="BBBBBB" w:sz="1"/>
              <w:right w:val="single" w:color="BBBBBB" w:sz="1"/>
            </w:tcBorders>
            <w:shd w:fill="FFF0F0"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DROPPED</w:t>
            </w:r>
          </w:p>
        </w:tc>
      </w:tr>
      <w:tr>
        <w:tc>
          <w:tcPr>
            <w:tcW w:type="dxa" w:w="2000"/>
            <w:tcBorders>
              <w:top w:val="single" w:color="BBBBBB" w:sz="1"/>
              <w:left w:val="single" w:color="BBBBBB" w:sz="1"/>
              <w:bottom w:val="single" w:color="BBBBBB" w:sz="1"/>
              <w:right w:val="single" w:color="BBBBBB" w:sz="1"/>
            </w:tcBorders>
            <w:shd w:fill="FFF0F0"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bwd_packet_count*</w:t>
            </w:r>
          </w:p>
        </w:tc>
        <w:tc>
          <w:tcPr>
            <w:tcW w:type="dxa" w:w="3760"/>
            <w:tcBorders>
              <w:top w:val="single" w:color="BBBBBB" w:sz="1"/>
              <w:left w:val="single" w:color="BBBBBB" w:sz="1"/>
              <w:bottom w:val="single" w:color="BBBBBB" w:sz="1"/>
              <w:right w:val="single" w:color="BBBBBB" w:sz="1"/>
            </w:tcBorders>
            <w:shd w:fill="FFF0F0"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Backward packet count — constant 0 in NSL-KDD</w:t>
            </w:r>
          </w:p>
        </w:tc>
        <w:tc>
          <w:tcPr>
            <w:tcW w:type="dxa" w:w="1440"/>
            <w:tcBorders>
              <w:top w:val="single" w:color="BBBBBB" w:sz="1"/>
              <w:left w:val="single" w:color="BBBBBB" w:sz="1"/>
              <w:bottom w:val="single" w:color="BBBBBB" w:sz="1"/>
              <w:right w:val="single" w:color="BBBBBB" w:sz="1"/>
            </w:tcBorders>
            <w:shd w:fill="FFF0F0"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Constant</w:t>
            </w:r>
          </w:p>
        </w:tc>
        <w:tc>
          <w:tcPr>
            <w:tcW w:type="dxa" w:w="2160"/>
            <w:tcBorders>
              <w:top w:val="single" w:color="BBBBBB" w:sz="1"/>
              <w:left w:val="single" w:color="BBBBBB" w:sz="1"/>
              <w:bottom w:val="single" w:color="BBBBBB" w:sz="1"/>
              <w:right w:val="single" w:color="BBBBBB" w:sz="1"/>
            </w:tcBorders>
            <w:shd w:fill="FFF0F0"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DROPPED</w:t>
            </w:r>
          </w:p>
        </w:tc>
      </w:tr>
      <w:tr>
        <w:tc>
          <w:tcPr>
            <w:tcW w:type="dxa" w:w="2000"/>
            <w:tcBorders>
              <w:top w:val="single" w:color="BBBBBB" w:sz="1"/>
              <w:left w:val="single" w:color="BBBBBB" w:sz="1"/>
              <w:bottom w:val="single" w:color="BBBBBB" w:sz="1"/>
              <w:right w:val="single" w:color="BBBBBB" w:sz="1"/>
            </w:tcBorders>
            <w:shd w:fill="FFF0F0"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syn_flag_count*</w:t>
            </w:r>
          </w:p>
        </w:tc>
        <w:tc>
          <w:tcPr>
            <w:tcW w:type="dxa" w:w="3760"/>
            <w:tcBorders>
              <w:top w:val="single" w:color="BBBBBB" w:sz="1"/>
              <w:left w:val="single" w:color="BBBBBB" w:sz="1"/>
              <w:bottom w:val="single" w:color="BBBBBB" w:sz="1"/>
              <w:right w:val="single" w:color="BBBBBB" w:sz="1"/>
            </w:tcBorders>
            <w:shd w:fill="FFF0F0"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SYN flag count — constant 0 in NSL-KDD</w:t>
            </w:r>
          </w:p>
        </w:tc>
        <w:tc>
          <w:tcPr>
            <w:tcW w:type="dxa" w:w="1440"/>
            <w:tcBorders>
              <w:top w:val="single" w:color="BBBBBB" w:sz="1"/>
              <w:left w:val="single" w:color="BBBBBB" w:sz="1"/>
              <w:bottom w:val="single" w:color="BBBBBB" w:sz="1"/>
              <w:right w:val="single" w:color="BBBBBB" w:sz="1"/>
            </w:tcBorders>
            <w:shd w:fill="FFF0F0"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Constant</w:t>
            </w:r>
          </w:p>
        </w:tc>
        <w:tc>
          <w:tcPr>
            <w:tcW w:type="dxa" w:w="2160"/>
            <w:tcBorders>
              <w:top w:val="single" w:color="BBBBBB" w:sz="1"/>
              <w:left w:val="single" w:color="BBBBBB" w:sz="1"/>
              <w:bottom w:val="single" w:color="BBBBBB" w:sz="1"/>
              <w:right w:val="single" w:color="BBBBBB" w:sz="1"/>
            </w:tcBorders>
            <w:shd w:fill="FFF0F0"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DROPPED</w:t>
            </w:r>
          </w:p>
        </w:tc>
      </w:tr>
      <w:tr>
        <w:tc>
          <w:tcPr>
            <w:tcW w:type="dxa" w:w="2000"/>
            <w:tcBorders>
              <w:top w:val="single" w:color="BBBBBB" w:sz="1"/>
              <w:left w:val="single" w:color="BBBBBB" w:sz="1"/>
              <w:bottom w:val="single" w:color="BBBBBB" w:sz="1"/>
              <w:right w:val="single" w:color="BBBBBB" w:sz="1"/>
            </w:tcBorders>
            <w:shd w:fill="FFF0F0"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rst_flag_count*</w:t>
            </w:r>
          </w:p>
        </w:tc>
        <w:tc>
          <w:tcPr>
            <w:tcW w:type="dxa" w:w="3760"/>
            <w:tcBorders>
              <w:top w:val="single" w:color="BBBBBB" w:sz="1"/>
              <w:left w:val="single" w:color="BBBBBB" w:sz="1"/>
              <w:bottom w:val="single" w:color="BBBBBB" w:sz="1"/>
              <w:right w:val="single" w:color="BBBBBB" w:sz="1"/>
            </w:tcBorders>
            <w:shd w:fill="FFF0F0"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RST flag count — constant 0 in NSL-KDD</w:t>
            </w:r>
          </w:p>
        </w:tc>
        <w:tc>
          <w:tcPr>
            <w:tcW w:type="dxa" w:w="1440"/>
            <w:tcBorders>
              <w:top w:val="single" w:color="BBBBBB" w:sz="1"/>
              <w:left w:val="single" w:color="BBBBBB" w:sz="1"/>
              <w:bottom w:val="single" w:color="BBBBBB" w:sz="1"/>
              <w:right w:val="single" w:color="BBBBBB" w:sz="1"/>
            </w:tcBorders>
            <w:shd w:fill="FFF0F0"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Constant</w:t>
            </w:r>
          </w:p>
        </w:tc>
        <w:tc>
          <w:tcPr>
            <w:tcW w:type="dxa" w:w="2160"/>
            <w:tcBorders>
              <w:top w:val="single" w:color="BBBBBB" w:sz="1"/>
              <w:left w:val="single" w:color="BBBBBB" w:sz="1"/>
              <w:bottom w:val="single" w:color="BBBBBB" w:sz="1"/>
              <w:right w:val="single" w:color="BBBBBB" w:sz="1"/>
            </w:tcBorders>
            <w:shd w:fill="FFF0F0"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DROPPED</w:t>
            </w:r>
          </w:p>
        </w:tc>
      </w:tr>
      <w:tr>
        <w:tc>
          <w:tcPr>
            <w:tcW w:type="dxa" w:w="2000"/>
            <w:tcBorders>
              <w:top w:val="single" w:color="BBBBBB" w:sz="1"/>
              <w:left w:val="single" w:color="BBBBBB" w:sz="1"/>
              <w:bottom w:val="single" w:color="BBBBBB" w:sz="1"/>
              <w:right w:val="single" w:color="BBBBBB" w:sz="1"/>
            </w:tcBorders>
            <w:shd w:fill="FFF0F0"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ack_flag_count*</w:t>
            </w:r>
          </w:p>
        </w:tc>
        <w:tc>
          <w:tcPr>
            <w:tcW w:type="dxa" w:w="3760"/>
            <w:tcBorders>
              <w:top w:val="single" w:color="BBBBBB" w:sz="1"/>
              <w:left w:val="single" w:color="BBBBBB" w:sz="1"/>
              <w:bottom w:val="single" w:color="BBBBBB" w:sz="1"/>
              <w:right w:val="single" w:color="BBBBBB" w:sz="1"/>
            </w:tcBorders>
            <w:shd w:fill="FFF0F0"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ACK flag count — constant 0 in NSL-KDD</w:t>
            </w:r>
          </w:p>
        </w:tc>
        <w:tc>
          <w:tcPr>
            <w:tcW w:type="dxa" w:w="1440"/>
            <w:tcBorders>
              <w:top w:val="single" w:color="BBBBBB" w:sz="1"/>
              <w:left w:val="single" w:color="BBBBBB" w:sz="1"/>
              <w:bottom w:val="single" w:color="BBBBBB" w:sz="1"/>
              <w:right w:val="single" w:color="BBBBBB" w:sz="1"/>
            </w:tcBorders>
            <w:shd w:fill="FFF0F0"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Constant</w:t>
            </w:r>
          </w:p>
        </w:tc>
        <w:tc>
          <w:tcPr>
            <w:tcW w:type="dxa" w:w="2160"/>
            <w:tcBorders>
              <w:top w:val="single" w:color="BBBBBB" w:sz="1"/>
              <w:left w:val="single" w:color="BBBBBB" w:sz="1"/>
              <w:bottom w:val="single" w:color="BBBBBB" w:sz="1"/>
              <w:right w:val="single" w:color="BBBBBB" w:sz="1"/>
            </w:tcBorders>
            <w:shd w:fill="FFF0F0"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DROPPED</w:t>
            </w:r>
          </w:p>
        </w:tc>
      </w:tr>
      <w:tr>
        <w:tc>
          <w:tcPr>
            <w:tcW w:type="dxa" w:w="2000"/>
            <w:tcBorders>
              <w:top w:val="single" w:color="BBBBBB" w:sz="1"/>
              <w:left w:val="single" w:color="BBBBBB" w:sz="1"/>
              <w:bottom w:val="single" w:color="BBBBBB" w:sz="1"/>
              <w:right w:val="single" w:color="BBBBBB" w:sz="1"/>
            </w:tcBorders>
            <w:shd w:fill="FFF3CD"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label_bin (target)</w:t>
            </w:r>
          </w:p>
        </w:tc>
        <w:tc>
          <w:tcPr>
            <w:tcW w:type="dxa" w:w="3760"/>
            <w:tcBorders>
              <w:top w:val="single" w:color="BBBBBB" w:sz="1"/>
              <w:left w:val="single" w:color="BBBBBB" w:sz="1"/>
              <w:bottom w:val="single" w:color="BBBBBB" w:sz="1"/>
              <w:right w:val="single" w:color="BBBBBB" w:sz="1"/>
            </w:tcBorders>
            <w:shd w:fill="FFF3CD"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Binary: 0 = Normal, 1 = Anomaly/Attack</w:t>
            </w:r>
          </w:p>
        </w:tc>
        <w:tc>
          <w:tcPr>
            <w:tcW w:type="dxa" w:w="1440"/>
            <w:tcBorders>
              <w:top w:val="single" w:color="BBBBBB" w:sz="1"/>
              <w:left w:val="single" w:color="BBBBBB" w:sz="1"/>
              <w:bottom w:val="single" w:color="BBBBBB" w:sz="1"/>
              <w:right w:val="single" w:color="BBBBBB" w:sz="1"/>
            </w:tcBorders>
            <w:shd w:fill="FFF3CD"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Binary</w:t>
            </w:r>
          </w:p>
        </w:tc>
        <w:tc>
          <w:tcPr>
            <w:tcW w:type="dxa" w:w="2160"/>
            <w:tcBorders>
              <w:top w:val="single" w:color="BBBBBB" w:sz="1"/>
              <w:left w:val="single" w:color="BBBBBB" w:sz="1"/>
              <w:bottom w:val="single" w:color="BBBBBB" w:sz="1"/>
              <w:right w:val="single" w:color="BBBBBB" w:sz="1"/>
            </w:tcBorders>
            <w:shd w:fill="FFF3CD"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Target variable</w:t>
            </w:r>
          </w:p>
        </w:tc>
      </w:tr>
    </w:tbl>
    <w:p>
      <w:pPr>
        <w:spacing w:after="60" w:before="0"/>
      </w:pPr>
      <w:r>
        <w:rPr>
          <w:rFonts w:ascii="Times New Roman" w:cs="Times New Roman" w:eastAsia="Times New Roman" w:hAnsi="Times New Roman"/>
          <w:color w:val="000000"/>
          <w:sz w:val="20"/>
          <w:szCs w:val="20"/>
        </w:rPr>
        <w:t xml:space="preserve"/>
      </w:r>
    </w:p>
    <w:p>
      <w:pPr>
        <w:spacing w:after="40" w:before="80"/>
      </w:pPr>
      <w:r>
        <w:rPr>
          <w:rFonts w:ascii="Times New Roman" w:cs="Times New Roman" w:eastAsia="Times New Roman" w:hAnsi="Times New Roman"/>
          <w:color w:val="000000"/>
          <w:sz w:val="20"/>
          <w:szCs w:val="20"/>
        </w:rPr>
        <w:t xml:space="preserve">3.3. Data preparation and cleaning</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The Cleaning.ipynb pipeline performs the following steps in order: (1) replace infinity and NaN values; (2) normalise categorical strings — strip whitespace, convert to lowercase, replace spaces with underscores; (3) coerce numeric columns; (4) drop fully duplicate rows; (5) fill remaining NaN with 0; (6) clip negative values to 0; (7) cap outliers using IQR bounds derived from the training set only (k=3.0), applied to both splits to avoid data leakage; (8) cast count-like columns to int64.</w:t>
      </w:r>
    </w:p>
    <w:p>
      <w:pPr>
        <w:spacing w:after="40" w:before="80"/>
      </w:pPr>
      <w:r>
        <w:rPr>
          <w:rFonts w:ascii="Times New Roman" w:cs="Times New Roman" w:eastAsia="Times New Roman" w:hAnsi="Times New Roman"/>
          <w:color w:val="000000"/>
          <w:sz w:val="20"/>
          <w:szCs w:val="20"/>
        </w:rPr>
        <w:t xml:space="preserve">3.3.1. Zero-variance feature removal</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Five features are identified as constant zero across all records because NSL-KDD does not capture per-packet TCP flag counts or directional packet counts. These are fwd_packet_count, bwd_packet_count, syn_flag_count, rst_flag_count, and ack_flag_count. All five carry no discriminative information and would add pure noise to the model. They are removed before any modelling step, leaving 8 effective features.</w:t>
      </w:r>
    </w:p>
    <w:p>
      <w:pPr>
        <w:spacing w:after="40" w:before="80"/>
      </w:pPr>
      <w:r>
        <w:rPr>
          <w:rFonts w:ascii="Times New Roman" w:cs="Times New Roman" w:eastAsia="Times New Roman" w:hAnsi="Times New Roman"/>
          <w:color w:val="000000"/>
          <w:sz w:val="20"/>
          <w:szCs w:val="20"/>
        </w:rPr>
        <w:t xml:space="preserve">3.3.2. Feature transformation and oversampling</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Three engineering steps are applied sequentially:</w:t>
      </w:r>
    </w:p>
    <w:p>
      <w:pPr>
        <w:pStyle w:val="ListParagraph"/>
        <w:numPr>
          <w:ilvl w:val="0"/>
          <w:numId w:val="2"/>
        </w:numPr>
        <w:spacing w:after="30" w:before="30" w:line="260" w:lineRule="auto"/>
      </w:pPr>
      <w:r>
        <w:rPr>
          <w:rFonts w:ascii="Times New Roman" w:cs="Times New Roman" w:eastAsia="Times New Roman" w:hAnsi="Times New Roman"/>
          <w:b/>
          <w:bCs/>
          <w:color w:val="000000"/>
          <w:sz w:val="20"/>
          <w:szCs w:val="20"/>
        </w:rPr>
        <w:t xml:space="preserve">Step 1 — Log1p transformation: </w:t>
      </w:r>
      <w:r>
        <w:rPr>
          <w:rFonts w:ascii="Times New Roman" w:cs="Times New Roman" w:eastAsia="Times New Roman" w:hAnsi="Times New Roman"/>
          <w:color w:val="000000"/>
          <w:sz w:val="20"/>
          <w:szCs w:val="20"/>
        </w:rPr>
        <w:t xml:space="preserve">log1p(x) applied to all six continuous features to reduce extreme right skew. Anomaly traffic (particularly DoS flood attacks) generates byte values up to 693 million; without transformation, tree splits concentrate on a handful of extreme attack records.</w:t>
      </w:r>
    </w:p>
    <w:p>
      <w:pPr>
        <w:pStyle w:val="ListParagraph"/>
        <w:numPr>
          <w:ilvl w:val="0"/>
          <w:numId w:val="2"/>
        </w:numPr>
        <w:spacing w:after="30" w:before="30" w:line="260" w:lineRule="auto"/>
      </w:pPr>
      <w:r>
        <w:rPr>
          <w:rFonts w:ascii="Times New Roman" w:cs="Times New Roman" w:eastAsia="Times New Roman" w:hAnsi="Times New Roman"/>
          <w:b/>
          <w:bCs/>
          <w:color w:val="000000"/>
          <w:sz w:val="20"/>
          <w:szCs w:val="20"/>
        </w:rPr>
        <w:t xml:space="preserve">Step 2 — Label encoding: </w:t>
      </w:r>
      <w:r>
        <w:rPr>
          <w:rFonts w:ascii="Times New Roman" w:cs="Times New Roman" w:eastAsia="Times New Roman" w:hAnsi="Times New Roman"/>
          <w:color w:val="000000"/>
          <w:sz w:val="20"/>
          <w:szCs w:val="20"/>
        </w:rPr>
        <w:t xml:space="preserve">LabelEncoder fit on the combined train + test vocabulary for protocol (3 values) and service_state (222 train + 10 unseen test = 232 total) to prevent out-of-vocabulary errors at inference.</w:t>
      </w:r>
    </w:p>
    <w:p>
      <w:pPr>
        <w:pStyle w:val="ListParagraph"/>
        <w:numPr>
          <w:ilvl w:val="0"/>
          <w:numId w:val="2"/>
        </w:numPr>
        <w:spacing w:after="30" w:before="30" w:line="260" w:lineRule="auto"/>
      </w:pPr>
      <w:r>
        <w:rPr>
          <w:rFonts w:ascii="Times New Roman" w:cs="Times New Roman" w:eastAsia="Times New Roman" w:hAnsi="Times New Roman"/>
          <w:b/>
          <w:bCs/>
          <w:color w:val="000000"/>
          <w:sz w:val="20"/>
          <w:szCs w:val="20"/>
        </w:rPr>
        <w:t xml:space="preserve">Step 3 — Random oversampling: </w:t>
      </w:r>
      <w:r>
        <w:rPr>
          <w:rFonts w:ascii="Times New Roman" w:cs="Times New Roman" w:eastAsia="Times New Roman" w:hAnsi="Times New Roman"/>
          <w:color w:val="000000"/>
          <w:sz w:val="20"/>
          <w:szCs w:val="20"/>
        </w:rPr>
        <w:t xml:space="preserve">sklearn.utils.resample duplicates minority class (anomaly) records with replacement until class counts are equal (9,276 each), yielding 18,552 balanced training samples. Applied to the StandardScaler-transformed training set only — the test set is never resampled.</w:t>
      </w:r>
    </w:p>
    <w:p>
      <w:pPr>
        <w:spacing w:after="40" w:before="80"/>
      </w:pPr>
      <w:r>
        <w:rPr>
          <w:rFonts w:ascii="Times New Roman" w:cs="Times New Roman" w:eastAsia="Times New Roman" w:hAnsi="Times New Roman"/>
          <w:color w:val="000000"/>
          <w:sz w:val="20"/>
          <w:szCs w:val="20"/>
        </w:rPr>
        <w:t xml:space="preserve">3.3.3. Feature importance analysis</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Gini impurity computed from the trained Random Forest model confirms that byte volume features dominate: log_bwd_bytes (32.0%) and log_fwd_bytes (25.7%) together account for 57.7% of predictive power. The top four features — byte volumes and average packet size — account for 76.6% of importance. The service_state encoded feature (12.2%) captures protocol misuse patterns: private_s0 (SYN with no response) and ecr_i_sf (ICMP echo) are strong indicators of flood attacks. The bottom three features contribute less than 7% combined.</w:t>
      </w:r>
    </w:p>
    <w:p>
      <w:pPr>
        <w:spacing w:after="60" w:before="120"/>
      </w:pPr>
      <w:r>
        <w:rPr>
          <w:rFonts w:ascii="Times New Roman" w:cs="Times New Roman" w:eastAsia="Times New Roman" w:hAnsi="Times New Roman"/>
          <w:b/>
          <w:bCs/>
          <w:color w:val="000000"/>
          <w:sz w:val="20"/>
          <w:szCs w:val="20"/>
        </w:rPr>
        <w:t xml:space="preserve">4)  Machine Learning Methodologies Employed</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The t-SNE visualisation of the dataset confirms that it is not linearly separable, motivating the use of both kernel-based methods (SVM) and ensemble tree methods (Random Forest, Decision Tree). Six classifiers are evaluated, spanning linear to non-linear and individual to ensemble.</w:t>
      </w:r>
    </w:p>
    <w:p>
      <w:pPr>
        <w:spacing w:after="40" w:before="80"/>
      </w:pPr>
      <w:r>
        <w:rPr>
          <w:rFonts w:ascii="Times New Roman" w:cs="Times New Roman" w:eastAsia="Times New Roman" w:hAnsi="Times New Roman"/>
          <w:color w:val="000000"/>
          <w:sz w:val="20"/>
          <w:szCs w:val="20"/>
        </w:rPr>
        <w:t xml:space="preserve">4.1. Logistic Regression</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Logistic Regression serves as the linear baseline. The regularised binary cross-entropy objective is:</w:t>
      </w:r>
    </w:p>
    <w:p>
      <w:pPr>
        <w:spacing w:after="20" w:before="0"/>
      </w:pPr>
      <w:r>
        <w:rPr>
          <w:rFonts w:ascii="Times New Roman" w:cs="Times New Roman" w:eastAsia="Times New Roman" w:hAnsi="Times New Roman"/>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0"/>
        <w:gridCol w:w="720"/>
      </w:tblGrid>
      <w:tr>
        <w:tc>
          <w:tcPr>
            <w:tcW w:type="dxa" w:w="8640"/>
            <w:tcBorders>
              <w:top w:val="none" w:color="FFFFFF" w:sz="0"/>
              <w:left w:val="none" w:color="FFFFFF" w:sz="0"/>
              <w:bottom w:val="none" w:color="FFFFFF" w:sz="0"/>
              <w:right w:val="none" w:color="FFFFFF" w:sz="0"/>
            </w:tcBorders>
            <w:tcMar>
              <w:top w:type="dxa" w:w="40"/>
              <w:left w:type="dxa" w:w="720"/>
              <w:bottom w:type="dxa" w:w="40"/>
              <w:right w:type="dxa" w:w="120"/>
            </w:tcMar>
          </w:tcPr>
          <w:p>
            <w:pPr>
              <w:spacing w:after="20" w:before="20"/>
              <w:jc w:val="center"/>
            </w:pPr>
            <w:r>
              <w:rPr>
                <w:rFonts w:ascii="Times New Roman" w:cs="Times New Roman" w:eastAsia="Times New Roman" w:hAnsi="Times New Roman"/>
                <w:color w:val="000000"/>
                <w:sz w:val="20"/>
                <w:szCs w:val="20"/>
              </w:rPr>
              <w:t xml:space="preserve">min  (1/C) ||w||²  +  Σᵢ log(1 + exp(−yᵢ (Xᵢw + b)))</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right"/>
            </w:pPr>
            <w:r>
              <w:rPr>
                <w:rFonts w:ascii="Times New Roman" w:cs="Times New Roman" w:eastAsia="Times New Roman" w:hAnsi="Times New Roman"/>
                <w:color w:val="000000"/>
                <w:sz w:val="20"/>
                <w:szCs w:val="20"/>
              </w:rPr>
              <w:t xml:space="preserve">(1)</w:t>
            </w:r>
          </w:p>
        </w:tc>
      </w:tr>
    </w:tbl>
    <w:p>
      <w:pPr>
        <w:spacing w:after="20" w:before="0"/>
      </w:pPr>
      <w:r>
        <w:rPr>
          <w:rFonts w:ascii="Times New Roman" w:cs="Times New Roman" w:eastAsia="Times New Roman" w:hAnsi="Times New Roman"/>
          <w:color w:val="000000"/>
          <w:sz w:val="20"/>
          <w:szCs w:val="20"/>
        </w:rPr>
        <w:t xml:space="preserve"/>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where C is the inverse regularisation strength. Given the confirmed non-linear separability, LR is expected to underperform tree-based methods.</w:t>
      </w:r>
    </w:p>
    <w:p>
      <w:pPr>
        <w:spacing w:after="40" w:before="80"/>
      </w:pPr>
      <w:r>
        <w:rPr>
          <w:rFonts w:ascii="Times New Roman" w:cs="Times New Roman" w:eastAsia="Times New Roman" w:hAnsi="Times New Roman"/>
          <w:color w:val="000000"/>
          <w:sz w:val="20"/>
          <w:szCs w:val="20"/>
        </w:rPr>
        <w:t xml:space="preserve">4.2. Naive Bayes</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Gaussian Naive Bayes assumes conditional feature independence given the class label and models each feature as Gaussian within each class. The posterior class probability is:</w:t>
      </w:r>
    </w:p>
    <w:p>
      <w:pPr>
        <w:spacing w:after="20" w:before="0"/>
      </w:pPr>
      <w:r>
        <w:rPr>
          <w:rFonts w:ascii="Times New Roman" w:cs="Times New Roman" w:eastAsia="Times New Roman" w:hAnsi="Times New Roman"/>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0"/>
        <w:gridCol w:w="720"/>
      </w:tblGrid>
      <w:tr>
        <w:tc>
          <w:tcPr>
            <w:tcW w:type="dxa" w:w="8640"/>
            <w:tcBorders>
              <w:top w:val="none" w:color="FFFFFF" w:sz="0"/>
              <w:left w:val="none" w:color="FFFFFF" w:sz="0"/>
              <w:bottom w:val="none" w:color="FFFFFF" w:sz="0"/>
              <w:right w:val="none" w:color="FFFFFF" w:sz="0"/>
            </w:tcBorders>
            <w:tcMar>
              <w:top w:type="dxa" w:w="40"/>
              <w:left w:type="dxa" w:w="720"/>
              <w:bottom w:type="dxa" w:w="40"/>
              <w:right w:type="dxa" w:w="120"/>
            </w:tcMar>
          </w:tcPr>
          <w:p>
            <w:pPr>
              <w:spacing w:after="20" w:before="20"/>
              <w:jc w:val="center"/>
            </w:pPr>
            <w:r>
              <w:rPr>
                <w:rFonts w:ascii="Times New Roman" w:cs="Times New Roman" w:eastAsia="Times New Roman" w:hAnsi="Times New Roman"/>
                <w:color w:val="000000"/>
                <w:sz w:val="20"/>
                <w:szCs w:val="20"/>
              </w:rPr>
              <w:t xml:space="preserve">P(y | x)  ∝  P(y) · Πⱼ P(xⱼ | y)</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right"/>
            </w:pPr>
            <w:r>
              <w:rPr>
                <w:rFonts w:ascii="Times New Roman" w:cs="Times New Roman" w:eastAsia="Times New Roman" w:hAnsi="Times New Roman"/>
                <w:color w:val="000000"/>
                <w:sz w:val="20"/>
                <w:szCs w:val="20"/>
              </w:rPr>
              <w:t xml:space="preserve">(2)</w:t>
            </w:r>
          </w:p>
        </w:tc>
      </w:tr>
    </w:tbl>
    <w:p>
      <w:pPr>
        <w:spacing w:after="20" w:before="0"/>
      </w:pPr>
      <w:r>
        <w:rPr>
          <w:rFonts w:ascii="Times New Roman" w:cs="Times New Roman" w:eastAsia="Times New Roman" w:hAnsi="Times New Roman"/>
          <w:color w:val="000000"/>
          <w:sz w:val="20"/>
          <w:szCs w:val="20"/>
        </w:rPr>
        <w:t xml:space="preserve"/>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Despite the strong independence assumption, GNB provides a fast probabilistic baseline useful for AUC-ROC estimation.</w:t>
      </w:r>
    </w:p>
    <w:p>
      <w:pPr>
        <w:spacing w:after="40" w:before="80"/>
      </w:pPr>
      <w:r>
        <w:rPr>
          <w:rFonts w:ascii="Times New Roman" w:cs="Times New Roman" w:eastAsia="Times New Roman" w:hAnsi="Times New Roman"/>
          <w:color w:val="000000"/>
          <w:sz w:val="20"/>
          <w:szCs w:val="20"/>
        </w:rPr>
        <w:t xml:space="preserve">4.3. K-Nearest Neighbours</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KNN (k=5) classifies a sample by majority vote among its five nearest neighbours in scaled feature space. The decision rule is:</w:t>
      </w:r>
    </w:p>
    <w:p>
      <w:pPr>
        <w:spacing w:after="20" w:before="0"/>
      </w:pPr>
      <w:r>
        <w:rPr>
          <w:rFonts w:ascii="Times New Roman" w:cs="Times New Roman" w:eastAsia="Times New Roman" w:hAnsi="Times New Roman"/>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0"/>
        <w:gridCol w:w="720"/>
      </w:tblGrid>
      <w:tr>
        <w:tc>
          <w:tcPr>
            <w:tcW w:type="dxa" w:w="8640"/>
            <w:tcBorders>
              <w:top w:val="none" w:color="FFFFFF" w:sz="0"/>
              <w:left w:val="none" w:color="FFFFFF" w:sz="0"/>
              <w:bottom w:val="none" w:color="FFFFFF" w:sz="0"/>
              <w:right w:val="none" w:color="FFFFFF" w:sz="0"/>
            </w:tcBorders>
            <w:tcMar>
              <w:top w:type="dxa" w:w="40"/>
              <w:left w:type="dxa" w:w="720"/>
              <w:bottom w:type="dxa" w:w="40"/>
              <w:right w:type="dxa" w:w="120"/>
            </w:tcMar>
          </w:tcPr>
          <w:p>
            <w:pPr>
              <w:spacing w:after="20" w:before="20"/>
              <w:jc w:val="center"/>
            </w:pPr>
            <w:r>
              <w:rPr>
                <w:rFonts w:ascii="Times New Roman" w:cs="Times New Roman" w:eastAsia="Times New Roman" w:hAnsi="Times New Roman"/>
                <w:color w:val="000000"/>
                <w:sz w:val="20"/>
                <w:szCs w:val="20"/>
              </w:rPr>
              <w:t xml:space="preserve">ŷ = argmax_c  Σᵢ∈N₅(x) 𝟙[yᵢ = c]</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right"/>
            </w:pPr>
            <w:r>
              <w:rPr>
                <w:rFonts w:ascii="Times New Roman" w:cs="Times New Roman" w:eastAsia="Times New Roman" w:hAnsi="Times New Roman"/>
                <w:color w:val="000000"/>
                <w:sz w:val="20"/>
                <w:szCs w:val="20"/>
              </w:rPr>
              <w:t xml:space="preserve">(3)</w:t>
            </w:r>
          </w:p>
        </w:tc>
      </w:tr>
    </w:tbl>
    <w:p>
      <w:pPr>
        <w:spacing w:after="20" w:before="0"/>
      </w:pPr>
      <w:r>
        <w:rPr>
          <w:rFonts w:ascii="Times New Roman" w:cs="Times New Roman" w:eastAsia="Times New Roman" w:hAnsi="Times New Roman"/>
          <w:color w:val="000000"/>
          <w:sz w:val="20"/>
          <w:szCs w:val="20"/>
        </w:rPr>
        <w:t xml:space="preserve"/>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KNN is non-parametric and makes no distributional assumptions. It benefits significantly from oversampling because synthetic minority records densify the anomaly neighbourhood, improving vote reliability.</w:t>
      </w:r>
    </w:p>
    <w:p>
      <w:pPr>
        <w:spacing w:after="40" w:before="80"/>
      </w:pPr>
      <w:r>
        <w:rPr>
          <w:rFonts w:ascii="Times New Roman" w:cs="Times New Roman" w:eastAsia="Times New Roman" w:hAnsi="Times New Roman"/>
          <w:color w:val="000000"/>
          <w:sz w:val="20"/>
          <w:szCs w:val="20"/>
        </w:rPr>
        <w:t xml:space="preserve">4.4. Decision Tree</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The Decision Tree recursively partitions the feature space by selecting splits that minimise Gini impurity at each node:</w:t>
      </w:r>
    </w:p>
    <w:p>
      <w:pPr>
        <w:spacing w:after="20" w:before="0"/>
      </w:pPr>
      <w:r>
        <w:rPr>
          <w:rFonts w:ascii="Times New Roman" w:cs="Times New Roman" w:eastAsia="Times New Roman" w:hAnsi="Times New Roman"/>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0"/>
        <w:gridCol w:w="720"/>
      </w:tblGrid>
      <w:tr>
        <w:tc>
          <w:tcPr>
            <w:tcW w:type="dxa" w:w="8640"/>
            <w:tcBorders>
              <w:top w:val="none" w:color="FFFFFF" w:sz="0"/>
              <w:left w:val="none" w:color="FFFFFF" w:sz="0"/>
              <w:bottom w:val="none" w:color="FFFFFF" w:sz="0"/>
              <w:right w:val="none" w:color="FFFFFF" w:sz="0"/>
            </w:tcBorders>
            <w:tcMar>
              <w:top w:type="dxa" w:w="40"/>
              <w:left w:type="dxa" w:w="720"/>
              <w:bottom w:type="dxa" w:w="40"/>
              <w:right w:type="dxa" w:w="120"/>
            </w:tcMar>
          </w:tcPr>
          <w:p>
            <w:pPr>
              <w:spacing w:after="20" w:before="20"/>
              <w:jc w:val="center"/>
            </w:pPr>
            <w:r>
              <w:rPr>
                <w:rFonts w:ascii="Times New Roman" w:cs="Times New Roman" w:eastAsia="Times New Roman" w:hAnsi="Times New Roman"/>
                <w:color w:val="000000"/>
                <w:sz w:val="20"/>
                <w:szCs w:val="20"/>
              </w:rPr>
              <w:t xml:space="preserve">Gini(t) = 1 − Σₖ p(k|t)²</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right"/>
            </w:pPr>
            <w:r>
              <w:rPr>
                <w:rFonts w:ascii="Times New Roman" w:cs="Times New Roman" w:eastAsia="Times New Roman" w:hAnsi="Times New Roman"/>
                <w:color w:val="000000"/>
                <w:sz w:val="20"/>
                <w:szCs w:val="20"/>
              </w:rPr>
              <w:t xml:space="preserve">(4)</w:t>
            </w:r>
          </w:p>
        </w:tc>
      </w:tr>
    </w:tbl>
    <w:p>
      <w:pPr>
        <w:spacing w:after="20" w:before="0"/>
      </w:pPr>
      <w:r>
        <w:rPr>
          <w:rFonts w:ascii="Times New Roman" w:cs="Times New Roman" w:eastAsia="Times New Roman" w:hAnsi="Times New Roman"/>
          <w:color w:val="000000"/>
          <w:sz w:val="20"/>
          <w:szCs w:val="20"/>
        </w:rPr>
        <w:t xml:space="preserve"/>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A single tree provides fully interpretable decision paths, which have forensic value for IDS: an analyst can trace exactly which feature values caused a connection to be flagged.</w:t>
      </w:r>
    </w:p>
    <w:p>
      <w:pPr>
        <w:spacing w:after="40" w:before="80"/>
      </w:pPr>
      <w:r>
        <w:rPr>
          <w:rFonts w:ascii="Times New Roman" w:cs="Times New Roman" w:eastAsia="Times New Roman" w:hAnsi="Times New Roman"/>
          <w:color w:val="000000"/>
          <w:sz w:val="20"/>
          <w:szCs w:val="20"/>
        </w:rPr>
        <w:t xml:space="preserve">4.5. Random Forest</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Random Forest (Breiman, 2001) trains n_estimators=100 decision trees, each on a bootstrapped sample with a random subset of features at each split. The ensemble prediction is:</w:t>
      </w:r>
    </w:p>
    <w:p>
      <w:pPr>
        <w:spacing w:after="20" w:before="0"/>
      </w:pPr>
      <w:r>
        <w:rPr>
          <w:rFonts w:ascii="Times New Roman" w:cs="Times New Roman" w:eastAsia="Times New Roman" w:hAnsi="Times New Roman"/>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0"/>
        <w:gridCol w:w="720"/>
      </w:tblGrid>
      <w:tr>
        <w:tc>
          <w:tcPr>
            <w:tcW w:type="dxa" w:w="8640"/>
            <w:tcBorders>
              <w:top w:val="none" w:color="FFFFFF" w:sz="0"/>
              <w:left w:val="none" w:color="FFFFFF" w:sz="0"/>
              <w:bottom w:val="none" w:color="FFFFFF" w:sz="0"/>
              <w:right w:val="none" w:color="FFFFFF" w:sz="0"/>
            </w:tcBorders>
            <w:tcMar>
              <w:top w:type="dxa" w:w="40"/>
              <w:left w:type="dxa" w:w="720"/>
              <w:bottom w:type="dxa" w:w="40"/>
              <w:right w:type="dxa" w:w="120"/>
            </w:tcMar>
          </w:tcPr>
          <w:p>
            <w:pPr>
              <w:spacing w:after="20" w:before="20"/>
              <w:jc w:val="center"/>
            </w:pPr>
            <w:r>
              <w:rPr>
                <w:rFonts w:ascii="Times New Roman" w:cs="Times New Roman" w:eastAsia="Times New Roman" w:hAnsi="Times New Roman"/>
                <w:color w:val="000000"/>
                <w:sz w:val="20"/>
                <w:szCs w:val="20"/>
              </w:rPr>
              <w:t xml:space="preserve">ŷ = majority_vote{ h₁(x), h₂(x), …, h₁₀₀(x) }</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right"/>
            </w:pPr>
            <w:r>
              <w:rPr>
                <w:rFonts w:ascii="Times New Roman" w:cs="Times New Roman" w:eastAsia="Times New Roman" w:hAnsi="Times New Roman"/>
                <w:color w:val="000000"/>
                <w:sz w:val="20"/>
                <w:szCs w:val="20"/>
              </w:rPr>
              <w:t xml:space="preserve">(5)</w:t>
            </w:r>
          </w:p>
        </w:tc>
      </w:tr>
    </w:tbl>
    <w:p>
      <w:pPr>
        <w:spacing w:after="20" w:before="0"/>
      </w:pPr>
      <w:r>
        <w:rPr>
          <w:rFonts w:ascii="Times New Roman" w:cs="Times New Roman" w:eastAsia="Times New Roman" w:hAnsi="Times New Roman"/>
          <w:color w:val="000000"/>
          <w:sz w:val="20"/>
          <w:szCs w:val="20"/>
        </w:rPr>
        <w:t xml:space="preserve"/>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Bootstrap sampling and random feature subsets ensure tree diversity, so individual trees make uncorrelated errors that cancel in the majority vote, yielding substantially lower variance than any single tree.</w:t>
      </w:r>
    </w:p>
    <w:p>
      <w:pPr>
        <w:spacing w:after="40" w:before="80"/>
      </w:pPr>
      <w:r>
        <w:rPr>
          <w:rFonts w:ascii="Times New Roman" w:cs="Times New Roman" w:eastAsia="Times New Roman" w:hAnsi="Times New Roman"/>
          <w:color w:val="000000"/>
          <w:sz w:val="20"/>
          <w:szCs w:val="20"/>
        </w:rPr>
        <w:t xml:space="preserve">4.6. Support Vector Machine</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SVM (Cortes &amp; Vapnik, 1995) finds the maximum-margin hyperplane in a kernel-mapped feature space. The RBF kernel decision function is:</w:t>
      </w:r>
    </w:p>
    <w:p>
      <w:pPr>
        <w:spacing w:after="20" w:before="0"/>
      </w:pPr>
      <w:r>
        <w:rPr>
          <w:rFonts w:ascii="Times New Roman" w:cs="Times New Roman" w:eastAsia="Times New Roman" w:hAnsi="Times New Roman"/>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0"/>
        <w:gridCol w:w="720"/>
      </w:tblGrid>
      <w:tr>
        <w:tc>
          <w:tcPr>
            <w:tcW w:type="dxa" w:w="8640"/>
            <w:tcBorders>
              <w:top w:val="none" w:color="FFFFFF" w:sz="0"/>
              <w:left w:val="none" w:color="FFFFFF" w:sz="0"/>
              <w:bottom w:val="none" w:color="FFFFFF" w:sz="0"/>
              <w:right w:val="none" w:color="FFFFFF" w:sz="0"/>
            </w:tcBorders>
            <w:tcMar>
              <w:top w:type="dxa" w:w="40"/>
              <w:left w:type="dxa" w:w="720"/>
              <w:bottom w:type="dxa" w:w="40"/>
              <w:right w:type="dxa" w:w="120"/>
            </w:tcMar>
          </w:tcPr>
          <w:p>
            <w:pPr>
              <w:spacing w:after="20" w:before="20"/>
              <w:jc w:val="center"/>
            </w:pPr>
            <w:r>
              <w:rPr>
                <w:rFonts w:ascii="Times New Roman" w:cs="Times New Roman" w:eastAsia="Times New Roman" w:hAnsi="Times New Roman"/>
                <w:color w:val="000000"/>
                <w:sz w:val="20"/>
                <w:szCs w:val="20"/>
              </w:rPr>
              <w:t xml:space="preserve">f(x) = sign( Σᵢ αᵢ yᵢ exp(−γ ||x − xᵢ||²) + b )</w:t>
            </w:r>
          </w:p>
        </w:tc>
        <w:tc>
          <w:tcPr>
            <w:tcW w:type="dxa" w:w="7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jc w:val="right"/>
            </w:pPr>
            <w:r>
              <w:rPr>
                <w:rFonts w:ascii="Times New Roman" w:cs="Times New Roman" w:eastAsia="Times New Roman" w:hAnsi="Times New Roman"/>
                <w:color w:val="000000"/>
                <w:sz w:val="20"/>
                <w:szCs w:val="20"/>
              </w:rPr>
              <w:t xml:space="preserve">(6)</w:t>
            </w:r>
          </w:p>
        </w:tc>
      </w:tr>
    </w:tbl>
    <w:p>
      <w:pPr>
        <w:spacing w:after="20" w:before="0"/>
      </w:pPr>
      <w:r>
        <w:rPr>
          <w:rFonts w:ascii="Times New Roman" w:cs="Times New Roman" w:eastAsia="Times New Roman" w:hAnsi="Times New Roman"/>
          <w:color w:val="000000"/>
          <w:sz w:val="20"/>
          <w:szCs w:val="20"/>
        </w:rPr>
        <w:t xml:space="preserve"/>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SVM is robust to outliers through margin maximisation, making it naturally resistant to the extreme byte values in attack traffic. It is the most computationally expensive model to train.</w:t>
      </w:r>
    </w:p>
    <w:p>
      <w:pPr>
        <w:spacing w:after="40" w:before="80"/>
      </w:pPr>
      <w:r>
        <w:rPr>
          <w:rFonts w:ascii="Times New Roman" w:cs="Times New Roman" w:eastAsia="Times New Roman" w:hAnsi="Times New Roman"/>
          <w:color w:val="000000"/>
          <w:sz w:val="20"/>
          <w:szCs w:val="20"/>
        </w:rPr>
        <w:t xml:space="preserve">4.7. Model construction and evaluation</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All models are trained on the oversampled training set (18,552 balanced samples). Evaluation uses only the original unmodified test set (2,803 samples) to simulate real-world deployment. Performance metrics are Accuracy, Precision, Recall, F1-Score (anomaly class), and AUC-ROC. Stratified 5-fold cross-validation (StratifiedKFold, n_splits=5, shuffle=True, random_state=42) is applied on the oversampled training set for model selection.</w:t>
      </w:r>
    </w:p>
    <w:p>
      <w:pPr>
        <w:spacing w:after="60" w:before="120"/>
      </w:pPr>
      <w:r>
        <w:rPr>
          <w:rFonts w:ascii="Times New Roman" w:cs="Times New Roman" w:eastAsia="Times New Roman" w:hAnsi="Times New Roman"/>
          <w:b/>
          <w:bCs/>
          <w:color w:val="000000"/>
          <w:sz w:val="20"/>
          <w:szCs w:val="20"/>
        </w:rPr>
        <w:t xml:space="preserve">5)  Machine Learning Empirical Results</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This section presents the results of all six classifiers before and after random oversampling, followed by detailed analysis of the best-performing model.</w:t>
      </w:r>
    </w:p>
    <w:p>
      <w:pPr>
        <w:spacing w:after="40" w:before="80"/>
      </w:pPr>
      <w:r>
        <w:rPr>
          <w:rFonts w:ascii="Times New Roman" w:cs="Times New Roman" w:eastAsia="Times New Roman" w:hAnsi="Times New Roman"/>
          <w:color w:val="000000"/>
          <w:sz w:val="20"/>
          <w:szCs w:val="20"/>
        </w:rPr>
        <w:t xml:space="preserve">5.1. Cross-validation results</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Table 2 summarises 5-fold cross-validation F1-scores on the oversampled training set. Random Forest achieves the highest CV F1 of 0.9978 ± 0.0007, indicating strong and stable performance with minimal fold-to-fold variance.</w:t>
      </w:r>
    </w:p>
    <w:p>
      <w:pPr>
        <w:spacing w:after="40" w:before="0"/>
      </w:pPr>
      <w:r>
        <w:rPr>
          <w:rFonts w:ascii="Times New Roman" w:cs="Times New Roman" w:eastAsia="Times New Roman" w:hAnsi="Times New Roman"/>
          <w:color w:val="000000"/>
          <w:sz w:val="20"/>
          <w:szCs w:val="20"/>
        </w:rPr>
        <w:t xml:space="preserve"/>
      </w:r>
    </w:p>
    <w:p>
      <w:pPr>
        <w:spacing w:after="40" w:before="0"/>
      </w:pPr>
      <w:r>
        <w:rPr>
          <w:rFonts w:ascii="Times New Roman" w:cs="Times New Roman" w:eastAsia="Times New Roman" w:hAnsi="Times New Roman"/>
          <w:b/>
          <w:bCs/>
          <w:color w:val="000000"/>
          <w:sz w:val="20"/>
          <w:szCs w:val="20"/>
        </w:rPr>
        <w:t xml:space="preserve">Table 2. </w:t>
      </w:r>
      <w:r>
        <w:rPr>
          <w:rFonts w:ascii="Times New Roman" w:cs="Times New Roman" w:eastAsia="Times New Roman" w:hAnsi="Times New Roman"/>
          <w:color w:val="000000"/>
          <w:sz w:val="20"/>
          <w:szCs w:val="20"/>
        </w:rPr>
        <w:t xml:space="preserve">5-fold cross-validation F1-scores on oversampled training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80"/>
        <w:gridCol w:w="2380"/>
        <w:gridCol w:w="2000"/>
      </w:tblGrid>
      <w:tr>
        <w:tc>
          <w:tcPr>
            <w:tcW w:type="dxa" w:w="260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Model</w:t>
            </w:r>
          </w:p>
        </w:tc>
        <w:tc>
          <w:tcPr>
            <w:tcW w:type="dxa" w:w="238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CV F1 Mean</w:t>
            </w:r>
          </w:p>
        </w:tc>
        <w:tc>
          <w:tcPr>
            <w:tcW w:type="dxa" w:w="238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CV F1 Std Dev</w:t>
            </w:r>
          </w:p>
        </w:tc>
        <w:tc>
          <w:tcPr>
            <w:tcW w:type="dxa" w:w="200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Interpretation</w:t>
            </w:r>
          </w:p>
        </w:tc>
      </w:tr>
      <w:tr>
        <w:tc>
          <w:tcPr>
            <w:tcW w:type="dxa" w:w="26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Logistic Regression</w:t>
            </w:r>
          </w:p>
        </w:tc>
        <w:tc>
          <w:tcPr>
            <w:tcW w:type="dxa" w:w="238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0.8995</w:t>
            </w:r>
          </w:p>
        </w:tc>
        <w:tc>
          <w:tcPr>
            <w:tcW w:type="dxa" w:w="238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 0.0053</w:t>
            </w:r>
          </w:p>
        </w:tc>
        <w:tc>
          <w:tcPr>
            <w:tcW w:type="dxa" w:w="20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Linear boundary — underfit</w:t>
            </w:r>
          </w:p>
        </w:tc>
      </w:tr>
      <w:tr>
        <w:tc>
          <w:tcPr>
            <w:tcW w:type="dxa" w:w="26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Naive Bayes</w:t>
            </w:r>
          </w:p>
        </w:tc>
        <w:tc>
          <w:tcPr>
            <w:tcW w:type="dxa" w:w="238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0.9051</w:t>
            </w:r>
          </w:p>
        </w:tc>
        <w:tc>
          <w:tcPr>
            <w:tcW w:type="dxa" w:w="238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 0.0058</w:t>
            </w:r>
          </w:p>
        </w:tc>
        <w:tc>
          <w:tcPr>
            <w:tcW w:type="dxa" w:w="20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Independence assumption — underfit</w:t>
            </w:r>
          </w:p>
        </w:tc>
      </w:tr>
      <w:tr>
        <w:tc>
          <w:tcPr>
            <w:tcW w:type="dxa" w:w="26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KNN</w:t>
            </w:r>
          </w:p>
        </w:tc>
        <w:tc>
          <w:tcPr>
            <w:tcW w:type="dxa" w:w="238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0.9939</w:t>
            </w:r>
          </w:p>
        </w:tc>
        <w:tc>
          <w:tcPr>
            <w:tcW w:type="dxa" w:w="238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 0.0005</w:t>
            </w:r>
          </w:p>
        </w:tc>
        <w:tc>
          <w:tcPr>
            <w:tcW w:type="dxa" w:w="20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Strong — very stable</w:t>
            </w:r>
          </w:p>
        </w:tc>
      </w:tr>
      <w:tr>
        <w:tc>
          <w:tcPr>
            <w:tcW w:type="dxa" w:w="26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Decision Tree</w:t>
            </w:r>
          </w:p>
        </w:tc>
        <w:tc>
          <w:tcPr>
            <w:tcW w:type="dxa" w:w="238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0.9969</w:t>
            </w:r>
          </w:p>
        </w:tc>
        <w:tc>
          <w:tcPr>
            <w:tcW w:type="dxa" w:w="238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 0.0007</w:t>
            </w:r>
          </w:p>
        </w:tc>
        <w:tc>
          <w:tcPr>
            <w:tcW w:type="dxa" w:w="20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Strong — slight overfit risk</w:t>
            </w:r>
          </w:p>
        </w:tc>
      </w:tr>
      <w:tr>
        <w:tc>
          <w:tcPr>
            <w:tcW w:type="dxa" w:w="260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bCs/>
                <w:color w:val="000000"/>
                <w:sz w:val="18"/>
                <w:szCs w:val="18"/>
              </w:rPr>
              <w:t xml:space="preserve">Random Forest</w:t>
            </w:r>
          </w:p>
        </w:tc>
        <w:tc>
          <w:tcPr>
            <w:tcW w:type="dxa" w:w="238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0.9978</w:t>
            </w:r>
          </w:p>
        </w:tc>
        <w:tc>
          <w:tcPr>
            <w:tcW w:type="dxa" w:w="238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 0.0007</w:t>
            </w:r>
          </w:p>
        </w:tc>
        <w:tc>
          <w:tcPr>
            <w:tcW w:type="dxa" w:w="200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Best — ensemble stability</w:t>
            </w:r>
          </w:p>
        </w:tc>
      </w:tr>
      <w:tr>
        <w:tc>
          <w:tcPr>
            <w:tcW w:type="dxa" w:w="26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SVM</w:t>
            </w:r>
          </w:p>
        </w:tc>
        <w:tc>
          <w:tcPr>
            <w:tcW w:type="dxa" w:w="238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0.9767</w:t>
            </w:r>
          </w:p>
        </w:tc>
        <w:tc>
          <w:tcPr>
            <w:tcW w:type="dxa" w:w="238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 0.0043</w:t>
            </w:r>
          </w:p>
        </w:tc>
        <w:tc>
          <w:tcPr>
            <w:tcW w:type="dxa" w:w="20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Strong — higher variance</w:t>
            </w:r>
          </w:p>
        </w:tc>
      </w:tr>
    </w:tbl>
    <w:p>
      <w:pPr>
        <w:spacing w:after="60" w:before="0"/>
      </w:pPr>
      <w:r>
        <w:rPr>
          <w:rFonts w:ascii="Times New Roman" w:cs="Times New Roman" w:eastAsia="Times New Roman" w:hAnsi="Times New Roman"/>
          <w:color w:val="000000"/>
          <w:sz w:val="20"/>
          <w:szCs w:val="20"/>
        </w:rPr>
        <w:t xml:space="preserve"/>
      </w:r>
    </w:p>
    <w:p>
      <w:pPr>
        <w:spacing w:after="40" w:before="80"/>
      </w:pPr>
      <w:r>
        <w:rPr>
          <w:rFonts w:ascii="Times New Roman" w:cs="Times New Roman" w:eastAsia="Times New Roman" w:hAnsi="Times New Roman"/>
          <w:color w:val="000000"/>
          <w:sz w:val="20"/>
          <w:szCs w:val="20"/>
        </w:rPr>
        <w:t xml:space="preserve">5.2. Performance comparison before and after oversampling</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Table 3 presents F1-Score, Recall, and AUC-ROC for all six models with and without oversampling. Oversampling most benefits Logistic Regression: Recall improves from 0.7799 to 0.9109 as the rebalanced training set forces the linear boundary to favour recall. For tree-based methods, oversampling provides smaller but consistent improvements. Random Forest remains the best model on both F1 and AUC across both conditions.</w:t>
      </w:r>
    </w:p>
    <w:p>
      <w:pPr>
        <w:spacing w:after="40" w:before="0"/>
      </w:pPr>
      <w:r>
        <w:rPr>
          <w:rFonts w:ascii="Times New Roman" w:cs="Times New Roman" w:eastAsia="Times New Roman" w:hAnsi="Times New Roman"/>
          <w:color w:val="000000"/>
          <w:sz w:val="20"/>
          <w:szCs w:val="20"/>
        </w:rPr>
        <w:t xml:space="preserve"/>
      </w:r>
    </w:p>
    <w:p>
      <w:pPr>
        <w:spacing w:after="40" w:before="0"/>
      </w:pPr>
      <w:r>
        <w:rPr>
          <w:rFonts w:ascii="Times New Roman" w:cs="Times New Roman" w:eastAsia="Times New Roman" w:hAnsi="Times New Roman"/>
          <w:b/>
          <w:bCs/>
          <w:color w:val="000000"/>
          <w:sz w:val="20"/>
          <w:szCs w:val="20"/>
        </w:rPr>
        <w:t xml:space="preserve">Table 3. </w:t>
      </w:r>
      <w:r>
        <w:rPr>
          <w:rFonts w:ascii="Times New Roman" w:cs="Times New Roman" w:eastAsia="Times New Roman" w:hAnsi="Times New Roman"/>
          <w:color w:val="000000"/>
          <w:sz w:val="20"/>
          <w:szCs w:val="20"/>
        </w:rPr>
        <w:t xml:space="preserve">Performance comparison before and after oversampling — F1, Recall, and AUC-ROC</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60"/>
        <w:gridCol w:w="980"/>
        <w:gridCol w:w="980"/>
        <w:gridCol w:w="980"/>
        <w:gridCol w:w="980"/>
        <w:gridCol w:w="980"/>
        <w:gridCol w:w="1400"/>
      </w:tblGrid>
      <w:tr>
        <w:tc>
          <w:tcPr>
            <w:tcW w:type="dxa" w:w="206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tcPr>
          <w:p>
            <w:r>
              <w:rPr>
                <w:rFonts w:ascii="Times New Roman" w:cs="Times New Roman" w:eastAsia="Times New Roman" w:hAnsi="Times New Roman"/>
                <w:color w:val="FFFFFF"/>
                <w:sz w:val="20"/>
                <w:szCs w:val="20"/>
              </w:rPr>
              <w:t xml:space="preserve"/>
            </w:r>
          </w:p>
        </w:tc>
        <w:tc>
          <w:tcPr>
            <w:tcW w:type="dxa" w:w="2940"/>
            <w:gridSpan w:val="3"/>
            <w:tcBorders>
              <w:top w:val="single" w:color="666666" w:sz="1"/>
              <w:left w:val="single" w:color="666666" w:sz="1"/>
              <w:bottom w:val="single" w:color="666666" w:sz="1"/>
              <w:right w:val="single" w:color="666666" w:sz="1"/>
            </w:tcBorders>
            <w:shd w:fill="3A5A7A"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color w:val="FFFFFF"/>
                <w:sz w:val="17"/>
                <w:szCs w:val="17"/>
              </w:rPr>
              <w:t xml:space="preserve">Without Oversampling</w:t>
            </w:r>
          </w:p>
        </w:tc>
        <w:tc>
          <w:tcPr>
            <w:tcW w:type="dxa" w:w="3360"/>
            <w:gridSpan w:val="3"/>
            <w:tcBorders>
              <w:top w:val="single" w:color="666666" w:sz="1"/>
              <w:left w:val="single" w:color="666666" w:sz="1"/>
              <w:bottom w:val="single" w:color="666666" w:sz="1"/>
              <w:right w:val="single" w:color="666666" w:sz="1"/>
            </w:tcBorders>
            <w:shd w:fill="1F3864" w:val="clear"/>
            <w:tcMar>
              <w:top w:type="dxa" w:w="60"/>
              <w:left w:type="dxa" w:w="80"/>
              <w:bottom w:type="dxa" w:w="60"/>
              <w:right w:type="dxa" w:w="80"/>
            </w:tcMar>
          </w:tcPr>
          <w:p>
            <w:pPr>
              <w:spacing w:after="0" w:before="0"/>
              <w:jc w:val="center"/>
            </w:pPr>
            <w:r>
              <w:rPr>
                <w:rFonts w:ascii="Times New Roman" w:cs="Times New Roman" w:eastAsia="Times New Roman" w:hAnsi="Times New Roman"/>
                <w:b/>
                <w:bCs/>
                <w:color w:val="FFFFFF"/>
                <w:sz w:val="17"/>
                <w:szCs w:val="17"/>
              </w:rPr>
              <w:t xml:space="preserve">With Oversampling</w:t>
            </w:r>
          </w:p>
        </w:tc>
      </w:tr>
      <w:tr>
        <w:tc>
          <w:tcPr>
            <w:tcW w:type="dxa" w:w="206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Models</w:t>
            </w:r>
          </w:p>
        </w:tc>
        <w:tc>
          <w:tcPr>
            <w:tcW w:type="dxa" w:w="98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F1</w:t>
            </w:r>
          </w:p>
        </w:tc>
        <w:tc>
          <w:tcPr>
            <w:tcW w:type="dxa" w:w="98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Recall</w:t>
            </w:r>
          </w:p>
        </w:tc>
        <w:tc>
          <w:tcPr>
            <w:tcW w:type="dxa" w:w="98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AUC</w:t>
            </w:r>
          </w:p>
        </w:tc>
        <w:tc>
          <w:tcPr>
            <w:tcW w:type="dxa" w:w="98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F1</w:t>
            </w:r>
          </w:p>
        </w:tc>
        <w:tc>
          <w:tcPr>
            <w:tcW w:type="dxa" w:w="98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Recall</w:t>
            </w:r>
          </w:p>
        </w:tc>
        <w:tc>
          <w:tcPr>
            <w:tcW w:type="dxa" w:w="140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AUC</w:t>
            </w:r>
          </w:p>
        </w:tc>
      </w:tr>
      <w:tr>
        <w:tc>
          <w:tcPr>
            <w:tcW w:type="dxa" w:w="206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Logistic Regression</w:t>
            </w:r>
          </w:p>
        </w:tc>
        <w:tc>
          <w:tcPr>
            <w:tcW w:type="dxa" w:w="98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0.8011</w:t>
            </w:r>
          </w:p>
        </w:tc>
        <w:tc>
          <w:tcPr>
            <w:tcW w:type="dxa" w:w="98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0.7799</w:t>
            </w:r>
          </w:p>
        </w:tc>
        <w:tc>
          <w:tcPr>
            <w:tcW w:type="dxa" w:w="98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0.9357</w:t>
            </w:r>
          </w:p>
        </w:tc>
        <w:tc>
          <w:tcPr>
            <w:tcW w:type="dxa" w:w="98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0.6957</w:t>
            </w:r>
          </w:p>
        </w:tc>
        <w:tc>
          <w:tcPr>
            <w:tcW w:type="dxa" w:w="98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0.9109</w:t>
            </w:r>
          </w:p>
        </w:tc>
        <w:tc>
          <w:tcPr>
            <w:tcW w:type="dxa" w:w="14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0.9364</w:t>
            </w:r>
          </w:p>
        </w:tc>
      </w:tr>
      <w:tr>
        <w:tc>
          <w:tcPr>
            <w:tcW w:type="dxa" w:w="206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Naive Bayes</w:t>
            </w:r>
          </w:p>
        </w:tc>
        <w:tc>
          <w:tcPr>
            <w:tcW w:type="dxa" w:w="98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0.7300</w:t>
            </w:r>
          </w:p>
        </w:tc>
        <w:tc>
          <w:tcPr>
            <w:tcW w:type="dxa" w:w="98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0.8663</w:t>
            </w:r>
          </w:p>
        </w:tc>
        <w:tc>
          <w:tcPr>
            <w:tcW w:type="dxa" w:w="98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0.9465</w:t>
            </w:r>
          </w:p>
        </w:tc>
        <w:tc>
          <w:tcPr>
            <w:tcW w:type="dxa" w:w="98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0.7049</w:t>
            </w:r>
          </w:p>
        </w:tc>
        <w:tc>
          <w:tcPr>
            <w:tcW w:type="dxa" w:w="98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0.9081</w:t>
            </w:r>
          </w:p>
        </w:tc>
        <w:tc>
          <w:tcPr>
            <w:tcW w:type="dxa" w:w="14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0.9466</w:t>
            </w:r>
          </w:p>
        </w:tc>
      </w:tr>
      <w:tr>
        <w:tc>
          <w:tcPr>
            <w:tcW w:type="dxa" w:w="206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KNN</w:t>
            </w:r>
          </w:p>
        </w:tc>
        <w:tc>
          <w:tcPr>
            <w:tcW w:type="dxa" w:w="98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0.9608</w:t>
            </w:r>
          </w:p>
        </w:tc>
        <w:tc>
          <w:tcPr>
            <w:tcW w:type="dxa" w:w="98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0.9554</w:t>
            </w:r>
          </w:p>
        </w:tc>
        <w:tc>
          <w:tcPr>
            <w:tcW w:type="dxa" w:w="98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0.9951</w:t>
            </w:r>
          </w:p>
        </w:tc>
        <w:tc>
          <w:tcPr>
            <w:tcW w:type="dxa" w:w="98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0.9440</w:t>
            </w:r>
          </w:p>
        </w:tc>
        <w:tc>
          <w:tcPr>
            <w:tcW w:type="dxa" w:w="98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0.9861</w:t>
            </w:r>
          </w:p>
        </w:tc>
        <w:tc>
          <w:tcPr>
            <w:tcW w:type="dxa" w:w="14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0.9948</w:t>
            </w:r>
          </w:p>
        </w:tc>
      </w:tr>
      <w:tr>
        <w:tc>
          <w:tcPr>
            <w:tcW w:type="dxa" w:w="206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Decision Tree</w:t>
            </w:r>
          </w:p>
        </w:tc>
        <w:tc>
          <w:tcPr>
            <w:tcW w:type="dxa" w:w="98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0.9632</w:t>
            </w:r>
          </w:p>
        </w:tc>
        <w:tc>
          <w:tcPr>
            <w:tcW w:type="dxa" w:w="98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0.9471</w:t>
            </w:r>
          </w:p>
        </w:tc>
        <w:tc>
          <w:tcPr>
            <w:tcW w:type="dxa" w:w="98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0.9915</w:t>
            </w:r>
          </w:p>
        </w:tc>
        <w:tc>
          <w:tcPr>
            <w:tcW w:type="dxa" w:w="98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0.9683</w:t>
            </w:r>
          </w:p>
        </w:tc>
        <w:tc>
          <w:tcPr>
            <w:tcW w:type="dxa" w:w="98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0.9777</w:t>
            </w:r>
          </w:p>
        </w:tc>
        <w:tc>
          <w:tcPr>
            <w:tcW w:type="dxa" w:w="14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0.9871</w:t>
            </w:r>
          </w:p>
        </w:tc>
      </w:tr>
      <w:tr>
        <w:tc>
          <w:tcPr>
            <w:tcW w:type="dxa" w:w="206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bCs/>
                <w:color w:val="000000"/>
                <w:sz w:val="18"/>
                <w:szCs w:val="18"/>
              </w:rPr>
              <w:t xml:space="preserve">Random Forest</w:t>
            </w:r>
          </w:p>
        </w:tc>
        <w:tc>
          <w:tcPr>
            <w:tcW w:type="dxa" w:w="98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0.9734</w:t>
            </w:r>
          </w:p>
        </w:tc>
        <w:tc>
          <w:tcPr>
            <w:tcW w:type="dxa" w:w="98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0.9694</w:t>
            </w:r>
          </w:p>
        </w:tc>
        <w:tc>
          <w:tcPr>
            <w:tcW w:type="dxa" w:w="98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0.9982</w:t>
            </w:r>
          </w:p>
        </w:tc>
        <w:tc>
          <w:tcPr>
            <w:tcW w:type="dxa" w:w="98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0.9765</w:t>
            </w:r>
          </w:p>
        </w:tc>
        <w:tc>
          <w:tcPr>
            <w:tcW w:type="dxa" w:w="98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0.9833</w:t>
            </w:r>
          </w:p>
        </w:tc>
        <w:tc>
          <w:tcPr>
            <w:tcW w:type="dxa" w:w="140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0.9980</w:t>
            </w:r>
          </w:p>
        </w:tc>
      </w:tr>
      <w:tr>
        <w:tc>
          <w:tcPr>
            <w:tcW w:type="dxa" w:w="206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SVM</w:t>
            </w:r>
          </w:p>
        </w:tc>
        <w:tc>
          <w:tcPr>
            <w:tcW w:type="dxa" w:w="98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0.9506</w:t>
            </w:r>
          </w:p>
        </w:tc>
        <w:tc>
          <w:tcPr>
            <w:tcW w:type="dxa" w:w="98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0.9387</w:t>
            </w:r>
          </w:p>
        </w:tc>
        <w:tc>
          <w:tcPr>
            <w:tcW w:type="dxa" w:w="98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0.9946</w:t>
            </w:r>
          </w:p>
        </w:tc>
        <w:tc>
          <w:tcPr>
            <w:tcW w:type="dxa" w:w="98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0.9326</w:t>
            </w:r>
          </w:p>
        </w:tc>
        <w:tc>
          <w:tcPr>
            <w:tcW w:type="dxa" w:w="98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0.9833</w:t>
            </w:r>
          </w:p>
        </w:tc>
        <w:tc>
          <w:tcPr>
            <w:tcW w:type="dxa" w:w="14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0.9948</w:t>
            </w:r>
          </w:p>
        </w:tc>
      </w:tr>
    </w:tbl>
    <w:p>
      <w:pPr>
        <w:spacing w:after="60" w:before="0"/>
      </w:pPr>
      <w:r>
        <w:rPr>
          <w:rFonts w:ascii="Times New Roman" w:cs="Times New Roman" w:eastAsia="Times New Roman" w:hAnsi="Times New Roman"/>
          <w:color w:val="000000"/>
          <w:sz w:val="20"/>
          <w:szCs w:val="20"/>
        </w:rPr>
        <w:t xml:space="preserve"/>
      </w:r>
    </w:p>
    <w:p>
      <w:pPr>
        <w:spacing w:after="40" w:before="80"/>
      </w:pPr>
      <w:r>
        <w:rPr>
          <w:rFonts w:ascii="Times New Roman" w:cs="Times New Roman" w:eastAsia="Times New Roman" w:hAnsi="Times New Roman"/>
          <w:color w:val="000000"/>
          <w:sz w:val="20"/>
          <w:szCs w:val="20"/>
        </w:rPr>
        <w:t xml:space="preserve">5.3. Full test set metrics with oversampling</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Table 4 presents the complete set of five metrics for all six models evaluated on the held-out test set with oversampling applied.</w:t>
      </w:r>
    </w:p>
    <w:p>
      <w:pPr>
        <w:spacing w:after="40" w:before="0"/>
      </w:pPr>
      <w:r>
        <w:rPr>
          <w:rFonts w:ascii="Times New Roman" w:cs="Times New Roman" w:eastAsia="Times New Roman" w:hAnsi="Times New Roman"/>
          <w:color w:val="000000"/>
          <w:sz w:val="20"/>
          <w:szCs w:val="20"/>
        </w:rPr>
        <w:t xml:space="preserve"/>
      </w:r>
    </w:p>
    <w:p>
      <w:pPr>
        <w:spacing w:after="40" w:before="0"/>
      </w:pPr>
      <w:r>
        <w:rPr>
          <w:rFonts w:ascii="Times New Roman" w:cs="Times New Roman" w:eastAsia="Times New Roman" w:hAnsi="Times New Roman"/>
          <w:b/>
          <w:bCs/>
          <w:color w:val="000000"/>
          <w:sz w:val="20"/>
          <w:szCs w:val="20"/>
        </w:rPr>
        <w:t xml:space="preserve">Table 4. </w:t>
      </w:r>
      <w:r>
        <w:rPr>
          <w:rFonts w:ascii="Times New Roman" w:cs="Times New Roman" w:eastAsia="Times New Roman" w:hAnsi="Times New Roman"/>
          <w:color w:val="000000"/>
          <w:sz w:val="20"/>
          <w:szCs w:val="20"/>
        </w:rPr>
        <w:t xml:space="preserve">Full test set performance metrics with oversampling (n = 2,803)</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060"/>
        <w:gridCol w:w="1100"/>
        <w:gridCol w:w="1100"/>
        <w:gridCol w:w="1100"/>
        <w:gridCol w:w="1100"/>
        <w:gridCol w:w="1300"/>
      </w:tblGrid>
      <w:tr>
        <w:tc>
          <w:tcPr>
            <w:tcW w:type="dxa" w:w="206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Model</w:t>
            </w:r>
          </w:p>
        </w:tc>
        <w:tc>
          <w:tcPr>
            <w:tcW w:type="dxa" w:w="110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Accuracy</w:t>
            </w:r>
          </w:p>
        </w:tc>
        <w:tc>
          <w:tcPr>
            <w:tcW w:type="dxa" w:w="110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Precision</w:t>
            </w:r>
          </w:p>
        </w:tc>
        <w:tc>
          <w:tcPr>
            <w:tcW w:type="dxa" w:w="110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Recall</w:t>
            </w:r>
          </w:p>
        </w:tc>
        <w:tc>
          <w:tcPr>
            <w:tcW w:type="dxa" w:w="110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F1-Score</w:t>
            </w:r>
          </w:p>
        </w:tc>
        <w:tc>
          <w:tcPr>
            <w:tcW w:type="dxa" w:w="130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AUC-ROC</w:t>
            </w:r>
          </w:p>
        </w:tc>
      </w:tr>
      <w:tr>
        <w:tc>
          <w:tcPr>
            <w:tcW w:type="dxa" w:w="206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Logistic Regression</w:t>
            </w:r>
          </w:p>
        </w:tc>
        <w:tc>
          <w:tcPr>
            <w:tcW w:type="dxa" w:w="11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0.8980</w:t>
            </w:r>
          </w:p>
        </w:tc>
        <w:tc>
          <w:tcPr>
            <w:tcW w:type="dxa" w:w="11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0.5628</w:t>
            </w:r>
          </w:p>
        </w:tc>
        <w:tc>
          <w:tcPr>
            <w:tcW w:type="dxa" w:w="11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0.9109</w:t>
            </w:r>
          </w:p>
        </w:tc>
        <w:tc>
          <w:tcPr>
            <w:tcW w:type="dxa" w:w="11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0.6957</w:t>
            </w:r>
          </w:p>
        </w:tc>
        <w:tc>
          <w:tcPr>
            <w:tcW w:type="dxa" w:w="13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0.9364</w:t>
            </w:r>
          </w:p>
        </w:tc>
      </w:tr>
      <w:tr>
        <w:tc>
          <w:tcPr>
            <w:tcW w:type="dxa" w:w="206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Naive Bayes</w:t>
            </w:r>
          </w:p>
        </w:tc>
        <w:tc>
          <w:tcPr>
            <w:tcW w:type="dxa" w:w="11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0.9026</w:t>
            </w:r>
          </w:p>
        </w:tc>
        <w:tc>
          <w:tcPr>
            <w:tcW w:type="dxa" w:w="11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0.5760</w:t>
            </w:r>
          </w:p>
        </w:tc>
        <w:tc>
          <w:tcPr>
            <w:tcW w:type="dxa" w:w="11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0.9081</w:t>
            </w:r>
          </w:p>
        </w:tc>
        <w:tc>
          <w:tcPr>
            <w:tcW w:type="dxa" w:w="11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0.7049</w:t>
            </w:r>
          </w:p>
        </w:tc>
        <w:tc>
          <w:tcPr>
            <w:tcW w:type="dxa" w:w="13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0.9466</w:t>
            </w:r>
          </w:p>
        </w:tc>
      </w:tr>
      <w:tr>
        <w:tc>
          <w:tcPr>
            <w:tcW w:type="dxa" w:w="206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KNN</w:t>
            </w:r>
          </w:p>
        </w:tc>
        <w:tc>
          <w:tcPr>
            <w:tcW w:type="dxa" w:w="11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0.9850</w:t>
            </w:r>
          </w:p>
        </w:tc>
        <w:tc>
          <w:tcPr>
            <w:tcW w:type="dxa" w:w="11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0.9054</w:t>
            </w:r>
          </w:p>
        </w:tc>
        <w:tc>
          <w:tcPr>
            <w:tcW w:type="dxa" w:w="11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0.9861</w:t>
            </w:r>
          </w:p>
        </w:tc>
        <w:tc>
          <w:tcPr>
            <w:tcW w:type="dxa" w:w="11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0.9440</w:t>
            </w:r>
          </w:p>
        </w:tc>
        <w:tc>
          <w:tcPr>
            <w:tcW w:type="dxa" w:w="13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0.9948</w:t>
            </w:r>
          </w:p>
        </w:tc>
      </w:tr>
      <w:tr>
        <w:tc>
          <w:tcPr>
            <w:tcW w:type="dxa" w:w="206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Decision Tree</w:t>
            </w:r>
          </w:p>
        </w:tc>
        <w:tc>
          <w:tcPr>
            <w:tcW w:type="dxa" w:w="11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0.9918</w:t>
            </w:r>
          </w:p>
        </w:tc>
        <w:tc>
          <w:tcPr>
            <w:tcW w:type="dxa" w:w="11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0.9590</w:t>
            </w:r>
          </w:p>
        </w:tc>
        <w:tc>
          <w:tcPr>
            <w:tcW w:type="dxa" w:w="11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0.9777</w:t>
            </w:r>
          </w:p>
        </w:tc>
        <w:tc>
          <w:tcPr>
            <w:tcW w:type="dxa" w:w="11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0.9683</w:t>
            </w:r>
          </w:p>
        </w:tc>
        <w:tc>
          <w:tcPr>
            <w:tcW w:type="dxa" w:w="13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0.9871</w:t>
            </w:r>
          </w:p>
        </w:tc>
      </w:tr>
      <w:tr>
        <w:tc>
          <w:tcPr>
            <w:tcW w:type="dxa" w:w="206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bCs/>
                <w:color w:val="000000"/>
                <w:sz w:val="18"/>
                <w:szCs w:val="18"/>
              </w:rPr>
              <w:t xml:space="preserve">Random Forest</w:t>
            </w:r>
          </w:p>
        </w:tc>
        <w:tc>
          <w:tcPr>
            <w:tcW w:type="dxa" w:w="110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0.9939</w:t>
            </w:r>
          </w:p>
        </w:tc>
        <w:tc>
          <w:tcPr>
            <w:tcW w:type="dxa" w:w="110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0.9698</w:t>
            </w:r>
          </w:p>
        </w:tc>
        <w:tc>
          <w:tcPr>
            <w:tcW w:type="dxa" w:w="110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0.9833</w:t>
            </w:r>
          </w:p>
        </w:tc>
        <w:tc>
          <w:tcPr>
            <w:tcW w:type="dxa" w:w="110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0.9765</w:t>
            </w:r>
          </w:p>
        </w:tc>
        <w:tc>
          <w:tcPr>
            <w:tcW w:type="dxa" w:w="130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0.9980</w:t>
            </w:r>
          </w:p>
        </w:tc>
      </w:tr>
      <w:tr>
        <w:tc>
          <w:tcPr>
            <w:tcW w:type="dxa" w:w="206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SVM</w:t>
            </w:r>
          </w:p>
        </w:tc>
        <w:tc>
          <w:tcPr>
            <w:tcW w:type="dxa" w:w="11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0.9818</w:t>
            </w:r>
          </w:p>
        </w:tc>
        <w:tc>
          <w:tcPr>
            <w:tcW w:type="dxa" w:w="11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0.8869</w:t>
            </w:r>
          </w:p>
        </w:tc>
        <w:tc>
          <w:tcPr>
            <w:tcW w:type="dxa" w:w="11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0.9833</w:t>
            </w:r>
          </w:p>
        </w:tc>
        <w:tc>
          <w:tcPr>
            <w:tcW w:type="dxa" w:w="11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0.9326</w:t>
            </w:r>
          </w:p>
        </w:tc>
        <w:tc>
          <w:tcPr>
            <w:tcW w:type="dxa" w:w="13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0.9948</w:t>
            </w:r>
          </w:p>
        </w:tc>
      </w:tr>
    </w:tbl>
    <w:p>
      <w:pPr>
        <w:spacing w:after="60" w:before="0"/>
      </w:pPr>
      <w:r>
        <w:rPr>
          <w:rFonts w:ascii="Times New Roman" w:cs="Times New Roman" w:eastAsia="Times New Roman" w:hAnsi="Times New Roman"/>
          <w:color w:val="000000"/>
          <w:sz w:val="20"/>
          <w:szCs w:val="20"/>
        </w:rPr>
        <w:t xml:space="preserve"/>
      </w:r>
    </w:p>
    <w:p>
      <w:pPr>
        <w:spacing w:after="40" w:before="80"/>
      </w:pPr>
      <w:r>
        <w:rPr>
          <w:rFonts w:ascii="Times New Roman" w:cs="Times New Roman" w:eastAsia="Times New Roman" w:hAnsi="Times New Roman"/>
          <w:color w:val="000000"/>
          <w:sz w:val="20"/>
          <w:szCs w:val="20"/>
        </w:rPr>
        <w:t xml:space="preserve">5.4. Random Forest performance</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Random Forest achieves Accuracy 0.9939, Precision 0.9698, Recall 0.9833, F1-Score 0.9765, and AUC-ROC 0.9980 — the best overall profile across all five metrics. The learning curve shows training and cross-validation scores converging near 0.998, confirming no overfitting. Table 5 presents the confusion matrix.</w:t>
      </w:r>
    </w:p>
    <w:p>
      <w:pPr>
        <w:spacing w:after="40" w:before="0"/>
      </w:pPr>
      <w:r>
        <w:rPr>
          <w:rFonts w:ascii="Times New Roman" w:cs="Times New Roman" w:eastAsia="Times New Roman" w:hAnsi="Times New Roman"/>
          <w:color w:val="000000"/>
          <w:sz w:val="20"/>
          <w:szCs w:val="20"/>
        </w:rPr>
        <w:t xml:space="preserve"/>
      </w:r>
    </w:p>
    <w:p>
      <w:pPr>
        <w:spacing w:after="40" w:before="0"/>
      </w:pPr>
      <w:r>
        <w:rPr>
          <w:rFonts w:ascii="Times New Roman" w:cs="Times New Roman" w:eastAsia="Times New Roman" w:hAnsi="Times New Roman"/>
          <w:b/>
          <w:bCs/>
          <w:color w:val="000000"/>
          <w:sz w:val="20"/>
          <w:szCs w:val="20"/>
        </w:rPr>
        <w:t xml:space="preserve">Table 5. </w:t>
      </w:r>
      <w:r>
        <w:rPr>
          <w:rFonts w:ascii="Times New Roman" w:cs="Times New Roman" w:eastAsia="Times New Roman" w:hAnsi="Times New Roman"/>
          <w:color w:val="000000"/>
          <w:sz w:val="20"/>
          <w:szCs w:val="20"/>
        </w:rPr>
        <w:t xml:space="preserve">Confusion matrix — Random Forest with oversampling (test set, n = 2,803)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0"/>
                <w:szCs w:val="20"/>
              </w:rPr>
              <w:t xml:space="preserve"/>
            </w:r>
          </w:p>
        </w:tc>
        <w:tc>
          <w:tcPr>
            <w:tcW w:type="dxa" w:w="2400"/>
            <w:tcBorders>
              <w:top w:val="single" w:color="888888" w:sz="1"/>
              <w:left w:val="single" w:color="888888" w:sz="1"/>
              <w:bottom w:val="single" w:color="888888" w:sz="1"/>
              <w:right w:val="single" w:color="888888" w:sz="1"/>
            </w:tcBorders>
            <w:shd w:fill="2E4057"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FFFFFF"/>
                <w:sz w:val="20"/>
                <w:szCs w:val="20"/>
              </w:rPr>
              <w:t xml:space="preserve">Predicted: Normal</w:t>
            </w:r>
          </w:p>
        </w:tc>
        <w:tc>
          <w:tcPr>
            <w:tcW w:type="dxa" w:w="2400"/>
            <w:tcBorders>
              <w:top w:val="single" w:color="888888" w:sz="1"/>
              <w:left w:val="single" w:color="888888" w:sz="1"/>
              <w:bottom w:val="single" w:color="888888" w:sz="1"/>
              <w:right w:val="single" w:color="888888" w:sz="1"/>
            </w:tcBorders>
            <w:shd w:fill="2E4057"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FFFFFF"/>
                <w:sz w:val="20"/>
                <w:szCs w:val="20"/>
              </w:rPr>
              <w:t xml:space="preserve">Predicted: Anomaly</w:t>
            </w:r>
          </w:p>
        </w:tc>
        <w:tc>
          <w:tcPr>
            <w:tcW w:type="dxa" w:w="2760"/>
            <w:tcBorders>
              <w:top w:val="single" w:color="888888" w:sz="1"/>
              <w:left w:val="single" w:color="888888" w:sz="1"/>
              <w:bottom w:val="single" w:color="888888" w:sz="1"/>
              <w:right w:val="single" w:color="888888" w:sz="1"/>
            </w:tcBorders>
            <w:shd w:fill="2E4057"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FFFFFF"/>
                <w:sz w:val="20"/>
                <w:szCs w:val="20"/>
              </w:rPr>
              <w:t xml:space="preserve">Class Totals</w:t>
            </w:r>
          </w:p>
        </w:tc>
      </w:tr>
      <w:tr>
        <w:tc>
          <w:tcPr>
            <w:tcW w:type="dxa" w:w="1800"/>
            <w:tcBorders>
              <w:top w:val="single" w:color="888888" w:sz="1"/>
              <w:left w:val="single" w:color="888888" w:sz="1"/>
              <w:bottom w:val="single" w:color="888888" w:sz="1"/>
              <w:right w:val="single" w:color="888888" w:sz="1"/>
            </w:tcBorders>
            <w:shd w:fill="2E4057"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FFFFFF"/>
                <w:sz w:val="20"/>
                <w:szCs w:val="20"/>
              </w:rPr>
              <w:t xml:space="preserve">True: Normal</w:t>
            </w:r>
          </w:p>
        </w:tc>
        <w:tc>
          <w:tcPr>
            <w:tcW w:type="dxa" w:w="24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0"/>
                <w:szCs w:val="20"/>
              </w:rPr>
              <w:t xml:space="preserve">2,433</w:t>
            </w:r>
          </w:p>
        </w:tc>
        <w:tc>
          <w:tcPr>
            <w:tcW w:type="dxa" w:w="2400"/>
            <w:tcBorders>
              <w:top w:val="single" w:color="888888" w:sz="1"/>
              <w:left w:val="single" w:color="888888" w:sz="1"/>
              <w:bottom w:val="single" w:color="888888" w:sz="1"/>
              <w:right w:val="single" w:color="888888" w:sz="1"/>
            </w:tcBorders>
            <w:shd w:fill="FFF3CD"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0"/>
                <w:szCs w:val="20"/>
              </w:rPr>
              <w:t xml:space="preserve">11</w:t>
            </w:r>
          </w:p>
        </w:tc>
        <w:tc>
          <w:tcPr>
            <w:tcW w:type="dxa" w:w="2760"/>
            <w:tcBorders>
              <w:top w:val="single" w:color="888888" w:sz="1"/>
              <w:left w:val="single" w:color="888888" w:sz="1"/>
              <w:bottom w:val="single" w:color="888888" w:sz="1"/>
              <w:right w:val="single" w:color="888888" w:sz="1"/>
            </w:tcBorders>
            <w:shd w:fill="F5F5F5"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0"/>
                <w:szCs w:val="20"/>
              </w:rPr>
              <w:t xml:space="preserve">2,444</w:t>
            </w:r>
          </w:p>
        </w:tc>
      </w:tr>
      <w:tr>
        <w:tc>
          <w:tcPr>
            <w:tcW w:type="dxa" w:w="1800"/>
            <w:tcBorders>
              <w:top w:val="single" w:color="888888" w:sz="1"/>
              <w:left w:val="single" w:color="888888" w:sz="1"/>
              <w:bottom w:val="single" w:color="888888" w:sz="1"/>
              <w:right w:val="single" w:color="888888" w:sz="1"/>
            </w:tcBorders>
            <w:shd w:fill="2E4057"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FFFFFF"/>
                <w:sz w:val="20"/>
                <w:szCs w:val="20"/>
              </w:rPr>
              <w:t xml:space="preserve">True: Anomaly</w:t>
            </w:r>
          </w:p>
        </w:tc>
        <w:tc>
          <w:tcPr>
            <w:tcW w:type="dxa" w:w="2400"/>
            <w:tcBorders>
              <w:top w:val="single" w:color="888888" w:sz="1"/>
              <w:left w:val="single" w:color="888888" w:sz="1"/>
              <w:bottom w:val="single" w:color="888888" w:sz="1"/>
              <w:right w:val="single" w:color="888888" w:sz="1"/>
            </w:tcBorders>
            <w:shd w:fill="FCECEA"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0"/>
                <w:szCs w:val="20"/>
              </w:rPr>
              <w:t xml:space="preserve">6</w:t>
            </w:r>
          </w:p>
        </w:tc>
        <w:tc>
          <w:tcPr>
            <w:tcW w:type="dxa" w:w="2400"/>
            <w:tcBorders>
              <w:top w:val="single" w:color="888888" w:sz="1"/>
              <w:left w:val="single" w:color="888888" w:sz="1"/>
              <w:bottom w:val="single" w:color="888888" w:sz="1"/>
              <w:right w:val="single" w:color="888888" w:sz="1"/>
            </w:tcBorders>
            <w:shd w:fill="E8F4E8"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0"/>
                <w:szCs w:val="20"/>
              </w:rPr>
              <w:t xml:space="preserve">353</w:t>
            </w:r>
          </w:p>
        </w:tc>
        <w:tc>
          <w:tcPr>
            <w:tcW w:type="dxa" w:w="2760"/>
            <w:tcBorders>
              <w:top w:val="single" w:color="888888" w:sz="1"/>
              <w:left w:val="single" w:color="888888" w:sz="1"/>
              <w:bottom w:val="single" w:color="888888" w:sz="1"/>
              <w:right w:val="single" w:color="888888" w:sz="1"/>
            </w:tcBorders>
            <w:shd w:fill="F5F5F5"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0"/>
                <w:szCs w:val="20"/>
              </w:rPr>
              <w:t xml:space="preserve">359</w:t>
            </w:r>
          </w:p>
        </w:tc>
      </w:tr>
      <w:tr>
        <w:tc>
          <w:tcPr>
            <w:tcW w:type="dxa" w:w="18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0"/>
                <w:szCs w:val="20"/>
              </w:rPr>
              <w:t xml:space="preserve">Pred. Totals</w:t>
            </w:r>
          </w:p>
        </w:tc>
        <w:tc>
          <w:tcPr>
            <w:tcW w:type="dxa" w:w="24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0"/>
                <w:szCs w:val="20"/>
              </w:rPr>
              <w:t xml:space="preserve">2,439</w:t>
            </w:r>
          </w:p>
        </w:tc>
        <w:tc>
          <w:tcPr>
            <w:tcW w:type="dxa" w:w="240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0"/>
                <w:szCs w:val="20"/>
              </w:rPr>
              <w:t xml:space="preserve">364</w:t>
            </w:r>
          </w:p>
        </w:tc>
        <w:tc>
          <w:tcPr>
            <w:tcW w:type="dxa" w:w="2760"/>
            <w:tcBorders>
              <w:top w:val="single" w:color="888888" w:sz="1"/>
              <w:left w:val="single" w:color="888888" w:sz="1"/>
              <w:bottom w:val="single" w:color="888888" w:sz="1"/>
              <w:right w:val="single" w:color="888888" w:sz="1"/>
            </w:tcBorders>
            <w:shd w:fill="F0F0F0"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0"/>
                <w:szCs w:val="20"/>
              </w:rPr>
              <w:t xml:space="preserve">2,803 total</w:t>
            </w:r>
          </w:p>
        </w:tc>
      </w:tr>
    </w:tbl>
    <w:p>
      <w:pPr>
        <w:spacing w:after="60" w:before="0"/>
      </w:pPr>
      <w:r>
        <w:rPr>
          <w:rFonts w:ascii="Times New Roman" w:cs="Times New Roman" w:eastAsia="Times New Roman" w:hAnsi="Times New Roman"/>
          <w:color w:val="000000"/>
          <w:sz w:val="20"/>
          <w:szCs w:val="20"/>
        </w:rPr>
        <w:t xml:space="preserve"/>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Random Forest produces only 6 false negatives (missed attacks) and 11 false positives out of 2,803 test samples — 17 total misclassifications. The false negative count of 6 is the operationally critical metric for IDS: each false negative is an undetected attack. Random Forest reduces this count compared to all other models.</w:t>
      </w:r>
    </w:p>
    <w:p>
      <w:pPr>
        <w:spacing w:after="40" w:before="80"/>
      </w:pPr>
      <w:r>
        <w:rPr>
          <w:rFonts w:ascii="Times New Roman" w:cs="Times New Roman" w:eastAsia="Times New Roman" w:hAnsi="Times New Roman"/>
          <w:color w:val="000000"/>
          <w:sz w:val="20"/>
          <w:szCs w:val="20"/>
        </w:rPr>
        <w:t xml:space="preserve">5.5. Feature importance</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Table 6 presents the Gini feature importance from the Random Forest model. The top four features account for 76.6% of predictive signal, confirming that a compact model using only these features would achieve near-equivalent performance with lower computational cost.</w:t>
      </w:r>
    </w:p>
    <w:p>
      <w:pPr>
        <w:spacing w:after="40" w:before="0"/>
      </w:pPr>
      <w:r>
        <w:rPr>
          <w:rFonts w:ascii="Times New Roman" w:cs="Times New Roman" w:eastAsia="Times New Roman" w:hAnsi="Times New Roman"/>
          <w:color w:val="000000"/>
          <w:sz w:val="20"/>
          <w:szCs w:val="20"/>
        </w:rPr>
        <w:t xml:space="preserve"/>
      </w:r>
    </w:p>
    <w:p>
      <w:pPr>
        <w:spacing w:after="40" w:before="0"/>
      </w:pPr>
      <w:r>
        <w:rPr>
          <w:rFonts w:ascii="Times New Roman" w:cs="Times New Roman" w:eastAsia="Times New Roman" w:hAnsi="Times New Roman"/>
          <w:b/>
          <w:bCs/>
          <w:color w:val="000000"/>
          <w:sz w:val="20"/>
          <w:szCs w:val="20"/>
        </w:rPr>
        <w:t xml:space="preserve">Table 6. </w:t>
      </w:r>
      <w:r>
        <w:rPr>
          <w:rFonts w:ascii="Times New Roman" w:cs="Times New Roman" w:eastAsia="Times New Roman" w:hAnsi="Times New Roman"/>
          <w:color w:val="000000"/>
          <w:sz w:val="20"/>
          <w:szCs w:val="20"/>
        </w:rPr>
        <w:t xml:space="preserve">Random Forest feature importances (Gini) with domain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Feature</w:t>
            </w:r>
          </w:p>
        </w:tc>
        <w:tc>
          <w:tcPr>
            <w:tcW w:type="dxa" w:w="200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Gini Importance</w:t>
            </w:r>
          </w:p>
        </w:tc>
        <w:tc>
          <w:tcPr>
            <w:tcW w:type="dxa" w:w="4560"/>
            <w:tcBorders>
              <w:top w:val="single" w:color="666666" w:sz="1"/>
              <w:left w:val="single" w:color="666666" w:sz="1"/>
              <w:bottom w:val="single" w:color="666666" w:sz="1"/>
              <w:right w:val="single" w:color="666666" w:sz="1"/>
            </w:tcBorders>
            <w:shd w:fill="2E4057" w:val="clear"/>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FFFFFF"/>
                <w:sz w:val="17"/>
                <w:szCs w:val="17"/>
              </w:rPr>
              <w:t xml:space="preserve">Interpretation</w:t>
            </w:r>
          </w:p>
        </w:tc>
      </w:tr>
      <w:tr>
        <w:tc>
          <w:tcPr>
            <w:tcW w:type="dxa" w:w="280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bCs/>
                <w:color w:val="000000"/>
                <w:sz w:val="18"/>
                <w:szCs w:val="18"/>
              </w:rPr>
              <w:t xml:space="preserve">log_bwd_bytes</w:t>
            </w:r>
          </w:p>
        </w:tc>
        <w:tc>
          <w:tcPr>
            <w:tcW w:type="dxa" w:w="200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32.0%</w:t>
            </w:r>
          </w:p>
        </w:tc>
        <w:tc>
          <w:tcPr>
            <w:tcW w:type="dxa" w:w="456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Backward byte volume — strongest attack signal</w:t>
            </w:r>
          </w:p>
        </w:tc>
      </w:tr>
      <w:tr>
        <w:tc>
          <w:tcPr>
            <w:tcW w:type="dxa" w:w="280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bCs/>
                <w:color w:val="000000"/>
                <w:sz w:val="18"/>
                <w:szCs w:val="18"/>
              </w:rPr>
              <w:t xml:space="preserve">log_fwd_bytes</w:t>
            </w:r>
          </w:p>
        </w:tc>
        <w:tc>
          <w:tcPr>
            <w:tcW w:type="dxa" w:w="200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25.7%</w:t>
            </w:r>
          </w:p>
        </w:tc>
        <w:tc>
          <w:tcPr>
            <w:tcW w:type="dxa" w:w="456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Forward byte volume — flood attacks send massive data</w:t>
            </w:r>
          </w:p>
        </w:tc>
      </w:tr>
      <w:tr>
        <w:tc>
          <w:tcPr>
            <w:tcW w:type="dxa" w:w="280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bCs/>
                <w:color w:val="000000"/>
                <w:sz w:val="18"/>
                <w:szCs w:val="18"/>
              </w:rPr>
              <w:t xml:space="preserve">log_avg_packet_size</w:t>
            </w:r>
          </w:p>
        </w:tc>
        <w:tc>
          <w:tcPr>
            <w:tcW w:type="dxa" w:w="200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18.9%</w:t>
            </w:r>
          </w:p>
        </w:tc>
        <w:tc>
          <w:tcPr>
            <w:tcW w:type="dxa" w:w="456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Small packets indicate flooding; large = data exfil</w:t>
            </w:r>
          </w:p>
        </w:tc>
      </w:tr>
      <w:tr>
        <w:tc>
          <w:tcPr>
            <w:tcW w:type="dxa" w:w="280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bCs/>
                <w:color w:val="000000"/>
                <w:sz w:val="18"/>
                <w:szCs w:val="18"/>
              </w:rPr>
              <w:t xml:space="preserve">service_state</w:t>
            </w:r>
          </w:p>
        </w:tc>
        <w:tc>
          <w:tcPr>
            <w:tcW w:type="dxa" w:w="200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12.2%</w:t>
            </w:r>
          </w:p>
        </w:tc>
        <w:tc>
          <w:tcPr>
            <w:tcW w:type="dxa" w:w="4560"/>
            <w:tcBorders>
              <w:top w:val="single" w:color="BBBBBB" w:sz="1"/>
              <w:left w:val="single" w:color="BBBBBB" w:sz="1"/>
              <w:bottom w:val="single" w:color="BBBBBB" w:sz="1"/>
              <w:right w:val="single" w:color="BBBBBB" w:sz="1"/>
            </w:tcBorders>
            <w:shd w:fill="E8F4E8"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Protocol/flag combo (e.g., private_s0 = SYN flood)</w:t>
            </w:r>
          </w:p>
        </w:tc>
      </w:tr>
      <w:tr>
        <w:tc>
          <w:tcPr>
            <w:tcW w:type="dxa" w:w="28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protocol</w:t>
            </w:r>
          </w:p>
        </w:tc>
        <w:tc>
          <w:tcPr>
            <w:tcW w:type="dxa" w:w="20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4.9%</w:t>
            </w:r>
          </w:p>
        </w:tc>
        <w:tc>
          <w:tcPr>
            <w:tcW w:type="dxa" w:w="456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Protocol type: tcp / udp / icmp</w:t>
            </w:r>
          </w:p>
        </w:tc>
      </w:tr>
      <w:tr>
        <w:tc>
          <w:tcPr>
            <w:tcW w:type="dxa" w:w="28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log_byte_rate</w:t>
            </w:r>
          </w:p>
        </w:tc>
        <w:tc>
          <w:tcPr>
            <w:tcW w:type="dxa" w:w="20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2.2%</w:t>
            </w:r>
          </w:p>
        </w:tc>
        <w:tc>
          <w:tcPr>
            <w:tcW w:type="dxa" w:w="456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Bytes per second</w:t>
            </w:r>
          </w:p>
        </w:tc>
      </w:tr>
      <w:tr>
        <w:tc>
          <w:tcPr>
            <w:tcW w:type="dxa" w:w="28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log_packet_rate</w:t>
            </w:r>
          </w:p>
        </w:tc>
        <w:tc>
          <w:tcPr>
            <w:tcW w:type="dxa" w:w="200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2.1%</w:t>
            </w:r>
          </w:p>
        </w:tc>
        <w:tc>
          <w:tcPr>
            <w:tcW w:type="dxa" w:w="4560"/>
            <w:tcBorders>
              <w:top w:val="single" w:color="BBBBBB" w:sz="1"/>
              <w:left w:val="single" w:color="BBBBBB" w:sz="1"/>
              <w:bottom w:val="single" w:color="BBBBBB" w:sz="1"/>
              <w:right w:val="single" w:color="BBBBBB" w:sz="1"/>
            </w:tcBorders>
            <w:shd w:fill="F5F5F5"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Connection rate proxy</w:t>
            </w:r>
          </w:p>
        </w:tc>
      </w:tr>
      <w:tr>
        <w:tc>
          <w:tcPr>
            <w:tcW w:type="dxa" w:w="28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log_flow_duration</w:t>
            </w:r>
          </w:p>
        </w:tc>
        <w:tc>
          <w:tcPr>
            <w:tcW w:type="dxa" w:w="200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center"/>
            </w:pPr>
            <w:r>
              <w:rPr>
                <w:rFonts w:ascii="Times New Roman" w:cs="Times New Roman" w:eastAsia="Times New Roman" w:hAnsi="Times New Roman"/>
                <w:b w:val="false"/>
                <w:bCs w:val="false"/>
                <w:color w:val="000000"/>
                <w:sz w:val="18"/>
                <w:szCs w:val="18"/>
              </w:rPr>
              <w:t xml:space="preserve">2.0%</w:t>
            </w:r>
          </w:p>
        </w:tc>
        <w:tc>
          <w:tcPr>
            <w:tcW w:type="dxa" w:w="4560"/>
            <w:tcBorders>
              <w:top w:val="single" w:color="BBBBBB" w:sz="1"/>
              <w:left w:val="single" w:color="BBBBBB" w:sz="1"/>
              <w:bottom w:val="single" w:color="BBBBBB" w:sz="1"/>
              <w:right w:val="single" w:color="BBBBBB" w:sz="1"/>
            </w:tcBorders>
            <w:shd w:fill="FFFFFF" w:val="clear"/>
            <w:tcMar>
              <w:top w:type="dxa" w:w="55"/>
              <w:left w:type="dxa" w:w="80"/>
              <w:bottom w:type="dxa" w:w="55"/>
              <w:right w:type="dxa" w:w="80"/>
            </w:tcMar>
            <w:vAlign w:val="center"/>
          </w:tcPr>
          <w:p>
            <w:pPr>
              <w:spacing w:after="0" w:before="0"/>
              <w:jc w:val="left"/>
            </w:pPr>
            <w:r>
              <w:rPr>
                <w:rFonts w:ascii="Times New Roman" w:cs="Times New Roman" w:eastAsia="Times New Roman" w:hAnsi="Times New Roman"/>
                <w:b w:val="false"/>
                <w:bCs w:val="false"/>
                <w:color w:val="000000"/>
                <w:sz w:val="18"/>
                <w:szCs w:val="18"/>
              </w:rPr>
              <w:t xml:space="preserve">Connection duration</w:t>
            </w:r>
          </w:p>
        </w:tc>
      </w:tr>
    </w:tbl>
    <w:p>
      <w:pPr>
        <w:spacing w:after="60" w:before="0"/>
      </w:pPr>
      <w:r>
        <w:rPr>
          <w:rFonts w:ascii="Times New Roman" w:cs="Times New Roman" w:eastAsia="Times New Roman" w:hAnsi="Times New Roman"/>
          <w:color w:val="000000"/>
          <w:sz w:val="20"/>
          <w:szCs w:val="20"/>
        </w:rPr>
        <w:t xml:space="preserve"/>
      </w:r>
    </w:p>
    <w:p>
      <w:pPr>
        <w:spacing w:after="40" w:before="80"/>
      </w:pPr>
      <w:r>
        <w:rPr>
          <w:rFonts w:ascii="Times New Roman" w:cs="Times New Roman" w:eastAsia="Times New Roman" w:hAnsi="Times New Roman"/>
          <w:color w:val="000000"/>
          <w:sz w:val="20"/>
          <w:szCs w:val="20"/>
        </w:rPr>
        <w:t xml:space="preserve">5.6. Technique performance comparison</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Comparing all models with oversampling, Random Forest is superior on F1-Score (0.9765) and AUC-ROC (0.9980). KNN achieves the highest Recall (0.9861) at the cost of lower Precision (0.9054), reflecting more false positives (37 vs 11). For high-security IDS deployments where missed attacks are catastrophic, KNN recall may be preferable; for lower false-alarm-rate environments, Random Forest precision and F1-Score are superior. Logistic Regression and Naive Bayes confirm that the data is not linearly/probabilistically separable and require non-linear approaches for adequate anomaly detection.</w:t>
      </w:r>
    </w:p>
    <w:p>
      <w:pPr>
        <w:spacing w:after="60" w:before="120"/>
      </w:pPr>
      <w:r>
        <w:rPr>
          <w:rFonts w:ascii="Times New Roman" w:cs="Times New Roman" w:eastAsia="Times New Roman" w:hAnsi="Times New Roman"/>
          <w:b/>
          <w:bCs/>
          <w:color w:val="000000"/>
          <w:sz w:val="20"/>
          <w:szCs w:val="20"/>
        </w:rPr>
        <w:t xml:space="preserve">6)  Conclusions and Future Work</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This study employed six machine learning classifiers with and without random oversampling for binary network intrusion detection on the NSL-KDD dataset, accessed from a MySQL database using the same connection pattern established in the CAP 4770/6771 course infrastructure. Preprocessing followed the NSL_KDD_PreProcess.ipynb and Cleaning.ipynb pipeline: five zero-variance features were removed, log transformation was applied, categorical features were label-encoded, and sklearn.utils.resample balanced the 9.4:1 class imbalance.</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The empirical results show that Random Forest with oversampling provides the best overall performance: Accuracy 99.39%, F1-Score 0.9765, AUC-ROC 0.9980, with only 17 total misclassifications on 2,803 test samples. The top four features — log_bwd_bytes, log_fwd_bytes, log_avg_packet_size, and service_state — account for 76.6% of predictive importance, confirming that byte volume and protocol misuse patterns are the primary signatures of NSL-KDD attack traffic.</w:t>
      </w:r>
    </w:p>
    <w:p>
      <w:pPr>
        <w:spacing w:after="40" w:before="40" w:line="276" w:lineRule="auto"/>
        <w:ind w:firstLine="720"/>
        <w:jc w:val="both"/>
      </w:pPr>
      <w:r>
        <w:rPr>
          <w:rFonts w:ascii="Times New Roman" w:cs="Times New Roman" w:eastAsia="Times New Roman" w:hAnsi="Times New Roman"/>
          <w:b w:val="false"/>
          <w:bCs w:val="false"/>
          <w:color w:val="000000"/>
          <w:sz w:val="20"/>
          <w:szCs w:val="20"/>
        </w:rPr>
        <w:t xml:space="preserve">Future work should: (1) extend to multiclass classification using the original NSL-KDD attack-type labels (DoS, Probe, R2L, U2R); (2) evaluate cross-dataset transfer by training on NSL-KDD and testing on UNSW-NB15 or CICIDS2017 under the same 8-feature schema; (3) apply grid search hyperparameter tuning; (4) benchmark against unsupervised anomaly detection (Isolation Forest, One-Class SVM); and (5) expand the MySQL pipeline to ingest live cleaned records from the Cleaning.ipynb workflow for continuous model updates.</w:t>
      </w:r>
    </w:p>
    <w:p>
      <w:pPr>
        <w:spacing w:after="60" w:before="100"/>
      </w:pPr>
      <w:r>
        <w:rPr>
          <w:rFonts w:ascii="Times New Roman" w:cs="Times New Roman" w:eastAsia="Times New Roman" w:hAnsi="Times New Roman"/>
          <w:b/>
          <w:bCs/>
          <w:color w:val="000000"/>
          <w:sz w:val="20"/>
          <w:szCs w:val="20"/>
        </w:rPr>
        <w:t xml:space="preserve">References</w:t>
      </w:r>
    </w:p>
    <w:p>
      <w:pPr>
        <w:spacing w:after="30" w:before="30" w:line="252" w:lineRule="auto"/>
        <w:ind w:left="720" w:hanging="720"/>
        <w:jc w:val="both"/>
      </w:pPr>
      <w:r>
        <w:rPr>
          <w:rFonts w:ascii="Times New Roman" w:cs="Times New Roman" w:eastAsia="Times New Roman" w:hAnsi="Times New Roman"/>
          <w:color w:val="000000"/>
          <w:sz w:val="18"/>
          <w:szCs w:val="18"/>
        </w:rPr>
        <w:t xml:space="preserve">Breiman, L. (1996). Bagging predictors. Machine Learning, 24(2), 123–140.</w:t>
      </w:r>
    </w:p>
    <w:p>
      <w:pPr>
        <w:spacing w:after="30" w:before="30" w:line="252" w:lineRule="auto"/>
        <w:ind w:left="720" w:hanging="720"/>
        <w:jc w:val="both"/>
      </w:pPr>
      <w:r>
        <w:rPr>
          <w:rFonts w:ascii="Times New Roman" w:cs="Times New Roman" w:eastAsia="Times New Roman" w:hAnsi="Times New Roman"/>
          <w:color w:val="000000"/>
          <w:sz w:val="18"/>
          <w:szCs w:val="18"/>
        </w:rPr>
        <w:t xml:space="preserve">Breiman, L. (2001). Random forests. Machine Learning, 45(1), 5–32.</w:t>
      </w:r>
    </w:p>
    <w:p>
      <w:pPr>
        <w:spacing w:after="30" w:before="30" w:line="252" w:lineRule="auto"/>
        <w:ind w:left="720" w:hanging="720"/>
        <w:jc w:val="both"/>
      </w:pPr>
      <w:r>
        <w:rPr>
          <w:rFonts w:ascii="Times New Roman" w:cs="Times New Roman" w:eastAsia="Times New Roman" w:hAnsi="Times New Roman"/>
          <w:color w:val="000000"/>
          <w:sz w:val="18"/>
          <w:szCs w:val="18"/>
        </w:rPr>
        <w:t xml:space="preserve">Breiman, L., Friedman, J., Stone, C. J., &amp; Olshen, R. A. (1984). Classification and regression trees. CRC Press.</w:t>
      </w:r>
    </w:p>
    <w:p>
      <w:pPr>
        <w:spacing w:after="30" w:before="30" w:line="252" w:lineRule="auto"/>
        <w:ind w:left="720" w:hanging="720"/>
        <w:jc w:val="both"/>
      </w:pPr>
      <w:r>
        <w:rPr>
          <w:rFonts w:ascii="Times New Roman" w:cs="Times New Roman" w:eastAsia="Times New Roman" w:hAnsi="Times New Roman"/>
          <w:color w:val="000000"/>
          <w:sz w:val="18"/>
          <w:szCs w:val="18"/>
        </w:rPr>
        <w:t xml:space="preserve">Chawla, N. V., Bowyer, K. W., Hall, L. O., &amp; Kegelmeyer, W. P. (2002). SMOTE: Synthetic minority over-sampling technique. Journal of Artificial Intelligence Research, 16, 321–357.</w:t>
      </w:r>
    </w:p>
    <w:p>
      <w:pPr>
        <w:spacing w:after="30" w:before="30" w:line="252" w:lineRule="auto"/>
        <w:ind w:left="720" w:hanging="720"/>
        <w:jc w:val="both"/>
      </w:pPr>
      <w:r>
        <w:rPr>
          <w:rFonts w:ascii="Times New Roman" w:cs="Times New Roman" w:eastAsia="Times New Roman" w:hAnsi="Times New Roman"/>
          <w:color w:val="000000"/>
          <w:sz w:val="18"/>
          <w:szCs w:val="18"/>
        </w:rPr>
        <w:t xml:space="preserve">Cortes, C., &amp; Vapnik, V. (1995). Support vector machine. Machine Learning, 20(3), 273–297.</w:t>
      </w:r>
    </w:p>
    <w:p>
      <w:pPr>
        <w:spacing w:after="30" w:before="30" w:line="252" w:lineRule="auto"/>
        <w:ind w:left="720" w:hanging="720"/>
        <w:jc w:val="both"/>
      </w:pPr>
      <w:r>
        <w:rPr>
          <w:rFonts w:ascii="Times New Roman" w:cs="Times New Roman" w:eastAsia="Times New Roman" w:hAnsi="Times New Roman"/>
          <w:color w:val="000000"/>
          <w:sz w:val="18"/>
          <w:szCs w:val="18"/>
        </w:rPr>
        <w:t xml:space="preserve">Koc, L., Mazzuchi, T. A., &amp; Sarkani, S. (2012). A network intrusion detection system based on a Hidden Naïve Bayes multiclass classifier. Expert Systems with Applications, 39(18), 13492–13500.</w:t>
      </w:r>
    </w:p>
    <w:p>
      <w:pPr>
        <w:spacing w:after="30" w:before="30" w:line="252" w:lineRule="auto"/>
        <w:ind w:left="720" w:hanging="720"/>
        <w:jc w:val="both"/>
      </w:pPr>
      <w:r>
        <w:rPr>
          <w:rFonts w:ascii="Times New Roman" w:cs="Times New Roman" w:eastAsia="Times New Roman" w:hAnsi="Times New Roman"/>
          <w:color w:val="000000"/>
          <w:sz w:val="18"/>
          <w:szCs w:val="18"/>
        </w:rPr>
        <w:t xml:space="preserve">Maaten, L. van der, &amp; Hinton, G. (2008). Visualizing data using t-SNE. Journal of Machine Learning Research, 9(Nov), 2579–2605.</w:t>
      </w:r>
    </w:p>
    <w:p>
      <w:pPr>
        <w:spacing w:after="30" w:before="30" w:line="252" w:lineRule="auto"/>
        <w:ind w:left="720" w:hanging="720"/>
        <w:jc w:val="both"/>
      </w:pPr>
      <w:r>
        <w:rPr>
          <w:rFonts w:ascii="Times New Roman" w:cs="Times New Roman" w:eastAsia="Times New Roman" w:hAnsi="Times New Roman"/>
          <w:color w:val="000000"/>
          <w:sz w:val="18"/>
          <w:szCs w:val="18"/>
        </w:rPr>
        <w:t xml:space="preserve">Pedregosa, F., Varoquaux, G., Gramfort, A., Michel, V., Thirion, B., Grisel, O., et al. (2011). Scikit-learn: Machine learning in Python. Journal of Machine Learning Research, 12, 2825–2830.</w:t>
      </w:r>
    </w:p>
    <w:p>
      <w:pPr>
        <w:spacing w:after="30" w:before="30" w:line="252" w:lineRule="auto"/>
        <w:ind w:left="720" w:hanging="720"/>
        <w:jc w:val="both"/>
      </w:pPr>
      <w:r>
        <w:rPr>
          <w:rFonts w:ascii="Times New Roman" w:cs="Times New Roman" w:eastAsia="Times New Roman" w:hAnsi="Times New Roman"/>
          <w:color w:val="000000"/>
          <w:sz w:val="18"/>
          <w:szCs w:val="18"/>
        </w:rPr>
        <w:t xml:space="preserve">Revathi, S., &amp; Malathi, A. (2013). A detailed analysis on NSL-KDD dataset using various machine learning techniques for intrusion detection. International Journal of Engineering Research &amp; Technology, 2(12).</w:t>
      </w:r>
    </w:p>
    <w:p>
      <w:pPr>
        <w:spacing w:after="30" w:before="30" w:line="252" w:lineRule="auto"/>
        <w:ind w:left="720" w:hanging="720"/>
        <w:jc w:val="both"/>
      </w:pPr>
      <w:r>
        <w:rPr>
          <w:rFonts w:ascii="Times New Roman" w:cs="Times New Roman" w:eastAsia="Times New Roman" w:hAnsi="Times New Roman"/>
          <w:color w:val="000000"/>
          <w:sz w:val="18"/>
          <w:szCs w:val="18"/>
        </w:rPr>
        <w:t xml:space="preserve">Tavallaee, M., Bagheri, E., Lu, W., &amp; Ghorbani, A. A. (2009). A detailed analysis of the KDD CUP 99 data set. Proceedings of the 2009 IEEE Symposium on Computational Intelligence for Security and Defense Applications, 1–6.</w:t>
      </w:r>
    </w:p>
    <w:p>
      <w:pPr>
        <w:spacing w:after="30" w:before="30" w:line="252" w:lineRule="auto"/>
        <w:ind w:left="720" w:hanging="720"/>
        <w:jc w:val="both"/>
      </w:pPr>
      <w:r>
        <w:rPr>
          <w:rFonts w:ascii="Times New Roman" w:cs="Times New Roman" w:eastAsia="Times New Roman" w:hAnsi="Times New Roman"/>
          <w:color w:val="000000"/>
          <w:sz w:val="18"/>
          <w:szCs w:val="18"/>
        </w:rPr>
        <w:t xml:space="preserve">Tibshirani, R. (1996). Regression shrinkage and selection via the lasso. Journal of the Royal Statistical Society: Series B (Methodological), 58(1), 267–288.</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2" w:space="4"/>
      </w:pBdr>
      <w:tabs>
        <w:tab w:val="right" w:pos="9026"/>
      </w:tabs>
      <w:spacing w:after="60" w:before="0"/>
    </w:pPr>
    <w:r>
      <w:rPr>
        <w:rFonts w:ascii="Times New Roman" w:cs="Times New Roman" w:eastAsia="Times New Roman" w:hAnsi="Times New Roman"/>
        <w:color w:val="444444"/>
        <w:sz w:val="17"/>
        <w:szCs w:val="17"/>
      </w:rPr>
      <w:t xml:space="preserve">NSL-KDD Intrusion Detection using Machine Learning: A Case Study</w:t>
    </w:r>
    <w:r>
      <w:rPr>
        <w:rFonts w:ascii="Times New Roman" w:cs="Times New Roman" w:eastAsia="Times New Roman" w:hAnsi="Times New Roman"/>
        <w:sz w:val="17"/>
        <w:szCs w:val="17"/>
      </w:rPr>
      <w:t xml:space="preserve">	</w:t>
    </w:r>
    <w:r>
      <w:rPr>
        <w:rFonts w:ascii="Times New Roman" w:cs="Times New Roman" w:eastAsia="Times New Roman" w:hAnsi="Times New Roman"/>
        <w:color w:val="444444"/>
        <w:sz w:val="17"/>
        <w:szCs w:val="17"/>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60" w:before="120"/>
      <w:outlineLvl w:val="0"/>
    </w:pPr>
    <w:rPr>
      <w:rFonts w:ascii="Times New Roman" w:cs="Times New Roman" w:eastAsia="Times New Roman" w:hAnsi="Times New Roman"/>
      <w:b/>
      <w:bCs/>
      <w:sz w:val="20"/>
      <w:szCs w:val="20"/>
    </w:rPr>
  </w:style>
  <w:style w:type="paragraph" w:styleId="Heading2">
    <w:name w:val="Heading 2"/>
    <w:basedOn w:val="Normal"/>
    <w:next w:val="Normal"/>
    <w:pPr>
      <w:spacing w:after="40" w:before="80"/>
      <w:outlineLvl w:val="1"/>
    </w:pPr>
    <w:rPr>
      <w:rFonts w:ascii="Times New Roman" w:cs="Times New Roman" w:eastAsia="Times New Roman" w:hAnsi="Times New Roman"/>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2026-04-19T23:59:06.748Z</dcterms:created>
  <dcterms:modified xsi:type="dcterms:W3CDTF">2026-04-19T23:59:06.748Z</dcterms:modified>
</cp:coreProperties>
</file>

<file path=docProps/custom.xml><?xml version="1.0" encoding="utf-8"?>
<Properties xmlns="http://schemas.openxmlformats.org/officeDocument/2006/custom-properties" xmlns:vt="http://schemas.openxmlformats.org/officeDocument/2006/docPropsVTypes"/>
</file>