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color w:val="D98324"/>
          <w:spacing w:val="30"/>
          <w:sz w:val="16"/>
          <w:szCs w:val="16"/>
        </w:rPr>
        <w:t xml:space="preserve">OUAZZANI DESIGN  ·  C1.2  ·  STRATÉGIE PRODUIT</w:t>
      </w:r>
    </w:p>
    <w:p>
      <w:pPr>
        <w:pStyle w:val="Title"/>
      </w:pPr>
      <w:r>
        <w:t xml:space="preserve">Profil de domaine, sources approuvées et recevabilité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3"/>
        <w:gridCol w:w="6615"/>
      </w:tblGrid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Partiel — réserves déclarées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Qui le rédige, qui en répond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product-lead / Product Owner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Contrôlé en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G0</w:t>
            </w:r>
          </w:p>
        </w:tc>
      </w:tr>
      <w:tr>
        <w:tc>
          <w:tcPr>
            <w:tcW w:type="dxa" w:w="30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Fichiers du dépôt</w:t>
            </w:r>
          </w:p>
        </w:tc>
        <w:tc>
          <w:tcPr>
            <w:tcW w:type="dxa" w:w="661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product/C1.2-strategie/domain/domain-profile.md · product/C1.2-strategie/domain/sources.md · product/C1.2-strategie/domain/rules.md · product/C1.2-strategie/domain/critic-definition.md · product/C1.2-strategie/domain/critic-sources.md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7C766B"/>
          <w:sz w:val="17"/>
          <w:szCs w:val="17"/>
        </w:rPr>
        <w:t xml:space="preserve">Document calculé depuis le Markdown du dépôt, qui reste la version contrôlée. Le modifier ici ne change pas le livrable : corriger le fichier source, puis régénérer.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product/C1.2-strategie/domain/domain-profile.md</w:t>
      </w:r>
    </w:p>
    <w:p>
      <w:pPr>
        <w:pStyle w:val="Heading1"/>
      </w:pPr>
      <w:r>
        <w:t xml:space="preserve">WP-06 — Profil de domaine et sources approuvées · domain-profile.md</w:t>
      </w:r>
    </w:p>
    <w:p>
      <w:pPr>
        <w:pStyle w:val="Heading2"/>
        <w:keepNext/>
      </w:pPr>
      <w:r>
        <w:t xml:space="preserve">Profil de l'industrie</w:t>
      </w:r>
    </w:p>
    <w:p>
      <w:pPr>
        <w:spacing w:after="120"/>
      </w:pPr>
      <w:r>
        <w:rPr>
          <w:b/>
          <w:bCs/>
        </w:rPr>
        <w:t xml:space="preserve">Secteur — `FAIT` par déclaration du sponsor, non par source externe.</w:t>
      </w:r>
      <w:r>
        <w:t xml:space="preserve"> Vente au détail en ligne d'équipement sportif, catégorie unique : raquettes de padel. Marché géographique : Maroc. Modèle : boutique mono-catégorie opérée par une personne, paiement à la livraison. Source : WP-03, verbatim daté du 2026-09-21. C'est un fait sur </w:t>
      </w:r>
      <w:r>
        <w:rPr>
          <w:i/>
          <w:iCs/>
        </w:rPr>
        <w:t xml:space="preserve">l'intention</w:t>
      </w:r>
      <w:r>
        <w:t xml:space="preserve">, pas sur le marché.</w:t>
      </w:r>
    </w:p>
    <w:p>
      <w:pPr>
        <w:spacing w:after="120"/>
      </w:pPr>
      <w:r>
        <w:rPr>
          <w:b/>
          <w:bCs/>
        </w:rPr>
        <w:t xml:space="preserve">Taille des acteurs, cycle économique, structure de la distribution — `INCONNU`.</w:t>
      </w:r>
      <w:r>
        <w:t xml:space="preserve"> Aucune source lue. Trois questions restent entières : combien de clubs et de licenciés de padel au Maroc, quelle saisonnalité, et qui vend déjà des raquettes — grande distribution sportive, revendeurs sociaux, clubs, import direct. Ces trois inconnues portent HYP-01 et HYP-06, les deux hypothèses létales que l'activité 3 devait précisément faire bouger.</w:t>
      </w:r>
    </w:p>
    <w:p>
      <w:pPr>
        <w:spacing w:after="120"/>
      </w:pPr>
      <w:r>
        <w:rPr>
          <w:b/>
          <w:bCs/>
        </w:rPr>
        <w:t xml:space="preserve">Régulateur — `INCONNU` quant à la portée exacte, partiellement identifié quant aux institutions.</w:t>
      </w:r>
      <w:r>
        <w:t xml:space="preserve"> Quatre autorités sont </w:t>
      </w:r>
      <w:r>
        <w:rPr>
          <w:i/>
          <w:iCs/>
        </w:rPr>
        <w:t xml:space="preserve">nommables</w:t>
      </w:r>
      <w:r>
        <w:t xml:space="preserve"> sans être documentées : la </w:t>
      </w:r>
      <w:r>
        <w:rPr>
          <w:b/>
          <w:bCs/>
        </w:rPr>
        <w:t xml:space="preserve">CNDP</w:t>
      </w:r>
      <w:r>
        <w:t xml:space="preserve"> pour les données personnelles, le </w:t>
      </w:r>
      <w:r>
        <w:rPr>
          <w:b/>
          <w:bCs/>
        </w:rPr>
        <w:t xml:space="preserve">Ministère de l'Industrie et du Commerce</w:t>
      </w:r>
      <w:r>
        <w:t xml:space="preserve"> pour la protection du consommateur, l'</w:t>
      </w:r>
      <w:r>
        <w:rPr>
          <w:b/>
          <w:bCs/>
        </w:rPr>
        <w:t xml:space="preserve">Office des changes</w:t>
      </w:r>
      <w:r>
        <w:t xml:space="preserve"> et la </w:t>
      </w:r>
      <w:r>
        <w:rPr>
          <w:b/>
          <w:bCs/>
        </w:rPr>
        <w:t xml:space="preserve">Douane</w:t>
      </w:r>
      <w:r>
        <w:t xml:space="preserve"> pour l'import, la </w:t>
      </w:r>
      <w:r>
        <w:rPr>
          <w:b/>
          <w:bCs/>
        </w:rPr>
        <w:t xml:space="preserve">DGI</w:t>
      </w:r>
      <w:r>
        <w:t xml:space="preserve"> pour la fiscalité. Aucune de leurs obligations n'est établie ici. Les nommer n'est pas les documenter, et la distinction est le sujet de ce livrable.</w:t>
      </w:r>
    </w:p>
    <w:p>
      <w:pPr>
        <w:spacing w:after="120"/>
      </w:pPr>
      <w:r>
        <w:rPr>
          <w:b/>
          <w:bCs/>
        </w:rPr>
        <w:t xml:space="preserve">Langue métier — partiellement observable, non figée.</w:t>
      </w:r>
      <w:r>
        <w:t xml:space="preserve"> Le vocabulaire du padel est majoritairement espagnol et anglais — </w:t>
      </w:r>
      <w:r>
        <w:rPr>
          <w:i/>
          <w:iCs/>
        </w:rPr>
        <w:t xml:space="preserve">pala</w:t>
      </w:r>
      <w:r>
        <w:t xml:space="preserve">, </w:t>
      </w:r>
      <w:r>
        <w:rPr>
          <w:i/>
          <w:iCs/>
        </w:rPr>
        <w:t xml:space="preserve">bandeja</w:t>
      </w:r>
      <w:r>
        <w:t xml:space="preserve">, </w:t>
      </w:r>
      <w:r>
        <w:rPr>
          <w:i/>
          <w:iCs/>
        </w:rPr>
        <w:t xml:space="preserve">vibora</w:t>
      </w:r>
      <w:r>
        <w:t xml:space="preserve">, </w:t>
      </w:r>
      <w:r>
        <w:rPr>
          <w:i/>
          <w:iCs/>
        </w:rPr>
        <w:t xml:space="preserve">overgrip</w:t>
      </w:r>
      <w:r>
        <w:t xml:space="preserve"> — dans un marché qui parle français, arabe et darija. </w:t>
      </w:r>
      <w:r>
        <w:rPr>
          <w:b/>
          <w:bCs/>
        </w:rPr>
        <w:t xml:space="preserve">C'est un enjeu de WP-11 (glossaire utilisateur), pas un détail de traduction</w:t>
      </w:r>
      <w:r>
        <w:t xml:space="preserve"> : le terme qu'un joueur marocain emploie pour chercher une raquette décide de la navigation, de l'architecture de l'information et du référencement. Il se recueille auprès des joueurs à l'activité 4, pas ici.</w:t>
      </w:r>
    </w:p>
    <w:p>
      <w:pPr>
        <w:pStyle w:val="Heading3"/>
        <w:keepNext/>
      </w:pPr>
      <w:r>
        <w:t xml:space="preserve">Ce que l'activité 3 devait produire et n'a pas produit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26"/>
        <w:gridCol w:w="5112"/>
      </w:tblGrid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Attendu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Ordre de grandeur du marché — clubs, licenciés, renouvellement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— HYP-01 reste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UNVALIDATED</w:t>
            </w:r>
          </w:p>
        </w:tc>
      </w:tr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Recensement des acteurs servant déjà cette demande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— HYP-06 reste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UNVALIDATED</w:t>
            </w:r>
          </w:p>
        </w:tc>
      </w:tr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Taux de refus sectoriel en paiement à la livraison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— HYP-05 et HYP-10 restent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UNVALIDATED</w:t>
            </w:r>
            <w:r>
              <w:rPr>
                <w:sz w:val="19"/>
                <w:szCs w:val="19"/>
              </w:rPr>
              <w:t xml:space="preserve">,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a*</w:t>
            </w:r>
            <w:r>
              <w:rPr>
                <w:sz w:val="19"/>
                <w:szCs w:val="19"/>
              </w:rPr>
              <w:t xml:space="preserve"> non calculable</w:t>
            </w:r>
          </w:p>
        </w:tc>
      </w:tr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Obligations légales du vendeur en ligne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— voir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rules.md</w:t>
            </w:r>
          </w:p>
        </w:tc>
      </w:tr>
      <w:tr>
        <w:tc>
          <w:tcPr>
            <w:tcW w:type="dxa" w:w="4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Critic métier éprouvé sur un cas vérifiable</w:t>
            </w:r>
          </w:p>
        </w:tc>
        <w:tc>
          <w:tcPr>
            <w:tcW w:type="dxa" w:w="511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impossible</w:t>
            </w:r>
            <w:r>
              <w:rPr>
                <w:sz w:val="19"/>
                <w:szCs w:val="19"/>
              </w:rPr>
              <w:t xml:space="preserve"> — voir WP-07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Quatre des six hypothèses létales devaient bouger ici. Aucune n'a bougé.</w:t>
      </w:r>
    </w:p>
    <w:p>
      <w:pPr>
        <w:spacing w:after="120"/>
      </w:pPr>
      <w:r>
        <w:t xml:space="preserve">&lt;!-- Complétude : Chaque règle cite une source datée. Les UNKNOWNs sont routés, pas comblés.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BLOCKED sur le critère d'entrée de l'activité 3 — « accès aux sources réglementaires ou professionnelles ». La politique réseau de l'environnement bloque TOUTE lecture de page : WebFetch rend EGRESS_BLOCKED sur chaque domaine essayé, curl direct rend 000. Seule la recherche reste possible, et elle ne donne ni citation littérale ni page 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AUCUNE règle métier n'est établie. Toutes sont INCONNU et routées, jamais comblées — la tour confirme le verdict : sans citation littérale, une affirmation est UNVALIDATED (factory_source_claim, 2026-09-21).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Les sources listées sont des CANDIDATES : adresse réelle et date de repérage, mais aucune n'a été lue. Une source non lue n'est pas une source approuvée.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Levée : autoriser les domaines dans la politique d'egress de l'environnement, ou fournir les documents dans le dépôt.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product/C1.2-strategie/domain/sources.md</w:t>
      </w:r>
    </w:p>
    <w:p>
      <w:pPr>
        <w:pStyle w:val="Heading1"/>
      </w:pPr>
      <w:r>
        <w:t xml:space="preserve">WP-06 — Profil de domaine et sources approuvées · sources.md</w:t>
      </w:r>
    </w:p>
    <w:p>
      <w:pPr>
        <w:pStyle w:val="Heading2"/>
        <w:keepNext/>
      </w:pPr>
      <w:r>
        <w:t xml:space="preserve">Sources approuvées</w:t>
      </w:r>
    </w:p>
    <w:p>
      <w:pPr>
        <w:spacing w:after="120"/>
      </w:pPr>
      <w:r>
        <w:rPr>
          <w:b/>
          <w:bCs/>
        </w:rPr>
        <w:t xml:space="preserve">Aucune.</w:t>
      </w:r>
      <w:r>
        <w:t xml:space="preserve"> Une source approuvée est une source </w:t>
      </w:r>
      <w:r>
        <w:rPr>
          <w:i/>
          <w:iCs/>
        </w:rPr>
        <w:t xml:space="preserve">lue</w:t>
      </w:r>
      <w:r>
        <w:t xml:space="preserve">, datée, et citable littéralement. Aucune n'a pu être lue le 2026-09-21.</w:t>
      </w:r>
    </w:p>
    <w:p>
      <w:pPr>
        <w:spacing w:after="120"/>
      </w:pPr>
      <w:r>
        <w:t xml:space="preserve">Ce qui suit est un </w:t>
      </w:r>
      <w:r>
        <w:rPr>
          <w:b/>
          <w:bCs/>
        </w:rPr>
        <w:t xml:space="preserve">registre de candidates</w:t>
      </w:r>
      <w:r>
        <w:t xml:space="preserve"> : adresses réelles, relevées par recherche, avec ce que chacune devra établir. Une candidate n'est pas une source, et aucune règle ne peut s'y adosser tant qu'elle n'a pas été lue.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8"/>
        <w:gridCol w:w="2454"/>
        <w:gridCol w:w="541"/>
        <w:gridCol w:w="2526"/>
        <w:gridCol w:w="360"/>
        <w:gridCol w:w="2526"/>
        <w:gridCol w:w="943"/>
      </w:tblGrid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Réf.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Candidate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Autorité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Adresse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Repérée le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Doit établir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Lue ?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CAND-01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Loi 31-08 — protection du consommateur, texte intégral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Réglementaire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wipo.int/wipolex/en/legislation/details/19773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Obligations d'information précontractuelle, délai de rétractation en vente à distance, exceptions de l'article 38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EGRESS_BLOCKED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CAND-02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Portail Khidmat Al Moustahlik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Réglementaire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khidmat-almostahlik.ma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Lecture officielle des droits du consommateur en vente à distance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HTTP 000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CAND-03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CNDP — lignes directrices de conformité des sites web à la loi 09-08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Réglementaire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cndp.ma/wp-content/uploads/2023/01/CNDP-guide-conformite-sites-web-fr.pdf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Déclaration préalable des traitements, mentions obligatoires, droits des personnes, sanctions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EGRESS_BLOCKED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CAND-04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CNDP — dépliant loi 09-08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Réglementaire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cndp.ma/wp-content/uploads/2023/01/CNDP-depliant-fr.pdf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Périmètre des traitements soumis à déclaration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CAND-05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Fédération Royale Marocaine de Tennis — section padel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Professionnelle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frmt.ma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w2023.frmt.ma/category/padel/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de clubs et de licenciés, structuration de la pratique — </w:t>
            </w:r>
            <w:r>
              <w:rPr>
                <w:b/>
                <w:bCs/>
                <w:sz w:val="19"/>
                <w:szCs w:val="19"/>
              </w:rPr>
              <w:t xml:space="preserve">socle de HYP-01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HTTP 000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CAND-06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Panorama des clubs de padel au Maroc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Professionnelle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padelset.ma/blog/Clubs_Padel_Maroc_Evolution_Perspectives_Avenir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Répartition géographique et dynamique d'ouverture des clubs. </w:t>
            </w:r>
            <w:r>
              <w:rPr>
                <w:b/>
                <w:bCs/>
                <w:sz w:val="19"/>
                <w:szCs w:val="19"/>
              </w:rPr>
              <w:t xml:space="preserve">Source secondaire</w:t>
            </w:r>
            <w:r>
              <w:rPr>
                <w:sz w:val="19"/>
                <w:szCs w:val="19"/>
              </w:rPr>
              <w:t xml:space="preserve"> : à recouper avec CAND-05, jamais seule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EGRESS_BLOCKED</w:t>
            </w:r>
          </w:p>
        </w:tc>
      </w:tr>
      <w:tr>
        <w:tc>
          <w:tcPr>
            <w:tcW w:type="dxa" w:w="28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CAND-07</w:t>
            </w:r>
          </w:p>
        </w:tc>
        <w:tc>
          <w:tcPr>
            <w:tcW w:type="dxa" w:w="245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Centre Monétique Interbancaire — rapports d'activité e-commerce</w:t>
            </w:r>
          </w:p>
        </w:tc>
        <w:tc>
          <w:tcPr>
            <w:tcW w:type="dxa" w:w="5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Professionnelle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cmi.co.ma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2026-09-21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 du paiement en ligne au Maroc, donc </w:t>
            </w:r>
            <w:r>
              <w:rPr>
                <w:b/>
                <w:bCs/>
                <w:sz w:val="19"/>
                <w:szCs w:val="19"/>
              </w:rPr>
              <w:t xml:space="preserve">par complément</w:t>
            </w:r>
            <w:r>
              <w:rPr>
                <w:sz w:val="19"/>
                <w:szCs w:val="19"/>
              </w:rPr>
              <w:t xml:space="preserve"> le poids du paiement à la livraison</w:t>
            </w:r>
          </w:p>
        </w:tc>
        <w:tc>
          <w:tcPr>
            <w:tcW w:type="dxa" w:w="94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</w:t>
            </w:r>
            <w:r>
              <w:rPr>
                <w:sz w:val="19"/>
                <w:szCs w:val="19"/>
              </w:rPr>
              <w:t xml:space="preserve"> — HTTP 000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Ce que ce registre vaut, et ce qu'il ne vaut pas</w:t>
      </w:r>
    </w:p>
    <w:p>
      <w:pPr>
        <w:spacing w:after="120"/>
      </w:pPr>
      <w:r>
        <w:rPr>
          <w:b/>
          <w:bCs/>
        </w:rPr>
        <w:t xml:space="preserve">Il vaut</w:t>
      </w:r>
      <w:r>
        <w:t xml:space="preserve"> comme plan de sourçage : sept adresses réelles, chacune rattachée à ce qu'elle doit établir et à l'hypothèse qu'elle fait bouger. Le travail de repérage est fait.</w:t>
      </w:r>
    </w:p>
    <w:p>
      <w:pPr>
        <w:spacing w:after="120"/>
      </w:pPr>
      <w:r>
        <w:rPr>
          <w:b/>
          <w:bCs/>
        </w:rPr>
        <w:t xml:space="preserve">Il ne vaut rien</w:t>
      </w:r>
      <w:r>
        <w:t xml:space="preserve"> comme fondement de règle. Aucune ligne de </w:t>
      </w:r>
      <w:r>
        <w:rPr>
          <w:rFonts w:ascii="Consolas" w:cs="Consolas" w:eastAsia="Consolas" w:hAnsi="Consolas"/>
        </w:rPr>
        <w:t xml:space="preserve">rules.md</w:t>
      </w:r>
      <w:r>
        <w:t xml:space="preserve"> ne cite un </w:t>
      </w:r>
      <w:r>
        <w:rPr>
          <w:rFonts w:ascii="Consolas" w:cs="Consolas" w:eastAsia="Consolas" w:hAnsi="Consolas"/>
        </w:rPr>
        <w:t xml:space="preserve">SRC-nn</w:t>
      </w:r>
      <w:r>
        <w:t xml:space="preserve">, parce qu'aucun </w:t>
      </w:r>
      <w:r>
        <w:rPr>
          <w:rFonts w:ascii="Consolas" w:cs="Consolas" w:eastAsia="Consolas" w:hAnsi="Consolas"/>
        </w:rPr>
        <w:t xml:space="preserve">SRC-nn</w:t>
      </w:r>
      <w:r>
        <w:t xml:space="preserve"> n'existe : la numérotation </w:t>
      </w:r>
      <w:r>
        <w:rPr>
          <w:rFonts w:ascii="Consolas" w:cs="Consolas" w:eastAsia="Consolas" w:hAnsi="Consolas"/>
        </w:rPr>
        <w:t xml:space="preserve">CAND</w:t>
      </w:r>
      <w:r>
        <w:t xml:space="preserve"> est délibérément distincte, pour qu'aucune règle ne puisse s'y adosser par inadvertance.</w:t>
      </w:r>
    </w:p>
    <w:p>
      <w:pPr>
        <w:pStyle w:val="Heading3"/>
        <w:keepNext/>
      </w:pPr>
      <w:r>
        <w:t xml:space="preserve">Règle d'indépendance, applicable dès la levée du blocage</w:t>
      </w:r>
    </w:p>
    <w:p>
      <w:pPr>
        <w:spacing w:after="120"/>
      </w:pPr>
      <w:r>
        <w:t xml:space="preserve">Deux sources ne sont indépendantes que si la seconde ne dérive pas de la première. CAND-06 est secondaire et reprend vraisemblablement des données fédérales : </w:t>
      </w:r>
      <w:r>
        <w:rPr>
          <w:b/>
          <w:bCs/>
        </w:rPr>
        <w:t xml:space="preserve">elle ne comptera jamais comme second témoin de CAND-05.</w:t>
      </w:r>
      <w:r>
        <w:t xml:space="preserve"> C'est exactement le défaut qui a valu deux refus à WP-02 ; il est anticipé ici plutôt que constaté plus tard.</w:t>
      </w:r>
    </w:p>
    <w:p>
      <w:pPr>
        <w:spacing w:after="120"/>
      </w:pPr>
      <w:r>
        <w:t xml:space="preserve">&lt;!-- Complétude : Chaque règle cite une source datée. Les UNKNOWNs sont routés, pas comblés.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BLOCKED sur le critère d'entrée de l'activité 3 — « accès aux sources réglementaires ou professionnelles ». La politique réseau de l'environnement bloque TOUTE lecture de page : WebFetch rend EGRESS_BLOCKED sur chaque domaine essayé, curl direct rend 000. Seule la recherche reste possible, et elle ne donne ni citation littérale ni page 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AUCUNE règle métier n'est établie. Toutes sont INCONNU et routées, jamais comblées — la tour confirme le verdict : sans citation littérale, une affirmation est UNVALIDATED (factory_source_claim, 2026-09-21).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Les sources listées sont des CANDIDATES : adresse réelle et date de repérage, mais aucune n'a été lue. Une source non lue n'est pas une source approuvée.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Levée : autoriser les domaines dans la politique d'egress de l'environnement, ou fournir les documents dans le dépôt.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product/C1.2-strategie/domain/rules.md</w:t>
      </w:r>
    </w:p>
    <w:p>
      <w:pPr>
        <w:pStyle w:val="Heading1"/>
      </w:pPr>
      <w:r>
        <w:t xml:space="preserve">WP-06 — Profil de domaine et sources approuvées · rules.md</w:t>
      </w:r>
    </w:p>
    <w:p>
      <w:pPr>
        <w:pStyle w:val="Heading2"/>
        <w:keepNext/>
      </w:pPr>
      <w:r>
        <w:t xml:space="preserve">Règles métier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"/>
        <w:gridCol w:w="2870"/>
        <w:gridCol w:w="369"/>
        <w:gridCol w:w="1107"/>
        <w:gridCol w:w="2870"/>
        <w:gridCol w:w="2094"/>
      </w:tblGrid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Réf.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 de règle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Candidate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 que son absence met en risque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Route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RG-01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Délai et modalités du droit de rétractation en vente à distance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CAND-01, CAND-02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parcours de retour non conforme, découvert après la mise en service. </w:t>
            </w:r>
            <w:r>
              <w:rPr>
                <w:b/>
                <w:bCs/>
                <w:sz w:val="19"/>
                <w:szCs w:val="19"/>
              </w:rPr>
              <w:t xml:space="preserve">Touche le socle</w:t>
            </w:r>
            <w:r>
              <w:rPr>
                <w:sz w:val="19"/>
                <w:szCs w:val="19"/>
              </w:rPr>
              <w:t xml:space="preserve"> : la rétractation est une étape du parcours (WP-09), pas une page de conditions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5</w:t>
            </w:r>
            <w:r>
              <w:rPr>
                <w:sz w:val="19"/>
                <w:szCs w:val="19"/>
              </w:rPr>
              <w:t xml:space="preserve"> (squelette de parcours)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RG-02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Information précontractuelle obligatoire — identité du vendeur, prix tout compris, délai de livraison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CAND-01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Fiche produit et tunnel de commande non conformes. </w:t>
            </w:r>
            <w:r>
              <w:rPr>
                <w:b/>
                <w:bCs/>
                <w:sz w:val="19"/>
                <w:szCs w:val="19"/>
              </w:rPr>
              <w:t xml:space="preserve">Touche la navigation et l'IA</w:t>
            </w:r>
            <w:r>
              <w:rPr>
                <w:sz w:val="19"/>
                <w:szCs w:val="19"/>
              </w:rPr>
              <w:t xml:space="preserve"> (WP-11), figées en G0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7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RG-03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Déclaration préalable des traitements de données personnelles à la CNDP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CAND-03, CAND-04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Sanction administrative, et </w:t>
            </w:r>
            <w:r>
              <w:rPr>
                <w:b/>
                <w:bCs/>
                <w:sz w:val="19"/>
                <w:szCs w:val="19"/>
              </w:rPr>
              <w:t xml:space="preserve">modèle de données non conforme</w:t>
            </w:r>
            <w:r>
              <w:rPr>
                <w:sz w:val="19"/>
                <w:szCs w:val="19"/>
              </w:rPr>
              <w:t xml:space="preserve"> — WP-12 est un CORE INVARIANT figé en G0 : une erreur ici se paie par une réouverture de G0 (EX3)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7</w:t>
            </w:r>
            <w:r>
              <w:rPr>
                <w:sz w:val="19"/>
                <w:szCs w:val="19"/>
              </w:rPr>
              <w:t xml:space="preserve"> — priorité la plus haute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RG-04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Mentions obligatoires et recueil du consentement sur le site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CAND-03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Non-conformité visible, corrigeable tardivement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8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RG-05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Obligations fiscales et de facturation de la vente en ligne — TVA, facture, registre de commerce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aucune candidate identifiée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Sous-estimation de la marge unitaire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</w:t>
            </w:r>
            <w:r>
              <w:rPr>
                <w:sz w:val="19"/>
                <w:szCs w:val="19"/>
              </w:rPr>
              <w:t xml:space="preserve">, donc *</w:t>
            </w:r>
            <w:r>
              <w:rPr>
                <w:i/>
                <w:iCs/>
                <w:sz w:val="19"/>
                <w:szCs w:val="19"/>
              </w:rPr>
              <w:t xml:space="preserve">`a</w:t>
            </w:r>
            <w:r>
              <w:rPr>
                <w:sz w:val="19"/>
                <w:szCs w:val="19"/>
              </w:rPr>
              <w:t xml:space="preserve">` faux** : le seuil de viabilité serait calculé sur une marge surévaluée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9</w:t>
            </w:r>
            <w:r>
              <w:rPr>
                <w:sz w:val="19"/>
                <w:szCs w:val="19"/>
              </w:rPr>
              <w:t xml:space="preserve"> — bloque U-08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RG-06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Régime d'importation des raquettes — droits de douane, TVA à l'import, Office des changes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aucune candidate identifiée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Même effet que RG-05 sur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9</w:t>
            </w:r>
          </w:p>
        </w:tc>
      </w:tr>
      <w:tr>
        <w:tc>
          <w:tcPr>
            <w:tcW w:type="dxa" w:w="328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RG-07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Obligations du vendeur en paiement à la livraison — moment du transfert de propriété, sort d'un colis refusé</w:t>
            </w:r>
          </w:p>
        </w:tc>
        <w:tc>
          <w:tcPr>
            <w:tcW w:type="dxa" w:w="3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110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aucune candidate identifiée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Porte HYP-05 et HYP-10</w:t>
            </w:r>
            <w:r>
              <w:rPr>
                <w:sz w:val="19"/>
                <w:szCs w:val="19"/>
              </w:rPr>
              <w:t xml:space="preserve"> : le coût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</w:t>
            </w:r>
            <w:r>
              <w:rPr>
                <w:sz w:val="19"/>
                <w:szCs w:val="19"/>
              </w:rPr>
              <w:t xml:space="preserve"> d'un refus dépend de qui supporte le retour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Lever avant </w:t>
            </w:r>
            <w:r>
              <w:rPr>
                <w:b/>
                <w:bCs/>
                <w:sz w:val="19"/>
                <w:szCs w:val="19"/>
              </w:rPr>
              <w:t xml:space="preserve">activité 9</w:t>
            </w:r>
            <w:r>
              <w:rPr>
                <w:sz w:val="19"/>
                <w:szCs w:val="19"/>
              </w:rPr>
              <w:t xml:space="preserve"> — bloque U-08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Sept questions, zéro règle.</w:t>
      </w:r>
      <w:r>
        <w:t xml:space="preserve"> Trois d'entre elles — RG-03, RG-05, RG-07 — bloquent des décisions figées en G0 ou le calcul de </w:t>
      </w:r>
      <w:r>
        <w:rPr>
          <w:rFonts w:ascii="Consolas" w:cs="Consolas" w:eastAsia="Consolas" w:hAnsi="Consolas"/>
        </w:rPr>
        <w:t xml:space="preserve">a*</w:t>
      </w:r>
      <w:r>
        <w:t xml:space="preserve">. Ce ne sont pas des points de conformité à traiter en fin de parcours : ce sont des entrées du socle.</w:t>
      </w:r>
    </w:p>
    <w:p>
      <w:pPr>
        <w:pStyle w:val="Heading2"/>
        <w:keepNext/>
      </w:pPr>
      <w:r>
        <w:t xml:space="preserve">Usages non écrits</w:t>
      </w:r>
    </w:p>
    <w:p>
      <w:pPr>
        <w:spacing w:after="120"/>
      </w:pPr>
      <w:r>
        <w:t xml:space="preserve">Pratiques que personne ne documente mais que tout le monde applique. </w:t>
      </w:r>
      <w:r>
        <w:rPr>
          <w:b/>
          <w:bCs/>
        </w:rPr>
        <w:t xml:space="preserve">Aucune recueillie.</w:t>
      </w:r>
    </w:p>
    <w:p>
      <w:pPr>
        <w:spacing w:after="120"/>
      </w:pPr>
      <w:r>
        <w:t xml:space="preserve">Le registre exige, pour chacune, </w:t>
      </w:r>
      <w:r>
        <w:rPr>
          <w:i/>
          <w:iCs/>
        </w:rPr>
        <w:t xml:space="preserve">qui la connaît</w:t>
      </w:r>
      <w:r>
        <w:t xml:space="preserve"> et </w:t>
      </w:r>
      <w:r>
        <w:rPr>
          <w:i/>
          <w:iCs/>
        </w:rPr>
        <w:t xml:space="preserve">comment on l'a recueillie — entretien daté</w:t>
      </w:r>
      <w:r>
        <w:t xml:space="preserve">. Je n'ai interrogé personne : la recherche utilisateur est l'activité 4, et sa capacité d'entretien n'est pas celle de l'activité 3.</w:t>
      </w:r>
    </w:p>
    <w:p>
      <w:pPr>
        <w:spacing w:after="120"/>
      </w:pPr>
      <w:r>
        <w:t xml:space="preserve">Trois zones où des usages non écrits existent vraisemblablement et décideront du produit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négociation par messagerie.</w:t>
      </w:r>
      <w:r>
        <w:t xml:space="preserve"> Si l'achat d'équipement sportif au Maroc passe usuellement</w:t>
      </w:r>
    </w:p>
    <w:p>
      <w:pPr>
        <w:spacing w:after="120"/>
      </w:pPr>
      <w:r>
        <w:t xml:space="preserve">  par un échange WhatsApp ou Instagram avant paiement, un tunnel de commande sans canal de   conversation sera perçu comme froid — ou comme suspect. Porte HYP-02 et HYP-09.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pratique du refus à la livraison.</w:t>
      </w:r>
      <w:r>
        <w:t xml:space="preserve"> Un acheteur qui commande sans intention ferme, ou qui</w:t>
      </w:r>
    </w:p>
    <w:p>
      <w:pPr>
        <w:spacing w:after="120"/>
      </w:pPr>
      <w:r>
        <w:t xml:space="preserve">  commande plusieurs tailles pour choisir devant le livreur, est un usage, pas une fraude. Il   détermine </w:t>
      </w:r>
      <w:r>
        <w:rPr>
          <w:rFonts w:ascii="Consolas" w:cs="Consolas" w:eastAsia="Consolas" w:hAnsi="Consolas"/>
        </w:rPr>
        <w:t xml:space="preserve">c</w:t>
      </w:r>
      <w:r>
        <w:t xml:space="preserve"> et donc </w:t>
      </w:r>
      <w:r>
        <w:rPr>
          <w:rFonts w:ascii="Consolas" w:cs="Consolas" w:eastAsia="Consolas" w:hAnsi="Consolas"/>
        </w:rPr>
        <w:t xml:space="preserve">a*</w:t>
      </w:r>
      <w:r>
        <w:t xml:space="preserve">. Porte HYP-05.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rôle du club et du coach.</w:t>
      </w:r>
      <w:r>
        <w:t xml:space="preserve"> Si la recommandation de raquette passe par le coach, le canal</w:t>
      </w:r>
    </w:p>
    <w:p>
      <w:pPr>
        <w:spacing w:after="120"/>
      </w:pPr>
      <w:r>
        <w:t xml:space="preserve">  d'acquisition n'est pas publicitaire mais prescripteur. Porte HYP-04, hypothèse létale.</w:t>
      </w:r>
    </w:p>
    <w:p>
      <w:pPr>
        <w:spacing w:after="120"/>
      </w:pPr>
      <w:r>
        <w:rPr>
          <w:b/>
          <w:bCs/>
        </w:rPr>
        <w:t xml:space="preserve">Ces trois lignes sont des `INFÉRENCE`s, pas des `PRATIQUE`s</w:t>
      </w:r>
      <w:r>
        <w:t xml:space="preserve">, au sens de l'échelle épistémique de WP-07 : elles sont écrites ici pour orienter le protocole d'entretien de l'activité 4, et </w:t>
      </w:r>
      <w:r>
        <w:rPr>
          <w:b/>
          <w:bCs/>
        </w:rPr>
        <w:t xml:space="preserve">elles ne doivent pas y être posées comme des faits au participant</w:t>
      </w:r>
      <w:r>
        <w:t xml:space="preserve"> — ce serait fabriquer la réponse qu'on cherche.</w:t>
      </w:r>
    </w:p>
    <w:p>
      <w:pPr>
        <w:pStyle w:val="Heading2"/>
        <w:keepNext/>
      </w:pPr>
      <w:r>
        <w:t xml:space="preserve">Sanctions et autorité</w:t>
      </w:r>
    </w:p>
    <w:p>
      <w:pPr>
        <w:spacing w:after="120"/>
      </w:pPr>
      <w:r>
        <w:t xml:space="preserve">Qui applique quoi en cas de violation. </w:t>
      </w:r>
      <w:r>
        <w:rPr>
          <w:b/>
          <w:bCs/>
        </w:rPr>
        <w:t xml:space="preserve">Autorités nommées, sanctions `INCONNU`.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4"/>
        <w:gridCol w:w="2920"/>
        <w:gridCol w:w="2711"/>
        <w:gridCol w:w="2923"/>
      </w:tblGrid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Domaine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Autorité nommée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Sanction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Données personnelles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CNDP</w:t>
            </w:r>
            <w:r>
              <w:rPr>
                <w:sz w:val="19"/>
                <w:szCs w:val="19"/>
              </w:rPr>
              <w:t xml:space="preserve"> — Commission nationale de contrôle de la protection des données à caractère personnel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Administrative, possiblement pénale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— aucun barème lu. Des montants circulent dans les résultats de recherche ; je n'en reprends aucun, faute d'avoir lu la source</w:t>
            </w:r>
          </w:p>
        </w:tc>
      </w:tr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Protection du consommateur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Ministère de l'Industrie et du Commerce</w:t>
            </w:r>
            <w:r>
              <w:rPr>
                <w:sz w:val="19"/>
                <w:szCs w:val="19"/>
              </w:rPr>
              <w:t xml:space="preserve">, et associations de consommateurs agréées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</w:tr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Fiscalité, facturation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DGI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</w:tr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Import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Administration des Douanes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Office des changes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</w:p>
        </w:tc>
      </w:tr>
      <w:tr>
        <w:tc>
          <w:tcPr>
            <w:tcW w:type="dxa" w:w="1084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Confiance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L'acheteur.</w:t>
            </w:r>
            <w:r>
              <w:rPr>
                <w:sz w:val="19"/>
                <w:szCs w:val="19"/>
              </w:rPr>
              <w:t xml:space="preserve"> Sans autorité, sans procédure, et sans recours</w:t>
            </w:r>
          </w:p>
        </w:tc>
        <w:tc>
          <w:tcPr>
            <w:tcW w:type="dxa" w:w="271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Abandon du panier, refus à la livraison, bouche-à-oreille négatif</w:t>
            </w:r>
          </w:p>
        </w:tc>
        <w:tc>
          <w:tcPr>
            <w:tcW w:type="dxa" w:w="292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seule « sanction » dont le mécanisme est compris — et la seule qui s'applique dès la première commande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Le nom d'une autorité n'est pas une règle.</w:t>
      </w:r>
      <w:r>
        <w:t xml:space="preserve"> Ces quatre institutions sont identifiables sans source ; ce qu'elles exigent ne l'est pas. La ligne « Confiance » est la seule du tableau qui n'attend pas de source — et c'est la seule qui mordra au premier jour.</w:t>
      </w:r>
    </w:p>
    <w:p>
      <w:pPr>
        <w:spacing w:after="120"/>
      </w:pPr>
      <w:r>
        <w:t xml:space="preserve">&lt;!-- Complétude : Chaque règle cite une source datée. Les UNKNOWNs sont routés, pas comblés.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BLOCKED sur le critère d'entrée de l'activité 3 — « accès aux sources réglementaires ou professionnelles ». La politique réseau de l'environnement bloque TOUTE lecture de page : WebFetch rend EGRESS_BLOCKED sur chaque domaine essayé, curl direct rend 000. Seule la recherche reste possible, et elle ne donne ni citation littérale ni page 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AUCUNE règle métier n'est établie. Toutes sont INCONNU et routées, jamais comblées — la tour confirme le verdict : sans citation littérale, une affirmation est UNVALIDATED (factory_source_claim, 2026-09-21).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Les sources listées sont des CANDIDATES : adresse réelle et date de repérage, mais aucune n'a été lue. Une source non lue n'est pas une source approuvée.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Levée : autoriser les domaines dans la politique d'egress de l'environnement, ou fournir les documents dans le dépôt.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product/C1.2-strategie/domain/critic-definition.md</w:t>
      </w:r>
    </w:p>
    <w:p>
      <w:pPr>
        <w:pStyle w:val="Heading1"/>
      </w:pPr>
      <w:r>
        <w:t xml:space="preserve">WP-07 — Définition du critic métier · critic-definition.md</w:t>
      </w:r>
    </w:p>
    <w:p>
      <w:pPr>
        <w:pStyle w:val="Heading2"/>
        <w:keepNext/>
      </w:pPr>
      <w:r>
        <w:t xml:space="preserve">Identity and tools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36"/>
        <w:gridCol w:w="7102"/>
      </w:tblGrid>
      <w:tr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Nom</w:t>
            </w:r>
          </w:p>
        </w:tc>
        <w:tc>
          <w:tcPr>
            <w:tcW w:type="dxa" w:w="710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critic-domain-padel-maroc</w:t>
            </w:r>
          </w:p>
        </w:tc>
      </w:tr>
      <w:tr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Domaine</w:t>
            </w:r>
          </w:p>
        </w:tc>
        <w:tc>
          <w:tcPr>
            <w:tcW w:type="dxa" w:w="710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Vente en ligne d'équipement de padel au Maroc — réglementation applicable au commerce électronique, usages d'achat, logistique en paiement à la livraison</w:t>
            </w:r>
          </w:p>
        </w:tc>
      </w:tr>
      <w:tr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Outils</w:t>
            </w:r>
          </w:p>
        </w:tc>
        <w:tc>
          <w:tcPr>
            <w:tcW w:type="dxa" w:w="710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Grep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Glob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WebFetch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b/>
                <w:bCs/>
                <w:sz w:val="19"/>
                <w:szCs w:val="19"/>
              </w:rPr>
              <w:t xml:space="preserve">lecture seule, déclarée au niveau de l'outillage</w:t>
            </w:r>
            <w:r>
              <w:rPr>
                <w:sz w:val="19"/>
                <w:szCs w:val="19"/>
              </w:rPr>
              <w:t xml:space="preserve"> et non seulement en prose</w:t>
            </w:r>
          </w:p>
        </w:tc>
      </w:tr>
      <w:tr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Interdits d'outillage</w:t>
            </w:r>
          </w:p>
        </w:tc>
        <w:tc>
          <w:tcPr>
            <w:tcW w:type="dxa" w:w="710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Write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NotebookEdit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Bash</w:t>
            </w:r>
            <w:r>
              <w:rPr>
                <w:sz w:val="19"/>
                <w:szCs w:val="19"/>
              </w:rPr>
              <w:t xml:space="preserve">. L'absence de ces outils dans le front-matter est la garantie ; une phrase disant « il n'écrit pas » n'en est pas une</w:t>
            </w:r>
          </w:p>
        </w:tc>
      </w:tr>
      <w:tr>
        <w:tc>
          <w:tcPr>
            <w:tcW w:type="dxa" w:w="2536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Modèle</w:t>
            </w:r>
          </w:p>
        </w:tc>
        <w:tc>
          <w:tcPr>
            <w:tcW w:type="dxa" w:w="7102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Jamais inférieur à celui du producteur de l'artefact évalué (R2). Classe de capacité résolue par l'adaptateur,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build/build-adapter.mjs#MODEL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Pourquoi `WebFetch` figure dans une liste de lecture seule.</w:t>
      </w:r>
      <w:r>
        <w:t xml:space="preserve"> Lire une source extérieure est la fonction même de ce critic : sans elle il juge de mémoire, ce que la section « Sources adossées » lui interdit explicitement. </w:t>
      </w:r>
      <w:r>
        <w:rPr>
          <w:b/>
          <w:bCs/>
        </w:rPr>
        <w:t xml:space="preserve">Et c'est précisément l'outil que l'environnement bloque aujourd'hui</w:t>
      </w:r>
      <w:r>
        <w:t xml:space="preserve"> — d'où un critic complet sur le papier et inopérant en fait.</w:t>
      </w:r>
    </w:p>
    <w:p>
      <w:pPr>
        <w:pStyle w:val="Heading2"/>
        <w:keepNext/>
      </w:pPr>
      <w:r>
        <w:t xml:space="preserve">Authority and write boundary</w:t>
      </w:r>
    </w:p>
    <w:p>
      <w:pPr>
        <w:spacing w:after="120"/>
      </w:pPr>
      <w:r>
        <w:rPr>
          <w:b/>
          <w:bCs/>
        </w:rPr>
        <w:t xml:space="preserve">Son verdict, dans le dossier de reviews. Rien d'autre, sous aucune condition.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7"/>
        <w:gridCol w:w="7581"/>
      </w:tblGrid>
      <w:tr>
        <w:tc>
          <w:tcPr>
            <w:tcW w:type="dxa" w:w="205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Écrit</w:t>
            </w:r>
          </w:p>
        </w:tc>
        <w:tc>
          <w:tcPr>
            <w:tcW w:type="dxa" w:w="75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fichier de verdict, au chemin de reviews déclaré au registre pour l'artefact évalué</w:t>
            </w:r>
          </w:p>
        </w:tc>
      </w:tr>
      <w:tr>
        <w:tc>
          <w:tcPr>
            <w:tcW w:type="dxa" w:w="205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N'écrit pas</w:t>
            </w:r>
          </w:p>
        </w:tc>
        <w:tc>
          <w:tcPr>
            <w:tcW w:type="dxa" w:w="75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L'artefact évalué · aucun livrable · aucun fichier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product/</w:t>
            </w:r>
            <w:r>
              <w:rPr>
                <w:sz w:val="19"/>
                <w:szCs w:val="19"/>
              </w:rPr>
              <w:t xml:space="preserve"> hors reviews · aucun fichier de gouvernance</w:t>
            </w:r>
          </w:p>
        </w:tc>
      </w:tr>
      <w:tr>
        <w:tc>
          <w:tcPr>
            <w:tcW w:type="dxa" w:w="205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 franchit pas</w:t>
            </w:r>
          </w:p>
        </w:tc>
        <w:tc>
          <w:tcPr>
            <w:tcW w:type="dxa" w:w="75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Aucune gate. Il n'a pas d'autorité de gate, et un verdict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</w:t>
            </w:r>
            <w:r>
              <w:rPr>
                <w:sz w:val="19"/>
                <w:szCs w:val="19"/>
              </w:rPr>
              <w:t xml:space="preserve"> n'est pas un franchissement</w:t>
            </w:r>
          </w:p>
        </w:tc>
      </w:tr>
      <w:tr>
        <w:tc>
          <w:tcPr>
            <w:tcW w:type="dxa" w:w="205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 corrige pas</w:t>
            </w:r>
          </w:p>
        </w:tc>
        <w:tc>
          <w:tcPr>
            <w:tcW w:type="dxa" w:w="758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Même une faute évidente, même une virgule. Il la signale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FND-nn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Écrit en interdiction d'outillage, pas seulement en prose</w:t>
      </w:r>
      <w:r>
        <w:t xml:space="preserve"> : sans </w:t>
      </w:r>
      <w:r>
        <w:rPr>
          <w:rFonts w:ascii="Consolas" w:cs="Consolas" w:eastAsia="Consolas" w:hAnsi="Consolas"/>
        </w:rPr>
        <w:t xml:space="preserve">Write</w:t>
      </w:r>
      <w:r>
        <w:t xml:space="preserve"> ni </w:t>
      </w:r>
      <w:r>
        <w:rPr>
          <w:rFonts w:ascii="Consolas" w:cs="Consolas" w:eastAsia="Consolas" w:hAnsi="Consolas"/>
        </w:rPr>
        <w:t xml:space="preserve">Edit</w:t>
      </w:r>
      <w:r>
        <w:t xml:space="preserve">, la frontière tient même si le texte est ignoré. Une frontière qui repose sur la bonne volonté du lecteur n'est pas une frontière — c'est la leçon que la garde </w:t>
      </w:r>
      <w:r>
        <w:rPr>
          <w:rFonts w:ascii="Consolas" w:cs="Consolas" w:eastAsia="Consolas" w:hAnsi="Consolas"/>
        </w:rPr>
        <w:t xml:space="preserve">PreToolUse</w:t>
      </w:r>
      <w:r>
        <w:t xml:space="preserve"> applique déjà à ce dépôt.</w:t>
      </w:r>
    </w:p>
    <w:p>
      <w:pPr>
        <w:pStyle w:val="Heading2"/>
        <w:keepNext/>
      </w:pPr>
      <w:r>
        <w:t xml:space="preserve">Input contract</w:t>
      </w:r>
    </w:p>
    <w:p>
      <w:pPr>
        <w:spacing w:after="120"/>
      </w:pPr>
      <w:r>
        <w:t xml:space="preserve">Les artefacts exigés avant tout jugement. </w:t>
      </w:r>
      <w:r>
        <w:rPr>
          <w:b/>
          <w:bCs/>
        </w:rPr>
        <w:t xml:space="preserve">Si l'un manque : `BLOCKED`</w:t>
      </w:r>
      <w:r>
        <w:t xml:space="preserve"> — jamais un verdict partiel présenté comme complet.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39"/>
        <w:gridCol w:w="4960"/>
        <w:gridCol w:w="639"/>
      </w:tblGrid>
      <w:tr>
        <w:tc>
          <w:tcPr>
            <w:tcW w:type="dxa" w:w="40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Pourquoi</w:t>
            </w:r>
          </w:p>
        </w:tc>
        <w:tc>
          <w:tcPr>
            <w:tcW w:type="dxa" w:w="6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 absent</w:t>
            </w:r>
          </w:p>
        </w:tc>
      </w:tr>
      <w:tr>
        <w:tc>
          <w:tcPr>
            <w:tcW w:type="dxa" w:w="40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WP-06</w:t>
            </w:r>
            <w:r>
              <w:rPr>
                <w:sz w:val="19"/>
                <w:szCs w:val="19"/>
              </w:rPr>
              <w:t xml:space="preserve"> — profil de domaine, sources approuvées, règles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 référentiel contre lequel il juge. Sans lui, il jugerait de mémoire</w:t>
            </w:r>
          </w:p>
        </w:tc>
        <w:tc>
          <w:tcPr>
            <w:tcW w:type="dxa" w:w="6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40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L'artefact évalué</w:t>
            </w:r>
            <w:r>
              <w:rPr>
                <w:sz w:val="19"/>
                <w:szCs w:val="19"/>
              </w:rPr>
              <w:t xml:space="preserve">, à un commit nommé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 verdict sur un état non figé est invérifiable</w:t>
            </w:r>
          </w:p>
        </w:tc>
        <w:tc>
          <w:tcPr>
            <w:tcW w:type="dxa" w:w="6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40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baseline applicable</w:t>
            </w:r>
            <w:r>
              <w:rPr>
                <w:sz w:val="19"/>
                <w:szCs w:val="19"/>
              </w:rPr>
              <w:t xml:space="preserve">, si l'artefact en dérive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Pour distinguer un écart d'une évolution autorisée</w:t>
            </w:r>
          </w:p>
        </w:tc>
        <w:tc>
          <w:tcPr>
            <w:tcW w:type="dxa" w:w="6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BLOCKED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`BLOCKED` s'applique aujourd'hui.</w:t>
      </w:r>
      <w:r>
        <w:t xml:space="preserve"> WP-06 n'approuve aucune source : le contrat d'entrée de ce critic n'est pas satisfait, et son premier comportement conforme est de refuser de juger.</w:t>
      </w:r>
    </w:p>
    <w:p>
      <w:pPr>
        <w:pStyle w:val="Heading2"/>
        <w:keepNext/>
      </w:pPr>
      <w:r>
        <w:t xml:space="preserve">Evidence and handover</w:t>
      </w:r>
    </w:p>
    <w:p>
      <w:pPr>
        <w:spacing w:after="120"/>
      </w:pPr>
      <w:r>
        <w:rPr>
          <w:b/>
          <w:bCs/>
        </w:rPr>
        <w:t xml:space="preserve">Forme du verdict</w:t>
      </w:r>
      <w:r>
        <w:t xml:space="preserve">, unique et non négociable :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VERDICT  PASS | FAIL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FND-nn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sévérité     bloquant | majeur | mineur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règle        RG-nn  (de WP-06 — jamais une règle inventée pour l'occasion)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source       SRC-nn + date de consultation + citation littérale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où           fichier:ligne dans l'artefact évalué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démontré par ce qui rend le défaut observable par un tiers</w:t>
      </w:r>
    </w:p>
    <w:p>
      <w:pPr>
        <w:spacing w:after="120"/>
      </w:pPr>
      <w:r>
        <w:rPr>
          <w:b/>
          <w:bCs/>
        </w:rPr>
        <w:t xml:space="preserve">Un finding sans ces cinq champs n'est pas un finding.</w:t>
      </w:r>
      <w:r>
        <w:t xml:space="preserve"> En particulier : un finding sans </w:t>
      </w:r>
      <w:r>
        <w:rPr>
          <w:rFonts w:ascii="Consolas" w:cs="Consolas" w:eastAsia="Consolas" w:hAnsi="Consolas"/>
        </w:rPr>
        <w:t xml:space="preserve">RG-nn</w:t>
      </w:r>
      <w:r>
        <w:t xml:space="preserve"> est une opinion, et un finding dont la source n'a pas de citation littérale est </w:t>
      </w:r>
      <w:r>
        <w:rPr>
          <w:rFonts w:ascii="Consolas" w:cs="Consolas" w:eastAsia="Consolas" w:hAnsi="Consolas"/>
        </w:rPr>
        <w:t xml:space="preserve">UNVALIDATED</w:t>
      </w:r>
      <w:r>
        <w:t xml:space="preserve"> — il descend en observation et ne peut pas fonder un </w:t>
      </w:r>
      <w:r>
        <w:rPr>
          <w:rFonts w:ascii="Consolas" w:cs="Consolas" w:eastAsia="Consolas" w:hAnsi="Consolas"/>
        </w:rPr>
        <w:t xml:space="preserve">FAIL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Handover</w:t>
      </w:r>
      <w:r>
        <w:t xml:space="preserve"> : le verdict est rendu au </w:t>
      </w:r>
      <w:r>
        <w:rPr>
          <w:rFonts w:ascii="Consolas" w:cs="Consolas" w:eastAsia="Consolas" w:hAnsi="Consolas"/>
        </w:rPr>
        <w:t xml:space="preserve">factory-lead</w:t>
      </w:r>
      <w:r>
        <w:t xml:space="preserve">, qui l'assemble au pack de preuves sans le pré-arbitrer. Le critic ne discute pas son verdict avec le producteur ; en cas de non-convergence après deux tours, </w:t>
      </w:r>
      <w:r>
        <w:rPr>
          <w:b/>
          <w:bCs/>
        </w:rPr>
        <w:t xml:space="preserve">EX1</w:t>
      </w:r>
      <w:r>
        <w:t xml:space="preserve"> s'applique — arrêt de la boucle, les deux positions consignées en l'état, et interdiction d'une troisième soumission à l'identique.</w:t>
      </w:r>
    </w:p>
    <w:p>
      <w:pPr>
        <w:pStyle w:val="Heading2"/>
        <w:keepNext/>
      </w:pPr>
      <w:r>
        <w:t xml:space="preserve">Separation of duties</w:t>
      </w:r>
    </w:p>
    <w:p>
      <w:pPr>
        <w:spacing w:after="120"/>
      </w:pPr>
      <w:r>
        <w:rPr>
          <w:b/>
          <w:bCs/>
        </w:rPr>
        <w:t xml:space="preserve">N'évalue jamais un artefact qu'il a contribué à produire, ni un artefact issu d'une session partageant son contexte.</w:t>
      </w:r>
    </w:p>
    <w:p>
      <w:pPr>
        <w:spacing w:after="120"/>
      </w:pPr>
      <w:r>
        <w:rPr>
          <w:b/>
          <w:bCs/>
        </w:rPr>
        <w:t xml:space="preserve">Cette clause est violée aujourd'hui, et je le déclare.</w:t>
      </w:r>
      <w:r>
        <w:t xml:space="preserve"> Ce run est en </w:t>
      </w:r>
      <w:r>
        <w:rPr>
          <w:rFonts w:ascii="Consolas" w:cs="Consolas" w:eastAsia="Consolas" w:hAnsi="Consolas"/>
        </w:rPr>
        <w:t xml:space="preserve">RUN MODE SOLO</w:t>
      </w:r>
      <w:r>
        <w:t xml:space="preserve">, un humain, et les livrables comme les critics sont portés dans la même session. Tout verdict rendu dans ces conditions doit porter la mention :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INDEPENDENCE NOT AVAILABLE</w:t>
      </w:r>
    </w:p>
    <w:p>
      <w:pPr>
        <w:spacing w:after="120"/>
      </w:pPr>
      <w:r>
        <w:t xml:space="preserve">— et </w:t>
      </w:r>
      <w:r>
        <w:rPr>
          <w:b/>
          <w:bCs/>
        </w:rPr>
        <w:t xml:space="preserve">ne jamais être présenté comme indépendant</w:t>
      </w:r>
      <w:r>
        <w:t xml:space="preserve">. C'est le troisième cas d'EX2, et il ne se lève pas par déclaration de bonne foi : il se lève par une seconde personne, ou il reste déclaré. K5 (</w:t>
      </w:r>
      <w:r>
        <w:rPr>
          <w:rFonts w:ascii="Consolas" w:cs="Consolas" w:eastAsia="Consolas" w:hAnsi="Consolas"/>
        </w:rPr>
        <w:t xml:space="preserve">Builder ≠ Judge</w:t>
      </w:r>
      <w:r>
        <w:t xml:space="preserve">) contrôle la séparation au niveau du registre ; il ne peut pas contrôler qu'une session ne joue pas deux rôles.</w:t>
      </w:r>
    </w:p>
    <w:p>
      <w:pPr>
        <w:pStyle w:val="Heading2"/>
        <w:keepNext/>
      </w:pPr>
      <w:r>
        <w:t xml:space="preserve">Sources adossées et échelle épistémique</w:t>
      </w:r>
    </w:p>
    <w:p>
      <w:pPr>
        <w:spacing w:after="120"/>
      </w:pPr>
      <w:r>
        <w:t xml:space="preserve">Chaque affirmation du critic porte une étiquette. </w:t>
      </w:r>
      <w:r>
        <w:rPr>
          <w:b/>
          <w:bCs/>
        </w:rPr>
        <w:t xml:space="preserve">L'étiquette est obligatoire et ne s'améliore jamais par reformulation.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2267"/>
        <w:gridCol w:w="2891"/>
        <w:gridCol w:w="351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Étiquette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Définition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 qui la fonde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Peut fonder un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FAIL</w:t>
            </w:r>
            <w:r>
              <w:rPr>
                <w:b/>
                <w:bCs/>
                <w:sz w:val="19"/>
                <w:szCs w:val="19"/>
              </w:rPr>
              <w:t xml:space="preserve"> ?</w:t>
            </w:r>
          </w:p>
        </w:tc>
      </w:tr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`FAIT`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Établi par une source datée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URL + date de consultation + </w:t>
            </w:r>
            <w:r>
              <w:rPr>
                <w:b/>
                <w:bCs/>
                <w:sz w:val="19"/>
                <w:szCs w:val="19"/>
              </w:rPr>
              <w:t xml:space="preserve">citation littérale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`PRATIQUE`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Usage recueilli sur le terrain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Entretien daté, participant identifié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oui, en sévérité majeure au plus</w:t>
            </w:r>
          </w:p>
        </w:tc>
      </w:tr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`ABSTRACTION`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Généralisation à partir de plusieurs cas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Les cas, énumérés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 — observation</w:t>
            </w:r>
          </w:p>
        </w:tc>
      </w:tr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`INFÉRENCE`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Déduction du critic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Les prémisses, explicites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 — observation</w:t>
            </w:r>
          </w:p>
        </w:tc>
      </w:tr>
      <w:tr>
        <w:tc>
          <w:tcPr>
            <w:tcW w:type="dxa" w:w="963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`INCONNU`</w:t>
            </w:r>
          </w:p>
        </w:tc>
        <w:tc>
          <w:tcPr>
            <w:tcW w:type="dxa" w:w="226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 établi</w:t>
            </w:r>
          </w:p>
        </w:tc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17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jamais</w:t>
            </w:r>
            <w:r>
              <w:rPr>
                <w:sz w:val="19"/>
                <w:szCs w:val="19"/>
              </w:rPr>
              <w:t xml:space="preserve">, et ne se tait pas non plus :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INCONNU</w:t>
            </w:r>
            <w:r>
              <w:rPr>
                <w:sz w:val="19"/>
                <w:szCs w:val="19"/>
              </w:rPr>
              <w:t xml:space="preserve"> se route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La règle qui fait tout le travail</w:t>
      </w:r>
      <w:r>
        <w:t xml:space="preserve"> : le critic cite des sources externes, </w:t>
      </w:r>
      <w:r>
        <w:rPr>
          <w:b/>
          <w:bCs/>
        </w:rPr>
        <w:t xml:space="preserve">pas la mémoire du modèle</w:t>
      </w:r>
      <w:r>
        <w:t xml:space="preserve">. Une affirmation sur le droit marocain ou sur le padel au Maroc qui ne s'adosse pas à </w:t>
      </w:r>
      <w:r>
        <w:rPr>
          <w:rFonts w:ascii="Consolas" w:cs="Consolas" w:eastAsia="Consolas" w:hAnsi="Consolas"/>
        </w:rPr>
        <w:t xml:space="preserve">critic-sources.md</w:t>
      </w:r>
      <w:r>
        <w:t xml:space="preserve"> est </w:t>
      </w:r>
      <w:r>
        <w:rPr>
          <w:rFonts w:ascii="Consolas" w:cs="Consolas" w:eastAsia="Consolas" w:hAnsi="Consolas"/>
        </w:rPr>
        <w:t xml:space="preserve">INCONNU</w:t>
      </w:r>
      <w:r>
        <w:t xml:space="preserve">, quelle que soit sa vraisemblance — et la vraisemblance est précisément ce qui rend ce défaut indétectable à la lecture.</w:t>
      </w:r>
    </w:p>
    <w:p>
      <w:pPr>
        <w:pStyle w:val="Heading2"/>
        <w:keepNext/>
      </w:pPr>
      <w:r>
        <w:t xml:space="preserve">Cas de test connu</w:t>
      </w:r>
    </w:p>
    <w:p>
      <w:pPr>
        <w:spacing w:after="120"/>
      </w:pPr>
      <w:r>
        <w:rPr>
          <w:b/>
          <w:bCs/>
        </w:rPr>
        <w:t xml:space="preserve">Écrit avant exécution, et c'est délibéré</w:t>
      </w:r>
      <w:r>
        <w:t xml:space="preserve"> : un cas de test rédigé après avoir vu la réponse ne teste rien. Il est exécutable tel quel dès la levée du blocage réseau.</w:t>
      </w:r>
    </w:p>
    <w:p>
      <w:pPr>
        <w:spacing w:after="120"/>
      </w:pPr>
      <w:r>
        <w:rPr>
          <w:b/>
          <w:bCs/>
        </w:rPr>
        <w:t xml:space="preserve">Artefact soumis</w:t>
      </w:r>
      <w:r>
        <w:t xml:space="preserve"> — une fiche produit de test, à écrire au moment de l'épreuve, présentant une raquette avec : prix affiché hors frais de livraison, aucun délai de livraison annoncé, aucune identité du vendeur, et aucune mention du droit de rétractation.</w:t>
      </w:r>
    </w:p>
    <w:p>
      <w:pPr>
        <w:spacing w:after="120"/>
      </w:pPr>
      <w:r>
        <w:rPr>
          <w:b/>
          <w:bCs/>
        </w:rPr>
        <w:t xml:space="preserve">Conformité connue indépendamment</w:t>
      </w:r>
      <w:r>
        <w:t xml:space="preserve"> : non conforme. Le cas est construit pour violer RG-01 (rétractation) et RG-02 (information précontractuelle), deux règles dont la source — loi 31-08, CAND-01 — est publique et vérifiable par un tiers sans passer par ce dépôt.</w:t>
      </w:r>
    </w:p>
    <w:p>
      <w:pPr>
        <w:spacing w:after="120"/>
      </w:pPr>
      <w:r>
        <w:rPr>
          <w:b/>
          <w:bCs/>
        </w:rPr>
        <w:t xml:space="preserve">Réponse attendue :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VERDICT  FAIL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FND-01   bloquant · RG-02 · SRC-01 · information précontractuelle incomplète</w:t>
      </w:r>
    </w:p>
    <w:p>
      <w:pPr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FND-02   bloquant · RG-01 · SRC-01 · droit de rétractation non mentionné</w:t>
      </w:r>
    </w:p>
    <w:p>
      <w:pPr>
        <w:spacing w:after="120"/>
      </w:pPr>
      <w:r>
        <w:rPr>
          <w:b/>
          <w:bCs/>
        </w:rPr>
        <w:t xml:space="preserve">Réponse rendue :</w:t>
      </w:r>
      <w:r>
        <w:t xml:space="preserve"> — · </w:t>
      </w:r>
      <w:r>
        <w:rPr>
          <w:b/>
          <w:bCs/>
        </w:rPr>
        <w:t xml:space="preserve">Date :</w:t>
      </w:r>
      <w:r>
        <w:t xml:space="preserve"> — · </w:t>
      </w:r>
      <w:r>
        <w:rPr>
          <w:b/>
          <w:bCs/>
        </w:rPr>
        <w:t xml:space="preserve">Statut : NON ÉPROUVÉ.</w:t>
      </w:r>
    </w:p>
    <w:p>
      <w:pPr>
        <w:spacing w:after="120"/>
      </w:pPr>
      <w:r>
        <w:rPr>
          <w:b/>
          <w:bCs/>
        </w:rPr>
        <w:t xml:space="preserve">Pourquoi l'épreuve ne peut pas avoir lieu aujourd'hui.</w:t>
      </w:r>
      <w:r>
        <w:t xml:space="preserve"> Elle exige que RG-01 et RG-02 soient des règles établies, donc que CAND-01 ait été lue et citée littéralement. Elle ne l'a pas été. Exécuter le test malgré tout produirait un </w:t>
      </w:r>
      <w:r>
        <w:rPr>
          <w:rFonts w:ascii="Consolas" w:cs="Consolas" w:eastAsia="Consolas" w:hAnsi="Consolas"/>
        </w:rPr>
        <w:t xml:space="preserve">FAIL</w:t>
      </w:r>
      <w:r>
        <w:t xml:space="preserve"> fondé sur ce que je crois savoir du droit marocain — c'est-à-dire un critic qui juge de mémoire, exactement ce que sa définition lui interdit. </w:t>
      </w:r>
      <w:r>
        <w:rPr>
          <w:b/>
          <w:bCs/>
        </w:rPr>
        <w:t xml:space="preserve">Un critic non éprouvé n'est pas un critic</w:t>
      </w:r>
      <w:r>
        <w:t xml:space="preserve">, et celui-ci ne doit pas être invoqué avant de l'être.</w:t>
      </w:r>
    </w:p>
    <w:p>
      <w:pPr>
        <w:spacing w:after="120"/>
      </w:pPr>
      <w:r>
        <w:t xml:space="preserve">&lt;!-- Complétude : Le critic cite des sources externes et non la mémoire du modèle. Définition revue par un humain. Éprouvé sur son cas de test.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 critic est DÉFINI mais NON ÉPROUVÉ. Le critère de sortie de l'activité 3 exige « critic déployé et éprouvé sur un cas connu dont la réponse est vérifiable indépendamment » : la vérification indépendante suppose une source lisible, et la politique réseau de l'environnement bloque toute lecture de page. Un critic non éprouvé n'est pas un critic.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Son dossier de sources (critic-sources.md) est VIDE de sources de rang 1 : WP-06 n'a approuvé aucune source. Le critic ne peut donc rendre que des INCONNU.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 cas de test est ÉCRIT et sa réponse attendue fixée, pour être exécutable dès la levée du blocage sans être réécrit après coup — un cas de test rédigé après avoir vu la réponse ne teste rien.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Levée : autoriser les domaines dans la politique d'egress, ou fournir les documents dans le dépôt.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7C766B"/>
          <w:spacing w:val="20"/>
          <w:sz w:val="15"/>
          <w:szCs w:val="15"/>
        </w:rPr>
        <w:t xml:space="preserve">FICHIER  ·  product/C1.2-strategie/domain/critic-sources.md</w:t>
      </w:r>
    </w:p>
    <w:p>
      <w:pPr>
        <w:pStyle w:val="Heading1"/>
      </w:pPr>
      <w:r>
        <w:t xml:space="preserve">WP-07 — Définition du critic métier · critic-sources.md</w:t>
      </w:r>
    </w:p>
    <w:p>
      <w:pPr>
        <w:pStyle w:val="Heading2"/>
        <w:keepNext/>
      </w:pPr>
      <w:r>
        <w:t xml:space="preserve">Sources adossées et échelle épistémique</w:t>
      </w:r>
    </w:p>
    <w:p>
      <w:pPr>
        <w:pStyle w:val="Heading3"/>
        <w:keepNext/>
      </w:pPr>
      <w:r>
        <w:t xml:space="preserve">Rang 1 — réglementaire : source primaire, citable littéralement</w:t>
      </w:r>
    </w:p>
    <w:p>
      <w:pPr>
        <w:spacing w:after="120"/>
      </w:pPr>
      <w:r>
        <w:rPr>
          <w:b/>
          <w:bCs/>
        </w:rPr>
        <w:t xml:space="preserve">Aucune.</w:t>
      </w:r>
      <w:r>
        <w:t xml:space="preserve"> Un </w:t>
      </w:r>
      <w:r>
        <w:rPr>
          <w:rFonts w:ascii="Consolas" w:cs="Consolas" w:eastAsia="Consolas" w:hAnsi="Consolas"/>
        </w:rPr>
        <w:t xml:space="preserve">FAIT</w:t>
      </w:r>
      <w:r>
        <w:t xml:space="preserve"> ne peut être posé qu'à partir d'une source de ce rang. Le dossier étant vide, </w:t>
      </w:r>
      <w:r>
        <w:rPr>
          <w:b/>
          <w:bCs/>
        </w:rPr>
        <w:t xml:space="preserve">le critic ne peut rendre aucun `FAIT`</w:t>
      </w:r>
      <w:r>
        <w:t xml:space="preserve"> — donc aucun </w:t>
      </w:r>
      <w:r>
        <w:rPr>
          <w:rFonts w:ascii="Consolas" w:cs="Consolas" w:eastAsia="Consolas" w:hAnsi="Consolas"/>
        </w:rPr>
        <w:t xml:space="preserve">FAIL</w:t>
      </w:r>
      <w:r>
        <w:t xml:space="preserve"> de sévérité bloquante.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3331"/>
        <w:gridCol w:w="3391"/>
        <w:gridCol w:w="2441"/>
      </w:tblGrid>
      <w:tr>
        <w:tc>
          <w:tcPr>
            <w:tcW w:type="dxa" w:w="47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Réf.</w:t>
            </w:r>
          </w:p>
        </w:tc>
        <w:tc>
          <w:tcPr>
            <w:tcW w:type="dxa" w:w="333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Attendue</w:t>
            </w:r>
          </w:p>
        </w:tc>
        <w:tc>
          <w:tcPr>
            <w:tcW w:type="dxa" w:w="33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Origine candidate</w:t>
            </w:r>
          </w:p>
        </w:tc>
        <w:tc>
          <w:tcPr>
            <w:tcW w:type="dxa" w:w="24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SRC-01</w:t>
            </w:r>
          </w:p>
        </w:tc>
        <w:tc>
          <w:tcPr>
            <w:tcW w:type="dxa" w:w="333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Loi 31-08 — protection du consommateur, vente à distance</w:t>
            </w:r>
          </w:p>
        </w:tc>
        <w:tc>
          <w:tcPr>
            <w:tcW w:type="dxa" w:w="33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CAND-01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wipo.int</w:t>
            </w:r>
            <w:r>
              <w:rPr>
                <w:sz w:val="19"/>
                <w:szCs w:val="19"/>
              </w:rPr>
              <w:t xml:space="preserve">) · CAND-02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khidmat-almostahlik.ma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4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 lue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EGRESS_BLOCKED</w:t>
            </w:r>
            <w:r>
              <w:rPr>
                <w:sz w:val="19"/>
                <w:szCs w:val="19"/>
              </w:rPr>
              <w:t xml:space="preserve"> / HTTP 000</w:t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SRC-02</w:t>
            </w:r>
          </w:p>
        </w:tc>
        <w:tc>
          <w:tcPr>
            <w:tcW w:type="dxa" w:w="333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Loi 09-08 et lignes directrices CNDP</w:t>
            </w:r>
          </w:p>
        </w:tc>
        <w:tc>
          <w:tcPr>
            <w:tcW w:type="dxa" w:w="33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CAND-03, CAND-04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cndp.ma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4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 lue</w:t>
            </w:r>
          </w:p>
        </w:tc>
      </w:tr>
      <w:tr>
        <w:tc>
          <w:tcPr>
            <w:tcW w:type="dxa" w:w="475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SRC-03</w:t>
            </w:r>
          </w:p>
        </w:tc>
        <w:tc>
          <w:tcPr>
            <w:tcW w:type="dxa" w:w="333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Régime fiscal et douanier de la vente en ligne</w:t>
            </w:r>
          </w:p>
        </w:tc>
        <w:tc>
          <w:tcPr>
            <w:tcW w:type="dxa" w:w="339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aucune candidate identifiée</w:t>
            </w:r>
          </w:p>
        </w:tc>
        <w:tc>
          <w:tcPr>
            <w:tcW w:type="dxa" w:w="2441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 identifiée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Rang 2 — professionnelle : usage de filière, second témoin admissible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169"/>
        <w:gridCol w:w="1839"/>
        <w:gridCol w:w="193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Réf.</w:t>
            </w:r>
          </w:p>
        </w:tc>
        <w:tc>
          <w:tcPr>
            <w:tcW w:type="dxa" w:w="51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Attendue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Origine candidate</w:t>
            </w:r>
          </w:p>
        </w:tc>
        <w:tc>
          <w:tcPr>
            <w:tcW w:type="dxa" w:w="193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shd w:fill="F1EC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État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SRC-04</w:t>
            </w:r>
          </w:p>
        </w:tc>
        <w:tc>
          <w:tcPr>
            <w:tcW w:type="dxa" w:w="51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Structuration du padel au Maroc — clubs, licenciés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CAND-05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frmt.ma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93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 lue</w:t>
            </w:r>
            <w:r>
              <w:rPr>
                <w:sz w:val="19"/>
                <w:szCs w:val="19"/>
              </w:rPr>
              <w:t xml:space="preserve"> — HTTP 000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SRC-05</w:t>
            </w:r>
          </w:p>
        </w:tc>
        <w:tc>
          <w:tcPr>
            <w:tcW w:type="dxa" w:w="516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Poids du paiement à la livraison dans l'e-commerce marocain</w:t>
            </w:r>
          </w:p>
        </w:tc>
        <w:tc>
          <w:tcPr>
            <w:tcW w:type="dxa" w:w="1839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CAND-07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cmi.co.ma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930"/>
            <w:tcBorders>
              <w:top w:val="none" w:color="FFFFFF" w:sz="0"/>
              <w:left w:val="none" w:color="FFFFFF" w:sz="0"/>
              <w:bottom w:val="single" w:color="DCD3C3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non lue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CAND-06 (`padelset.ma`) est écartée du dossier en tant que témoin autonome</w:t>
      </w:r>
      <w:r>
        <w:t xml:space="preserve"> : source secondaire, susceptible de dériver de la fédération. Elle pourra illustrer, jamais fonder — et ne comptera pas comme second témoin de SRC-04.</w:t>
      </w:r>
    </w:p>
    <w:p>
      <w:pPr>
        <w:pStyle w:val="Heading3"/>
        <w:keepNext/>
      </w:pPr>
      <w:r>
        <w:t xml:space="preserve">Rang 3 — contractuelle : ce que le produit s'impose à lui-même</w:t>
      </w:r>
    </w:p>
    <w:p>
      <w:pPr>
        <w:spacing w:after="120"/>
      </w:pPr>
      <w:r>
        <w:rPr>
          <w:b/>
          <w:bCs/>
        </w:rPr>
        <w:t xml:space="preserve">Aucune</w:t>
      </w:r>
      <w:r>
        <w:t xml:space="preserve"> — il n'existe ni conditions générales, ni contrat de transport, ni politique de retour. Ce rang se remplira aux activités 9 et 14, et il est le seul des trois qui ne dépende d'aucun accès extérieur.</w:t>
      </w:r>
    </w:p>
    <w:p>
      <w:pPr>
        <w:pStyle w:val="Heading3"/>
        <w:keepNext/>
      </w:pPr>
      <w:r>
        <w:t xml:space="preserve">Ce que ce dossier vide implique pour tout verdict rendu d'ici là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Toute affirmation du critic est `INCONNU`.</w:t>
      </w:r>
      <w:r>
        <w:t xml:space="preserve"> Pas </w:t>
      </w:r>
      <w:r>
        <w:rPr>
          <w:rFonts w:ascii="Consolas" w:cs="Consolas" w:eastAsia="Consolas" w:hAnsi="Consolas"/>
        </w:rPr>
        <w:t xml:space="preserve">INFÉRENCE</w:t>
      </w:r>
      <w:r>
        <w:t xml:space="preserve">, pas </w:t>
      </w:r>
      <w:r>
        <w:rPr>
          <w:rFonts w:ascii="Consolas" w:cs="Consolas" w:eastAsia="Consolas" w:hAnsi="Consolas"/>
        </w:rPr>
        <w:t xml:space="preserve">ABSTRACTION</w:t>
      </w:r>
      <w:r>
        <w:t xml:space="preserve"> :</w:t>
      </w:r>
    </w:p>
    <w:p>
      <w:pPr>
        <w:spacing w:after="120"/>
      </w:pPr>
      <w:r>
        <w:t xml:space="preserve">   </w:t>
      </w:r>
      <w:r>
        <w:rPr>
          <w:rFonts w:ascii="Consolas" w:cs="Consolas" w:eastAsia="Consolas" w:hAnsi="Consolas"/>
        </w:rPr>
        <w:t xml:space="preserve">INCONNU</w:t>
      </w:r>
      <w:r>
        <w:t xml:space="preserve">, faute de prémisses établies.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Aucun `FAIL` bloquant n'est prononçable</w:t>
      </w:r>
      <w:r>
        <w:t xml:space="preserve">, un finding bloquant exigeant </w:t>
      </w:r>
      <w:r>
        <w:rPr>
          <w:rFonts w:ascii="Consolas" w:cs="Consolas" w:eastAsia="Consolas" w:hAnsi="Consolas"/>
        </w:rPr>
        <w:t xml:space="preserve">RG-nn</w:t>
      </w:r>
      <w:r>
        <w:t xml:space="preserve"> + </w:t>
      </w:r>
      <w:r>
        <w:rPr>
          <w:rFonts w:ascii="Consolas" w:cs="Consolas" w:eastAsia="Consolas" w:hAnsi="Consolas"/>
        </w:rPr>
        <w:t xml:space="preserve">SRC-nn</w:t>
      </w:r>
    </w:p>
    <w:p>
      <w:pPr>
        <w:spacing w:after="120"/>
      </w:pPr>
      <w:r>
        <w:t xml:space="preserve">   + citation littérale.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comportement conforme du critic est de refuser de juger</w:t>
      </w:r>
      <w:r>
        <w:t xml:space="preserve"> — </w:t>
      </w:r>
      <w:r>
        <w:rPr>
          <w:rFonts w:ascii="Consolas" w:cs="Consolas" w:eastAsia="Consolas" w:hAnsi="Consolas"/>
        </w:rPr>
        <w:t xml:space="preserve">BLOCKED</w:t>
      </w:r>
      <w:r>
        <w:t xml:space="preserve"> au contrat</w:t>
      </w:r>
    </w:p>
    <w:p>
      <w:pPr>
        <w:spacing w:after="120"/>
      </w:pPr>
      <w:r>
        <w:t xml:space="preserve">   d'entrée, WP-06 n'approuvant aucune source.</w:t>
      </w:r>
    </w:p>
    <w:p>
      <w:pPr>
        <w:spacing w:after="120"/>
      </w:pPr>
      <w:r>
        <w:rPr>
          <w:b/>
          <w:bCs/>
        </w:rPr>
        <w:t xml:space="preserve">Le risque que ce fichier existe pour écarter.</w:t>
      </w:r>
      <w:r>
        <w:t xml:space="preserve"> Un critic dont le dossier est vide mais dont la définition est complète </w:t>
      </w:r>
      <w:r>
        <w:rPr>
          <w:i/>
          <w:iCs/>
        </w:rPr>
        <w:t xml:space="preserve">paraît</w:t>
      </w:r>
      <w:r>
        <w:t xml:space="preserve"> opérationnel. Invoqué, il rendrait des verdicts formés, argumentés et sans fondement — l'artefact le plus dangereux que cette activité puisse produire, parce qu'il porte l'autorité d'un juge et le contenu d'une conjecture. </w:t>
      </w:r>
      <w:r>
        <w:rPr>
          <w:b/>
          <w:bCs/>
        </w:rPr>
        <w:t xml:space="preserve">Il est donc déclaré non déployé, et ce fichier est la déclaration.</w:t>
      </w:r>
    </w:p>
    <w:p>
      <w:pPr>
        <w:spacing w:after="120"/>
      </w:pPr>
      <w:r>
        <w:t xml:space="preserve">&lt;!-- Complétude : Le critic cite des sources externes et non la mémoire du modèle. Définition revue par un humain. Éprouvé sur son cas de test. --&gt;</w:t>
      </w:r>
    </w:p>
    <w:p>
      <w:pPr>
        <w:pStyle w:val="Heading2"/>
        <w:keepNext/>
      </w:pPr>
      <w:r>
        <w:t xml:space="preserve">Ce qui reste à vérifier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DD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324"/>
                <w:spacing w:val="20"/>
                <w:sz w:val="15"/>
                <w:szCs w:val="15"/>
              </w:rPr>
              <w:t xml:space="preserve">RÉSERVES DÉCLARÉES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 critic est DÉFINI mais NON ÉPROUVÉ. Le critère de sortie de l'activité 3 exige « critic déployé et éprouvé sur un cas connu dont la réponse est vérifiable indépendamment » : la vérification indépendante suppose une source lisible, et la politique réseau de l'environnement bloque toute lecture de page. Un critic non éprouvé n'est pas un critic.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Son dossier de sources (critic-sources.md) est VIDE de sources de rang 1 : WP-06 n'a approuvé aucune source. Le critic ne peut donc rendre que des INCONNU.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 cas de test est ÉCRIT et sa réponse attendue fixée, pour être exécutable dès la levée du blocage sans être réécrit après coup — un cas de test rédigé après avoir vu la réponse ne teste rien.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Levée : autoriser les domaines dans la politique d'egress, ou fournir les documents dans le dépôt.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C766B"/>
        <w:sz w:val="15"/>
        <w:szCs w:val="15"/>
      </w:rPr>
      <w:t xml:space="preserve">Projection du dépôt · page </w:t>
    </w:r>
    <w:r>
      <w:rPr>
        <w:color w:val="7C76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C766B"/>
        <w:sz w:val="15"/>
        <w:szCs w:val="15"/>
      </w:rPr>
      <w:t xml:space="preserve">C1.2 · Profil de domaine, sources approuvées et recevabilité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31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0F1318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F13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131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98324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Ouazzani design — Profil de domaine, sources approuvées et recevabilité</dc:title>
  <dc:creator>Autonomous Product Factory</dc:creator>
  <cp:lastModifiedBy>Un-named</cp:lastModifiedBy>
  <cp:revision>1</cp:revision>
  <dcterms:created xsi:type="dcterms:W3CDTF">2026-10-08T08:56:43.226Z</dcterms:created>
  <dcterms:modified xsi:type="dcterms:W3CDTF">2026-10-08T08:56:43.226Z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