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Arial" w:cs="Arial" w:eastAsia="Arial" w:hAnsi="Arial"/>
          <w:b/>
          <w:bCs/>
          <w:color w:val="D98324"/>
          <w:spacing w:val="30"/>
          <w:sz w:val="16"/>
          <w:szCs w:val="16"/>
        </w:rPr>
        <w:t xml:space="preserve">OUAZZANI DESIGN  ·  C1.3  ·  SQUELETTE DE PARCOURS</w:t>
      </w:r>
    </w:p>
    <w:p>
      <w:pPr>
        <w:pStyle w:val="Title"/>
      </w:pPr>
      <w:r>
        <w:t xml:space="preserve">Recherche et synthèse utilisateur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3"/>
        <w:gridCol w:w="6615"/>
      </w:tblGrid>
      <w:tr>
        <w:tc>
          <w:tcPr>
            <w:tcW w:type="dxa" w:w="3023"/>
            <w:tcBorders>
              <w:top w:val="none" w:color="FFFFFF" w:sz="0"/>
              <w:left w:val="none" w:color="FFFFFF" w:sz="0"/>
              <w:bottom w:val="single" w:color="DCD3C3" w:sz="4"/>
              <w:right w:val="none" w:color="FFFFFF" w:sz="0"/>
            </w:tcBorders>
            <w:tcMar>
              <w:top w:type="dxa" w:w="70"/>
              <w:left w:type="dxa" w:w="110"/>
              <w:bottom w:type="dxa" w:w="70"/>
              <w:right w:type="dxa" w:w="110"/>
            </w:tcMar>
          </w:tcPr>
          <w:p>
            <w:r>
              <w:rPr>
                <w:b/>
                <w:bCs/>
                <w:sz w:val="19"/>
                <w:szCs w:val="19"/>
              </w:rPr>
              <w:t xml:space="preserve">État</w:t>
            </w:r>
          </w:p>
        </w:tc>
        <w:tc>
          <w:tcPr>
            <w:tcW w:type="dxa" w:w="6615"/>
            <w:tcBorders>
              <w:top w:val="none" w:color="FFFFFF" w:sz="0"/>
              <w:left w:val="none" w:color="FFFFFF" w:sz="0"/>
              <w:bottom w:val="single" w:color="DCD3C3" w:sz="4"/>
              <w:right w:val="none" w:color="FFFFFF" w:sz="0"/>
            </w:tcBorders>
            <w:tcMar>
              <w:top w:type="dxa" w:w="70"/>
              <w:left w:type="dxa" w:w="110"/>
              <w:bottom w:type="dxa" w:w="70"/>
              <w:right w:type="dxa" w:w="110"/>
            </w:tcMar>
          </w:tcPr>
          <w:p>
            <w:r>
              <w:rPr>
                <w:sz w:val="19"/>
                <w:szCs w:val="19"/>
              </w:rPr>
              <w:t xml:space="preserve">Partiel — réserves déclarées</w:t>
            </w:r>
          </w:p>
        </w:tc>
      </w:tr>
      <w:tr>
        <w:tc>
          <w:tcPr>
            <w:tcW w:type="dxa" w:w="3023"/>
            <w:tcBorders>
              <w:top w:val="none" w:color="FFFFFF" w:sz="0"/>
              <w:left w:val="none" w:color="FFFFFF" w:sz="0"/>
              <w:bottom w:val="single" w:color="DCD3C3" w:sz="4"/>
              <w:right w:val="none" w:color="FFFFFF" w:sz="0"/>
            </w:tcBorders>
            <w:tcMar>
              <w:top w:type="dxa" w:w="70"/>
              <w:left w:type="dxa" w:w="110"/>
              <w:bottom w:type="dxa" w:w="70"/>
              <w:right w:type="dxa" w:w="110"/>
            </w:tcMar>
          </w:tcPr>
          <w:p>
            <w:r>
              <w:rPr>
                <w:b/>
                <w:bCs/>
                <w:sz w:val="19"/>
                <w:szCs w:val="19"/>
              </w:rPr>
              <w:t xml:space="preserve">Qui le rédige, qui en répond</w:t>
            </w:r>
          </w:p>
        </w:tc>
        <w:tc>
          <w:tcPr>
            <w:tcW w:type="dxa" w:w="6615"/>
            <w:tcBorders>
              <w:top w:val="none" w:color="FFFFFF" w:sz="0"/>
              <w:left w:val="none" w:color="FFFFFF" w:sz="0"/>
              <w:bottom w:val="single" w:color="DCD3C3" w:sz="4"/>
              <w:right w:val="none" w:color="FFFFFF" w:sz="0"/>
            </w:tcBorders>
            <w:tcMar>
              <w:top w:type="dxa" w:w="70"/>
              <w:left w:type="dxa" w:w="110"/>
              <w:bottom w:type="dxa" w:w="70"/>
              <w:right w:type="dxa" w:w="110"/>
            </w:tcMar>
          </w:tcPr>
          <w:p>
            <w:r>
              <w:rPr>
                <w:sz w:val="19"/>
                <w:szCs w:val="19"/>
              </w:rPr>
              <w:t xml:space="preserve">product-designer / Product Owner</w:t>
            </w:r>
          </w:p>
        </w:tc>
      </w:tr>
      <w:tr>
        <w:tc>
          <w:tcPr>
            <w:tcW w:type="dxa" w:w="3023"/>
            <w:tcBorders>
              <w:top w:val="none" w:color="FFFFFF" w:sz="0"/>
              <w:left w:val="none" w:color="FFFFFF" w:sz="0"/>
              <w:bottom w:val="single" w:color="DCD3C3" w:sz="4"/>
              <w:right w:val="none" w:color="FFFFFF" w:sz="0"/>
            </w:tcBorders>
            <w:tcMar>
              <w:top w:type="dxa" w:w="70"/>
              <w:left w:type="dxa" w:w="110"/>
              <w:bottom w:type="dxa" w:w="70"/>
              <w:right w:type="dxa" w:w="110"/>
            </w:tcMar>
          </w:tcPr>
          <w:p>
            <w:r>
              <w:rPr>
                <w:b/>
                <w:bCs/>
                <w:sz w:val="19"/>
                <w:szCs w:val="19"/>
              </w:rPr>
              <w:t xml:space="preserve">Contrôlé en</w:t>
            </w:r>
          </w:p>
        </w:tc>
        <w:tc>
          <w:tcPr>
            <w:tcW w:type="dxa" w:w="6615"/>
            <w:tcBorders>
              <w:top w:val="none" w:color="FFFFFF" w:sz="0"/>
              <w:left w:val="none" w:color="FFFFFF" w:sz="0"/>
              <w:bottom w:val="single" w:color="DCD3C3" w:sz="4"/>
              <w:right w:val="none" w:color="FFFFFF" w:sz="0"/>
            </w:tcBorders>
            <w:tcMar>
              <w:top w:type="dxa" w:w="70"/>
              <w:left w:type="dxa" w:w="110"/>
              <w:bottom w:type="dxa" w:w="70"/>
              <w:right w:type="dxa" w:w="110"/>
            </w:tcMar>
          </w:tcPr>
          <w:p>
            <w:r>
              <w:rPr>
                <w:sz w:val="19"/>
                <w:szCs w:val="19"/>
              </w:rPr>
              <w:t xml:space="preserve">G0</w:t>
            </w:r>
          </w:p>
        </w:tc>
      </w:tr>
      <w:tr>
        <w:tc>
          <w:tcPr>
            <w:tcW w:type="dxa" w:w="3023"/>
            <w:tcBorders>
              <w:top w:val="none" w:color="FFFFFF" w:sz="0"/>
              <w:left w:val="none" w:color="FFFFFF" w:sz="0"/>
              <w:bottom w:val="single" w:color="DCD3C3" w:sz="4"/>
              <w:right w:val="none" w:color="FFFFFF" w:sz="0"/>
            </w:tcBorders>
            <w:tcMar>
              <w:top w:type="dxa" w:w="70"/>
              <w:left w:type="dxa" w:w="110"/>
              <w:bottom w:type="dxa" w:w="70"/>
              <w:right w:type="dxa" w:w="110"/>
            </w:tcMar>
          </w:tcPr>
          <w:p>
            <w:r>
              <w:rPr>
                <w:b/>
                <w:bCs/>
                <w:sz w:val="19"/>
                <w:szCs w:val="19"/>
              </w:rPr>
              <w:t xml:space="preserve">Fichiers du dépôt</w:t>
            </w:r>
          </w:p>
        </w:tc>
        <w:tc>
          <w:tcPr>
            <w:tcW w:type="dxa" w:w="6615"/>
            <w:tcBorders>
              <w:top w:val="none" w:color="FFFFFF" w:sz="0"/>
              <w:left w:val="none" w:color="FFFFFF" w:sz="0"/>
              <w:bottom w:val="single" w:color="DCD3C3" w:sz="4"/>
              <w:right w:val="none" w:color="FFFFFF" w:sz="0"/>
            </w:tcBorders>
            <w:tcMar>
              <w:top w:type="dxa" w:w="70"/>
              <w:left w:type="dxa" w:w="110"/>
              <w:bottom w:type="dxa" w:w="70"/>
              <w:right w:type="dxa" w:w="110"/>
            </w:tcMar>
          </w:tcPr>
          <w:p>
            <w:r>
              <w:rPr>
                <w:sz w:val="19"/>
                <w:szCs w:val="19"/>
              </w:rPr>
              <w:t xml:space="preserve">product/C1.3-parcours/research/research-plan.md · product/C1.3-parcours/research/insights.md</w:t>
            </w:r>
          </w:p>
        </w:tc>
      </w:tr>
    </w:tbl>
    <w:p>
      <w:pPr>
        <w:spacing w:after="120"/>
      </w:pPr>
    </w:p>
    <w:p>
      <w:pPr>
        <w:spacing w:after="120"/>
      </w:pPr>
      <w:r>
        <w:rPr>
          <w:i/>
          <w:iCs/>
          <w:color w:val="7C766B"/>
          <w:sz w:val="17"/>
          <w:szCs w:val="17"/>
        </w:rPr>
        <w:t xml:space="preserve">Document calculé depuis le Markdown du dépôt, qui reste la version contrôlée. Le modifier ici ne change pas le livrable : corriger le fichier source, puis régénérer.</w:t>
      </w:r>
    </w:p>
    <w:p>
      <w:r>
        <w:br w:type="page"/>
      </w:r>
    </w:p>
    <w:p>
      <w:pPr>
        <w:spacing w:after="160"/>
      </w:pPr>
      <w:r>
        <w:rPr>
          <w:rFonts w:ascii="Arial" w:cs="Arial" w:eastAsia="Arial" w:hAnsi="Arial"/>
          <w:b/>
          <w:bCs/>
          <w:color w:val="7C766B"/>
          <w:spacing w:val="20"/>
          <w:sz w:val="15"/>
          <w:szCs w:val="15"/>
        </w:rPr>
        <w:t xml:space="preserve">FICHIER  ·  product/C1.3-parcours/research/research-plan.md</w:t>
      </w:r>
    </w:p>
    <w:p>
      <w:pPr>
        <w:pStyle w:val="Heading1"/>
      </w:pPr>
      <w:r>
        <w:t xml:space="preserve">WP-08 — Recherche et synthèse utilisateur · research-plan.md</w:t>
      </w:r>
    </w:p>
    <w:p>
      <w:pPr>
        <w:pStyle w:val="Heading2"/>
        <w:keepNext/>
      </w:pPr>
      <w:r>
        <w:t xml:space="preserve">Plan de recherche</w:t>
      </w:r>
    </w:p>
    <w:p>
      <w:pPr>
        <w:pStyle w:val="Heading3"/>
        <w:keepNext/>
      </w:pPr>
      <w:r>
        <w:t xml:space="preserve">Ce que cette recherche doit trancher</w:t>
      </w:r>
    </w:p>
    <w:p>
      <w:pPr>
        <w:spacing w:after="120"/>
      </w:pPr>
      <w:r>
        <w:t xml:space="preserve">Quatre hypothèses de WP-05, dont </w:t>
      </w:r>
      <w:r>
        <w:rPr>
          <w:b/>
          <w:bCs/>
        </w:rPr>
        <w:t xml:space="preserve">deux létales</w:t>
      </w:r>
      <w:r>
        <w:t xml:space="preserve">. Rien d'autre. Un protocole qui cherche tout ne prouve rien.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95"/>
        <w:gridCol w:w="7666"/>
        <w:gridCol w:w="877"/>
      </w:tblGrid>
      <w:tr>
        <w:tc>
          <w:tcPr>
            <w:tcW w:type="dxa" w:w="1095"/>
            <w:tcBorders>
              <w:top w:val="none" w:color="FFFFFF" w:sz="0"/>
              <w:left w:val="none" w:color="FFFFFF" w:sz="0"/>
              <w:bottom w:val="single" w:color="DCD3C3" w:sz="4"/>
              <w:right w:val="none" w:color="FFFFFF" w:sz="0"/>
            </w:tcBorders>
            <w:shd w:fill="F1ECE3" w:color="auto" w:val="clear"/>
            <w:tcMar>
              <w:top w:type="dxa" w:w="70"/>
              <w:left w:type="dxa" w:w="110"/>
              <w:bottom w:type="dxa" w:w="70"/>
              <w:right w:type="dxa" w:w="110"/>
            </w:tcMar>
          </w:tcPr>
          <w:p>
            <w:r>
              <w:rPr>
                <w:b/>
                <w:bCs/>
                <w:sz w:val="19"/>
                <w:szCs w:val="19"/>
              </w:rPr>
              <w:t xml:space="preserve">Hypothèse</w:t>
            </w:r>
          </w:p>
        </w:tc>
        <w:tc>
          <w:tcPr>
            <w:tcW w:type="dxa" w:w="7666"/>
            <w:tcBorders>
              <w:top w:val="none" w:color="FFFFFF" w:sz="0"/>
              <w:left w:val="none" w:color="FFFFFF" w:sz="0"/>
              <w:bottom w:val="single" w:color="DCD3C3" w:sz="4"/>
              <w:right w:val="none" w:color="FFFFFF" w:sz="0"/>
            </w:tcBorders>
            <w:shd w:fill="F1ECE3" w:color="auto" w:val="clear"/>
            <w:tcMar>
              <w:top w:type="dxa" w:w="70"/>
              <w:left w:type="dxa" w:w="110"/>
              <w:bottom w:type="dxa" w:w="70"/>
              <w:right w:type="dxa" w:w="110"/>
            </w:tcMar>
          </w:tcPr>
          <w:p>
            <w:r>
              <w:rPr>
                <w:b/>
                <w:bCs/>
                <w:sz w:val="19"/>
                <w:szCs w:val="19"/>
              </w:rPr>
              <w:t xml:space="preserve">Ce que l'entretien doit établir</w:t>
            </w:r>
          </w:p>
        </w:tc>
        <w:tc>
          <w:tcPr>
            <w:tcW w:type="dxa" w:w="877"/>
            <w:tcBorders>
              <w:top w:val="none" w:color="FFFFFF" w:sz="0"/>
              <w:left w:val="none" w:color="FFFFFF" w:sz="0"/>
              <w:bottom w:val="single" w:color="DCD3C3" w:sz="4"/>
              <w:right w:val="none" w:color="FFFFFF" w:sz="0"/>
            </w:tcBorders>
            <w:shd w:fill="F1ECE3" w:color="auto" w:val="clear"/>
            <w:tcMar>
              <w:top w:type="dxa" w:w="70"/>
              <w:left w:type="dxa" w:w="110"/>
              <w:bottom w:type="dxa" w:w="70"/>
              <w:right w:type="dxa" w:w="110"/>
            </w:tcMar>
          </w:tcPr>
          <w:p>
            <w:r>
              <w:rPr>
                <w:b/>
                <w:bCs/>
                <w:sz w:val="19"/>
                <w:szCs w:val="19"/>
              </w:rPr>
              <w:t xml:space="preserve">Létale</w:t>
            </w:r>
          </w:p>
        </w:tc>
      </w:tr>
      <w:tr>
        <w:tc>
          <w:tcPr>
            <w:tcW w:type="dxa" w:w="1095"/>
            <w:tcBorders>
              <w:top w:val="none" w:color="FFFFFF" w:sz="0"/>
              <w:left w:val="none" w:color="FFFFFF" w:sz="0"/>
              <w:bottom w:val="single" w:color="DCD3C3" w:sz="4"/>
              <w:right w:val="none" w:color="FFFFFF" w:sz="0"/>
            </w:tcBorders>
            <w:tcMar>
              <w:top w:type="dxa" w:w="70"/>
              <w:left w:type="dxa" w:w="110"/>
              <w:bottom w:type="dxa" w:w="70"/>
              <w:right w:type="dxa" w:w="110"/>
            </w:tcMar>
          </w:tcPr>
          <w:p>
            <w:r>
              <w:rPr>
                <w:b/>
                <w:bCs/>
                <w:sz w:val="19"/>
                <w:szCs w:val="19"/>
              </w:rPr>
              <w:t xml:space="preserve">HYP-02</w:t>
            </w:r>
          </w:p>
        </w:tc>
        <w:tc>
          <w:tcPr>
            <w:tcW w:type="dxa" w:w="7666"/>
            <w:tcBorders>
              <w:top w:val="none" w:color="FFFFFF" w:sz="0"/>
              <w:left w:val="none" w:color="FFFFFF" w:sz="0"/>
              <w:bottom w:val="single" w:color="DCD3C3" w:sz="4"/>
              <w:right w:val="none" w:color="FFFFFF" w:sz="0"/>
            </w:tcBorders>
            <w:tcMar>
              <w:top w:type="dxa" w:w="70"/>
              <w:left w:type="dxa" w:w="110"/>
              <w:bottom w:type="dxa" w:w="70"/>
              <w:right w:type="dxa" w:w="110"/>
            </w:tcMar>
          </w:tcPr>
          <w:p>
            <w:r>
              <w:rPr>
                <w:sz w:val="19"/>
                <w:szCs w:val="19"/>
              </w:rPr>
              <w:t xml:space="preserve">L'achat d'une raquette passe aujourd'hui par des canaux informels, et cela crée une gêne réelle</w:t>
            </w:r>
          </w:p>
        </w:tc>
        <w:tc>
          <w:tcPr>
            <w:tcW w:type="dxa" w:w="877"/>
            <w:tcBorders>
              <w:top w:val="none" w:color="FFFFFF" w:sz="0"/>
              <w:left w:val="none" w:color="FFFFFF" w:sz="0"/>
              <w:bottom w:val="single" w:color="DCD3C3" w:sz="4"/>
              <w:right w:val="none" w:color="FFFFFF" w:sz="0"/>
            </w:tcBorders>
            <w:tcMar>
              <w:top w:type="dxa" w:w="70"/>
              <w:left w:type="dxa" w:w="110"/>
              <w:bottom w:type="dxa" w:w="70"/>
              <w:right w:type="dxa" w:w="110"/>
            </w:tcMar>
          </w:tcPr>
          <w:p>
            <w:r>
              <w:rPr>
                <w:sz w:val="19"/>
                <w:szCs w:val="19"/>
              </w:rPr>
              <w:t xml:space="preserve">non</w:t>
            </w:r>
          </w:p>
        </w:tc>
      </w:tr>
      <w:tr>
        <w:tc>
          <w:tcPr>
            <w:tcW w:type="dxa" w:w="1095"/>
            <w:tcBorders>
              <w:top w:val="none" w:color="FFFFFF" w:sz="0"/>
              <w:left w:val="none" w:color="FFFFFF" w:sz="0"/>
              <w:bottom w:val="single" w:color="DCD3C3" w:sz="4"/>
              <w:right w:val="none" w:color="FFFFFF" w:sz="0"/>
            </w:tcBorders>
            <w:tcMar>
              <w:top w:type="dxa" w:w="70"/>
              <w:left w:type="dxa" w:w="110"/>
              <w:bottom w:type="dxa" w:w="70"/>
              <w:right w:type="dxa" w:w="110"/>
            </w:tcMar>
          </w:tcPr>
          <w:p>
            <w:r>
              <w:rPr>
                <w:b/>
                <w:bCs/>
                <w:sz w:val="19"/>
                <w:szCs w:val="19"/>
              </w:rPr>
              <w:t xml:space="preserve">HYP-03</w:t>
            </w:r>
          </w:p>
        </w:tc>
        <w:tc>
          <w:tcPr>
            <w:tcW w:type="dxa" w:w="7666"/>
            <w:tcBorders>
              <w:top w:val="none" w:color="FFFFFF" w:sz="0"/>
              <w:left w:val="none" w:color="FFFFFF" w:sz="0"/>
              <w:bottom w:val="single" w:color="DCD3C3" w:sz="4"/>
              <w:right w:val="none" w:color="FFFFFF" w:sz="0"/>
            </w:tcBorders>
            <w:tcMar>
              <w:top w:type="dxa" w:w="70"/>
              <w:left w:type="dxa" w:w="110"/>
              <w:bottom w:type="dxa" w:w="70"/>
              <w:right w:type="dxa" w:w="110"/>
            </w:tcMar>
          </w:tcPr>
          <w:p>
            <w:r>
              <w:rPr>
                <w:sz w:val="19"/>
                <w:szCs w:val="19"/>
              </w:rPr>
              <w:t xml:space="preserve">Cette gêne coûte assez cher — délai, prix, incertitude — pour faire changer de canal</w:t>
            </w:r>
          </w:p>
        </w:tc>
        <w:tc>
          <w:tcPr>
            <w:tcW w:type="dxa" w:w="877"/>
            <w:tcBorders>
              <w:top w:val="none" w:color="FFFFFF" w:sz="0"/>
              <w:left w:val="none" w:color="FFFFFF" w:sz="0"/>
              <w:bottom w:val="single" w:color="DCD3C3" w:sz="4"/>
              <w:right w:val="none" w:color="FFFFFF" w:sz="0"/>
            </w:tcBorders>
            <w:tcMar>
              <w:top w:type="dxa" w:w="70"/>
              <w:left w:type="dxa" w:w="110"/>
              <w:bottom w:type="dxa" w:w="70"/>
              <w:right w:type="dxa" w:w="110"/>
            </w:tcMar>
          </w:tcPr>
          <w:p>
            <w:r>
              <w:rPr>
                <w:sz w:val="19"/>
                <w:szCs w:val="19"/>
              </w:rPr>
              <w:t xml:space="preserve">non</w:t>
            </w:r>
          </w:p>
        </w:tc>
      </w:tr>
      <w:tr>
        <w:tc>
          <w:tcPr>
            <w:tcW w:type="dxa" w:w="1095"/>
            <w:tcBorders>
              <w:top w:val="none" w:color="FFFFFF" w:sz="0"/>
              <w:left w:val="none" w:color="FFFFFF" w:sz="0"/>
              <w:bottom w:val="single" w:color="DCD3C3" w:sz="4"/>
              <w:right w:val="none" w:color="FFFFFF" w:sz="0"/>
            </w:tcBorders>
            <w:tcMar>
              <w:top w:type="dxa" w:w="70"/>
              <w:left w:type="dxa" w:w="110"/>
              <w:bottom w:type="dxa" w:w="70"/>
              <w:right w:type="dxa" w:w="110"/>
            </w:tcMar>
          </w:tcPr>
          <w:p>
            <w:r>
              <w:rPr>
                <w:b/>
                <w:bCs/>
                <w:sz w:val="19"/>
                <w:szCs w:val="19"/>
              </w:rPr>
              <w:t xml:space="preserve">HYP-09</w:t>
            </w:r>
          </w:p>
        </w:tc>
        <w:tc>
          <w:tcPr>
            <w:tcW w:type="dxa" w:w="7666"/>
            <w:tcBorders>
              <w:top w:val="none" w:color="FFFFFF" w:sz="0"/>
              <w:left w:val="none" w:color="FFFFFF" w:sz="0"/>
              <w:bottom w:val="single" w:color="DCD3C3" w:sz="4"/>
              <w:right w:val="none" w:color="FFFFFF" w:sz="0"/>
            </w:tcBorders>
            <w:tcMar>
              <w:top w:type="dxa" w:w="70"/>
              <w:left w:type="dxa" w:w="110"/>
              <w:bottom w:type="dxa" w:w="70"/>
              <w:right w:type="dxa" w:w="110"/>
            </w:tcMar>
          </w:tcPr>
          <w:p>
            <w:r>
              <w:rPr>
                <w:b/>
                <w:bCs/>
                <w:sz w:val="19"/>
                <w:szCs w:val="19"/>
              </w:rPr>
              <w:t xml:space="preserve">Une raquette s'achète sans l'avoir prise en main</w:t>
            </w:r>
          </w:p>
        </w:tc>
        <w:tc>
          <w:tcPr>
            <w:tcW w:type="dxa" w:w="877"/>
            <w:tcBorders>
              <w:top w:val="none" w:color="FFFFFF" w:sz="0"/>
              <w:left w:val="none" w:color="FFFFFF" w:sz="0"/>
              <w:bottom w:val="single" w:color="DCD3C3" w:sz="4"/>
              <w:right w:val="none" w:color="FFFFFF" w:sz="0"/>
            </w:tcBorders>
            <w:tcMar>
              <w:top w:type="dxa" w:w="70"/>
              <w:left w:type="dxa" w:w="110"/>
              <w:bottom w:type="dxa" w:w="70"/>
              <w:right w:type="dxa" w:w="110"/>
            </w:tcMar>
          </w:tcPr>
          <w:p>
            <w:r>
              <w:rPr>
                <w:b/>
                <w:bCs/>
                <w:sz w:val="19"/>
                <w:szCs w:val="19"/>
              </w:rPr>
              <w:t xml:space="preserve">oui</w:t>
            </w:r>
          </w:p>
        </w:tc>
      </w:tr>
      <w:tr>
        <w:tc>
          <w:tcPr>
            <w:tcW w:type="dxa" w:w="1095"/>
            <w:tcBorders>
              <w:top w:val="none" w:color="FFFFFF" w:sz="0"/>
              <w:left w:val="none" w:color="FFFFFF" w:sz="0"/>
              <w:bottom w:val="single" w:color="DCD3C3" w:sz="4"/>
              <w:right w:val="none" w:color="FFFFFF" w:sz="0"/>
            </w:tcBorders>
            <w:tcMar>
              <w:top w:type="dxa" w:w="70"/>
              <w:left w:type="dxa" w:w="110"/>
              <w:bottom w:type="dxa" w:w="70"/>
              <w:right w:type="dxa" w:w="110"/>
            </w:tcMar>
          </w:tcPr>
          <w:p>
            <w:r>
              <w:rPr>
                <w:b/>
                <w:bCs/>
                <w:sz w:val="19"/>
                <w:szCs w:val="19"/>
              </w:rPr>
              <w:t xml:space="preserve">HYP-04</w:t>
            </w:r>
          </w:p>
        </w:tc>
        <w:tc>
          <w:tcPr>
            <w:tcW w:type="dxa" w:w="7666"/>
            <w:tcBorders>
              <w:top w:val="none" w:color="FFFFFF" w:sz="0"/>
              <w:left w:val="none" w:color="FFFFFF" w:sz="0"/>
              <w:bottom w:val="single" w:color="DCD3C3" w:sz="4"/>
              <w:right w:val="none" w:color="FFFFFF" w:sz="0"/>
            </w:tcBorders>
            <w:tcMar>
              <w:top w:type="dxa" w:w="70"/>
              <w:left w:type="dxa" w:w="110"/>
              <w:bottom w:type="dxa" w:w="70"/>
              <w:right w:type="dxa" w:w="110"/>
            </w:tcMar>
          </w:tcPr>
          <w:p>
            <w:r>
              <w:rPr>
                <w:sz w:val="19"/>
                <w:szCs w:val="19"/>
              </w:rPr>
              <w:t xml:space="preserve">Un canal d'acquisition atteignable existe — et notamment : le prescripteur est-il le coach ?</w:t>
            </w:r>
          </w:p>
        </w:tc>
        <w:tc>
          <w:tcPr>
            <w:tcW w:type="dxa" w:w="877"/>
            <w:tcBorders>
              <w:top w:val="none" w:color="FFFFFF" w:sz="0"/>
              <w:left w:val="none" w:color="FFFFFF" w:sz="0"/>
              <w:bottom w:val="single" w:color="DCD3C3" w:sz="4"/>
              <w:right w:val="none" w:color="FFFFFF" w:sz="0"/>
            </w:tcBorders>
            <w:tcMar>
              <w:top w:type="dxa" w:w="70"/>
              <w:left w:type="dxa" w:w="110"/>
              <w:bottom w:type="dxa" w:w="70"/>
              <w:right w:type="dxa" w:w="110"/>
            </w:tcMar>
          </w:tcPr>
          <w:p>
            <w:r>
              <w:rPr>
                <w:b/>
                <w:bCs/>
                <w:sz w:val="19"/>
                <w:szCs w:val="19"/>
              </w:rPr>
              <w:t xml:space="preserve">oui</w:t>
            </w:r>
          </w:p>
        </w:tc>
      </w:tr>
    </w:tbl>
    <w:p>
      <w:pPr>
        <w:spacing w:after="120"/>
      </w:pPr>
    </w:p>
    <w:p>
      <w:pPr>
        <w:spacing w:after="120"/>
      </w:pPr>
      <w:r>
        <w:rPr>
          <w:b/>
          <w:bCs/>
        </w:rPr>
        <w:t xml:space="preserve">HYP-01, HYP-05, HYP-06 et HYP-10 ne sont PAS testées ici.</w:t>
      </w:r>
      <w:r>
        <w:t xml:space="preserve"> Elles relèvent de sources documentaires (activité 3) ou de la mise en service (activité 26). Un joueur interrogé ne sait pas combien de licenciés compte son pays, ni quel est le taux de refus sectoriel en paiement à la livraison. Le lui demander produirait une opinion qu'on prendrait pour une donnée.</w:t>
      </w:r>
    </w:p>
    <w:p>
      <w:pPr>
        <w:pStyle w:val="Heading3"/>
        <w:keepNext/>
      </w:pPr>
      <w:r>
        <w:t xml:space="preserve">Échantillon visé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3"/>
        <w:gridCol w:w="7255"/>
      </w:tblGrid>
      <w:tr>
        <w:tc>
          <w:tcPr>
            <w:tcW w:type="dxa" w:w="2383"/>
            <w:tcBorders>
              <w:top w:val="none" w:color="FFFFFF" w:sz="0"/>
              <w:left w:val="none" w:color="FFFFFF" w:sz="0"/>
              <w:bottom w:val="single" w:color="DCD3C3" w:sz="4"/>
              <w:right w:val="none" w:color="FFFFFF" w:sz="0"/>
            </w:tcBorders>
            <w:tcMar>
              <w:top w:type="dxa" w:w="70"/>
              <w:left w:type="dxa" w:w="110"/>
              <w:bottom w:type="dxa" w:w="70"/>
              <w:right w:type="dxa" w:w="110"/>
            </w:tcMar>
          </w:tcPr>
          <w:p>
            <w:r>
              <w:rPr>
                <w:b/>
                <w:bCs/>
                <w:sz w:val="19"/>
                <w:szCs w:val="19"/>
              </w:rPr>
              <w:t xml:space="preserve">Taille</w:t>
            </w:r>
          </w:p>
        </w:tc>
        <w:tc>
          <w:tcPr>
            <w:tcW w:type="dxa" w:w="7255"/>
            <w:tcBorders>
              <w:top w:val="none" w:color="FFFFFF" w:sz="0"/>
              <w:left w:val="none" w:color="FFFFFF" w:sz="0"/>
              <w:bottom w:val="single" w:color="DCD3C3" w:sz="4"/>
              <w:right w:val="none" w:color="FFFFFF" w:sz="0"/>
            </w:tcBorders>
            <w:tcMar>
              <w:top w:type="dxa" w:w="70"/>
              <w:left w:type="dxa" w:w="110"/>
              <w:bottom w:type="dxa" w:w="70"/>
              <w:right w:type="dxa" w:w="110"/>
            </w:tcMar>
          </w:tcPr>
          <w:p>
            <w:r>
              <w:rPr>
                <w:b/>
                <w:bCs/>
                <w:sz w:val="19"/>
                <w:szCs w:val="19"/>
              </w:rPr>
              <w:t xml:space="preserve">8 participants minimum</w:t>
            </w:r>
            <w:r>
              <w:rPr>
                <w:sz w:val="19"/>
                <w:szCs w:val="19"/>
              </w:rPr>
              <w:t xml:space="preserve">, 12 visés. Huit est le seuil retenu par les critères de falsification de WP-05 — « sur au moins 8 joueurs interrogés, plus de la moitié… » ; en deçà, ces critères ne sont pas applicables et l'étiquette </w:t>
            </w:r>
            <w:r>
              <w:rPr>
                <w:rFonts w:ascii="Consolas" w:cs="Consolas" w:eastAsia="Consolas" w:hAnsi="Consolas"/>
                <w:sz w:val="19"/>
                <w:szCs w:val="19"/>
              </w:rPr>
              <w:t xml:space="preserve">EMPIRICAL</w:t>
            </w:r>
            <w:r>
              <w:rPr>
                <w:sz w:val="19"/>
                <w:szCs w:val="19"/>
              </w:rPr>
              <w:t xml:space="preserve"> n'est pas atteignable</w:t>
            </w:r>
          </w:p>
        </w:tc>
      </w:tr>
      <w:tr>
        <w:tc>
          <w:tcPr>
            <w:tcW w:type="dxa" w:w="2383"/>
            <w:tcBorders>
              <w:top w:val="none" w:color="FFFFFF" w:sz="0"/>
              <w:left w:val="none" w:color="FFFFFF" w:sz="0"/>
              <w:bottom w:val="single" w:color="DCD3C3" w:sz="4"/>
              <w:right w:val="none" w:color="FFFFFF" w:sz="0"/>
            </w:tcBorders>
            <w:tcMar>
              <w:top w:type="dxa" w:w="70"/>
              <w:left w:type="dxa" w:w="110"/>
              <w:bottom w:type="dxa" w:w="70"/>
              <w:right w:type="dxa" w:w="110"/>
            </w:tcMar>
          </w:tcPr>
          <w:p>
            <w:r>
              <w:rPr>
                <w:b/>
                <w:bCs/>
                <w:sz w:val="19"/>
                <w:szCs w:val="19"/>
              </w:rPr>
              <w:t xml:space="preserve">Critère d'inclusion</w:t>
            </w:r>
          </w:p>
        </w:tc>
        <w:tc>
          <w:tcPr>
            <w:tcW w:type="dxa" w:w="7255"/>
            <w:tcBorders>
              <w:top w:val="none" w:color="FFFFFF" w:sz="0"/>
              <w:left w:val="none" w:color="FFFFFF" w:sz="0"/>
              <w:bottom w:val="single" w:color="DCD3C3" w:sz="4"/>
              <w:right w:val="none" w:color="FFFFFF" w:sz="0"/>
            </w:tcBorders>
            <w:tcMar>
              <w:top w:type="dxa" w:w="70"/>
              <w:left w:type="dxa" w:w="110"/>
              <w:bottom w:type="dxa" w:w="70"/>
              <w:right w:type="dxa" w:w="110"/>
            </w:tcMar>
          </w:tcPr>
          <w:p>
            <w:r>
              <w:rPr>
                <w:sz w:val="19"/>
                <w:szCs w:val="19"/>
              </w:rPr>
              <w:t xml:space="preserve">Joue au padel au Maroc, en club, et </w:t>
            </w:r>
            <w:r>
              <w:rPr>
                <w:b/>
                <w:bCs/>
                <w:sz w:val="19"/>
                <w:szCs w:val="19"/>
              </w:rPr>
              <w:t xml:space="preserve">possède ou a acheté une raquette dans les 24 derniers mois</w:t>
            </w:r>
            <w:r>
              <w:rPr>
                <w:sz w:val="19"/>
                <w:szCs w:val="19"/>
              </w:rPr>
              <w:t xml:space="preserve">. L'achat récent est ce qui rend le souvenir exploitable</w:t>
            </w:r>
          </w:p>
        </w:tc>
      </w:tr>
      <w:tr>
        <w:tc>
          <w:tcPr>
            <w:tcW w:type="dxa" w:w="2383"/>
            <w:tcBorders>
              <w:top w:val="none" w:color="FFFFFF" w:sz="0"/>
              <w:left w:val="none" w:color="FFFFFF" w:sz="0"/>
              <w:bottom w:val="single" w:color="DCD3C3" w:sz="4"/>
              <w:right w:val="none" w:color="FFFFFF" w:sz="0"/>
            </w:tcBorders>
            <w:tcMar>
              <w:top w:type="dxa" w:w="70"/>
              <w:left w:type="dxa" w:w="110"/>
              <w:bottom w:type="dxa" w:w="70"/>
              <w:right w:type="dxa" w:w="110"/>
            </w:tcMar>
          </w:tcPr>
          <w:p>
            <w:r>
              <w:rPr>
                <w:b/>
                <w:bCs/>
                <w:sz w:val="19"/>
                <w:szCs w:val="19"/>
              </w:rPr>
              <w:t xml:space="preserve">Critère d'exclusion</w:t>
            </w:r>
          </w:p>
        </w:tc>
        <w:tc>
          <w:tcPr>
            <w:tcW w:type="dxa" w:w="7255"/>
            <w:tcBorders>
              <w:top w:val="none" w:color="FFFFFF" w:sz="0"/>
              <w:left w:val="none" w:color="FFFFFF" w:sz="0"/>
              <w:bottom w:val="single" w:color="DCD3C3" w:sz="4"/>
              <w:right w:val="none" w:color="FFFFFF" w:sz="0"/>
            </w:tcBorders>
            <w:tcMar>
              <w:top w:type="dxa" w:w="70"/>
              <w:left w:type="dxa" w:w="110"/>
              <w:bottom w:type="dxa" w:w="70"/>
              <w:right w:type="dxa" w:w="110"/>
            </w:tcMar>
          </w:tcPr>
          <w:p>
            <w:r>
              <w:rPr>
                <w:sz w:val="19"/>
                <w:szCs w:val="19"/>
              </w:rPr>
              <w:t xml:space="preserve">N'a jamais acheté de raquette — ne peut rien dire du parcours d'achat</w:t>
            </w:r>
          </w:p>
        </w:tc>
      </w:tr>
      <w:tr>
        <w:tc>
          <w:tcPr>
            <w:tcW w:type="dxa" w:w="2383"/>
            <w:tcBorders>
              <w:top w:val="none" w:color="FFFFFF" w:sz="0"/>
              <w:left w:val="none" w:color="FFFFFF" w:sz="0"/>
              <w:bottom w:val="single" w:color="DCD3C3" w:sz="4"/>
              <w:right w:val="none" w:color="FFFFFF" w:sz="0"/>
            </w:tcBorders>
            <w:tcMar>
              <w:top w:type="dxa" w:w="70"/>
              <w:left w:type="dxa" w:w="110"/>
              <w:bottom w:type="dxa" w:w="70"/>
              <w:right w:type="dxa" w:w="110"/>
            </w:tcMar>
          </w:tcPr>
          <w:p>
            <w:r>
              <w:rPr>
                <w:b/>
                <w:bCs/>
                <w:sz w:val="19"/>
                <w:szCs w:val="19"/>
              </w:rPr>
              <w:t xml:space="preserve">Quotas de diversité</w:t>
            </w:r>
          </w:p>
        </w:tc>
        <w:tc>
          <w:tcPr>
            <w:tcW w:type="dxa" w:w="7255"/>
            <w:tcBorders>
              <w:top w:val="none" w:color="FFFFFF" w:sz="0"/>
              <w:left w:val="none" w:color="FFFFFF" w:sz="0"/>
              <w:bottom w:val="single" w:color="DCD3C3" w:sz="4"/>
              <w:right w:val="none" w:color="FFFFFF" w:sz="0"/>
            </w:tcBorders>
            <w:tcMar>
              <w:top w:type="dxa" w:w="70"/>
              <w:left w:type="dxa" w:w="110"/>
              <w:bottom w:type="dxa" w:w="70"/>
              <w:right w:type="dxa" w:w="110"/>
            </w:tcMar>
          </w:tcPr>
          <w:p>
            <w:r>
              <w:rPr>
                <w:sz w:val="19"/>
                <w:szCs w:val="19"/>
              </w:rPr>
              <w:t xml:space="preserve">Au moins 3 femmes · au moins 2 débutants (moins d'un an de pratique) · au moins 2 villes · au moins 2 joueurs ayant acheté </w:t>
            </w:r>
            <w:r>
              <w:rPr>
                <w:b/>
                <w:bCs/>
                <w:sz w:val="19"/>
                <w:szCs w:val="19"/>
              </w:rPr>
              <w:t xml:space="preserve">hors</w:t>
            </w:r>
            <w:r>
              <w:rPr>
                <w:sz w:val="19"/>
                <w:szCs w:val="19"/>
              </w:rPr>
              <w:t xml:space="preserve"> grande distribution</w:t>
            </w:r>
          </w:p>
        </w:tc>
      </w:tr>
      <w:tr>
        <w:tc>
          <w:tcPr>
            <w:tcW w:type="dxa" w:w="2383"/>
            <w:tcBorders>
              <w:top w:val="none" w:color="FFFFFF" w:sz="0"/>
              <w:left w:val="none" w:color="FFFFFF" w:sz="0"/>
              <w:bottom w:val="single" w:color="DCD3C3" w:sz="4"/>
              <w:right w:val="none" w:color="FFFFFF" w:sz="0"/>
            </w:tcBorders>
            <w:tcMar>
              <w:top w:type="dxa" w:w="70"/>
              <w:left w:type="dxa" w:w="110"/>
              <w:bottom w:type="dxa" w:w="70"/>
              <w:right w:type="dxa" w:w="110"/>
            </w:tcMar>
          </w:tcPr>
          <w:p>
            <w:r>
              <w:rPr>
                <w:b/>
                <w:bCs/>
                <w:sz w:val="19"/>
                <w:szCs w:val="19"/>
              </w:rPr>
              <w:t xml:space="preserve">Recrutement</w:t>
            </w:r>
          </w:p>
        </w:tc>
        <w:tc>
          <w:tcPr>
            <w:tcW w:type="dxa" w:w="7255"/>
            <w:tcBorders>
              <w:top w:val="none" w:color="FFFFFF" w:sz="0"/>
              <w:left w:val="none" w:color="FFFFFF" w:sz="0"/>
              <w:bottom w:val="single" w:color="DCD3C3" w:sz="4"/>
              <w:right w:val="none" w:color="FFFFFF" w:sz="0"/>
            </w:tcBorders>
            <w:tcMar>
              <w:top w:type="dxa" w:w="70"/>
              <w:left w:type="dxa" w:w="110"/>
              <w:bottom w:type="dxa" w:w="70"/>
              <w:right w:type="dxa" w:w="110"/>
            </w:tcMar>
          </w:tcPr>
          <w:p>
            <w:r>
              <w:rPr>
                <w:sz w:val="19"/>
                <w:szCs w:val="19"/>
              </w:rPr>
              <w:t xml:space="preserve">Par les clubs. </w:t>
            </w:r>
            <w:r>
              <w:rPr>
                <w:b/>
                <w:bCs/>
                <w:sz w:val="19"/>
                <w:szCs w:val="19"/>
              </w:rPr>
              <w:t xml:space="preserve">Pas exclusivement par le cercle personnel du sponsor</w:t>
            </w:r>
            <w:r>
              <w:rPr>
                <w:sz w:val="19"/>
                <w:szCs w:val="19"/>
              </w:rPr>
              <w:t xml:space="preserve"> — voir biais B-01</w:t>
            </w:r>
          </w:p>
        </w:tc>
      </w:tr>
    </w:tbl>
    <w:p>
      <w:pPr>
        <w:spacing w:after="120"/>
      </w:pPr>
    </w:p>
    <w:p>
      <w:pPr>
        <w:pStyle w:val="Heading3"/>
        <w:keepNext/>
      </w:pPr>
      <w:r>
        <w:t xml:space="preserve">Protocole d'entretien — identique pour tous</w:t>
      </w:r>
    </w:p>
    <w:p>
      <w:pPr>
        <w:spacing w:after="120"/>
      </w:pPr>
      <w:r>
        <w:rPr>
          <w:b/>
          <w:bCs/>
        </w:rPr>
        <w:t xml:space="preserve">Semi-directif, 30 à 40 minutes, en français ou en darija au choix du participant.</w:t>
      </w:r>
      <w:r>
        <w:t xml:space="preserve"> Les questions ci-dessous sont posées </w:t>
      </w:r>
      <w:r>
        <w:rPr>
          <w:b/>
          <w:bCs/>
        </w:rPr>
        <w:t xml:space="preserve">dans cet ordre, à tous</w:t>
      </w:r>
      <w:r>
        <w:t xml:space="preserve">, sans exception. Les relances sont libres ; les questions ne le sont pas.</w:t>
      </w:r>
    </w:p>
    <w:p>
      <w:pPr>
        <w:spacing w:after="120"/>
      </w:pPr>
      <w:r>
        <w:rPr>
          <w:b/>
          <w:bCs/>
        </w:rPr>
        <w:t xml:space="preserve">Ouverture — cadre et consentement</w:t>
      </w:r>
      <w:r>
        <w:t xml:space="preserve"> </w:t>
      </w:r>
      <w:r>
        <w:rPr>
          <w:i/>
          <w:iCs/>
        </w:rPr>
        <w:t xml:space="preserve">(à lire, pas à paraphraser)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none" w:color="FFFFFF" w:sz="0"/>
              <w:bottom w:val="none" w:color="FFFFFF" w:sz="0"/>
              <w:right w:val="none" w:color="FFFFFF" w:sz="0"/>
            </w:tcBorders>
            <w:shd w:fill="FAEDDC" w:color="auto" w:val="clear"/>
            <w:tcMar>
              <w:top w:type="dxa" w:w="70"/>
              <w:left w:type="dxa" w:w="110"/>
              <w:bottom w:type="dxa" w:w="70"/>
              <w:right w:type="dxa" w:w="110"/>
            </w:tcMar>
          </w:tcPr>
          <w:p>
            <w:pPr>
              <w:spacing w:after="60"/>
            </w:pPr>
            <w:r>
              <w:rPr>
                <w:rFonts w:ascii="Arial" w:cs="Arial" w:eastAsia="Arial" w:hAnsi="Arial"/>
                <w:b/>
                <w:bCs/>
                <w:color w:val="D98324"/>
                <w:spacing w:val="20"/>
                <w:sz w:val="15"/>
                <w:szCs w:val="15"/>
              </w:rPr>
              <w:t xml:space="preserve">À RETENIR</w:t>
            </w:r>
          </w:p>
          <w:p>
            <w:pPr>
              <w:spacing w:after="40"/>
            </w:pPr>
            <w:r>
              <w:rPr>
                <w:sz w:val="20"/>
                <w:szCs w:val="20"/>
              </w:rPr>
              <w:t xml:space="preserve">« Je prépare un projet de vente de raquettes de padel en ligne au Maroc. Je cherche à</w:t>
            </w:r>
          </w:p>
          <w:p>
            <w:pPr>
              <w:spacing w:after="40"/>
            </w:pPr>
            <w:r>
              <w:rPr>
                <w:sz w:val="20"/>
                <w:szCs w:val="20"/>
              </w:rPr>
              <w:t xml:space="preserve">comprendre comment vous achetez votre matériel — pas à vous vendre quoi que ce soit. Il n'y a</w:t>
            </w:r>
          </w:p>
          <w:p>
            <w:pPr>
              <w:spacing w:after="40"/>
            </w:pPr>
            <w:r>
              <w:rPr>
                <w:sz w:val="20"/>
                <w:szCs w:val="20"/>
              </w:rPr>
              <w:t xml:space="preserve">pas de bonne réponse. Je prends des notes écrites ; j'enregistre seulement si vous</w:t>
            </w:r>
          </w:p>
          <w:p>
            <w:pPr>
              <w:spacing w:after="40"/>
            </w:pPr>
            <w:r>
              <w:rPr>
                <w:sz w:val="20"/>
                <w:szCs w:val="20"/>
              </w:rPr>
              <w:t xml:space="preserve">l'acceptez. Vous pouvez arrêter quand vous voulez, et je supprime tout sur demande. »</w:t>
            </w:r>
          </w:p>
        </w:tc>
      </w:tr>
    </w:tbl>
    <w:p>
      <w:pPr>
        <w:spacing w:after="120"/>
      </w:pPr>
    </w:p>
    <w:p>
      <w:pPr>
        <w:spacing w:after="120"/>
      </w:pPr>
      <w:r>
        <w:rPr>
          <w:b/>
          <w:bCs/>
        </w:rPr>
        <w:t xml:space="preserve">Bloc 1 — le dernier achat, reconstitué</w:t>
      </w:r>
      <w:r>
        <w:t xml:space="preserve"> </w:t>
      </w:r>
      <w:r>
        <w:rPr>
          <w:i/>
          <w:iCs/>
        </w:rPr>
        <w:t xml:space="preserve">(HYP-02, HYP-03)</w:t>
      </w:r>
    </w:p>
    <w:p>
      <w:pPr>
        <w:pStyle w:val="ListParagraph"/>
        <w:numPr>
          <w:ilvl w:val="0"/>
          <w:numId w:val="2"/>
        </w:numPr>
        <w:spacing w:after="60"/>
      </w:pPr>
      <w:r>
        <w:t xml:space="preserve">Racontez-moi votre dernière raquette : quand, et comment elle est arrivée entre vos mains ?</w:t>
      </w:r>
    </w:p>
    <w:p>
      <w:pPr>
        <w:pStyle w:val="ListParagraph"/>
        <w:numPr>
          <w:ilvl w:val="0"/>
          <w:numId w:val="2"/>
        </w:numPr>
        <w:spacing w:after="60"/>
      </w:pPr>
      <w:r>
        <w:t xml:space="preserve">Par où avez-vous commencé à chercher ? Et ensuite ?</w:t>
      </w:r>
    </w:p>
    <w:p>
      <w:pPr>
        <w:pStyle w:val="ListParagraph"/>
        <w:numPr>
          <w:ilvl w:val="0"/>
          <w:numId w:val="2"/>
        </w:numPr>
        <w:spacing w:after="60"/>
      </w:pPr>
      <w:r>
        <w:t xml:space="preserve">Combien de temps s'est écoulé entre le moment où vous avez décidé et le moment où vous</w:t>
      </w:r>
    </w:p>
    <w:p>
      <w:pPr>
        <w:spacing w:after="120"/>
      </w:pPr>
      <w:r>
        <w:t xml:space="preserve">   l'avez eue ?</w:t>
      </w:r>
    </w:p>
    <w:p>
      <w:pPr>
        <w:pStyle w:val="ListParagraph"/>
        <w:numPr>
          <w:ilvl w:val="0"/>
          <w:numId w:val="2"/>
        </w:numPr>
        <w:spacing w:after="60"/>
      </w:pPr>
      <w:r>
        <w:t xml:space="preserve">Qu'est-ce qui a été pénible, s'il y a eu quelque chose de pénible ?</w:t>
      </w:r>
    </w:p>
    <w:p>
      <w:pPr>
        <w:pStyle w:val="ListParagraph"/>
        <w:numPr>
          <w:ilvl w:val="0"/>
          <w:numId w:val="2"/>
        </w:numPr>
        <w:spacing w:after="60"/>
      </w:pPr>
      <w:r>
        <w:t xml:space="preserve">Y a-t-il un achat que vous avez </w:t>
      </w:r>
      <w:r>
        <w:rPr>
          <w:b/>
          <w:bCs/>
        </w:rPr>
        <w:t xml:space="preserve">renoncé</w:t>
      </w:r>
      <w:r>
        <w:t xml:space="preserve"> à faire ? Pourquoi ?</w:t>
      </w:r>
    </w:p>
    <w:p>
      <w:pPr>
        <w:spacing w:after="120"/>
      </w:pPr>
      <w:r>
        <w:rPr>
          <w:b/>
          <w:bCs/>
        </w:rPr>
        <w:t xml:space="preserve">Bloc 2 — l'essai</w:t>
      </w:r>
      <w:r>
        <w:t xml:space="preserve"> </w:t>
      </w:r>
      <w:r>
        <w:rPr>
          <w:i/>
          <w:iCs/>
        </w:rPr>
        <w:t xml:space="preserve">(HYP-09, létale)</w:t>
      </w:r>
    </w:p>
    <w:p>
      <w:pPr>
        <w:pStyle w:val="ListParagraph"/>
        <w:numPr>
          <w:ilvl w:val="0"/>
          <w:numId w:val="2"/>
        </w:numPr>
        <w:spacing w:after="60"/>
      </w:pPr>
      <w:r>
        <w:t xml:space="preserve">Avant d'acheter, avez-vous tenu la raquette en main ? Joué avec ?</w:t>
      </w:r>
    </w:p>
    <w:p>
      <w:pPr>
        <w:pStyle w:val="ListParagraph"/>
        <w:numPr>
          <w:ilvl w:val="0"/>
          <w:numId w:val="2"/>
        </w:numPr>
        <w:spacing w:after="60"/>
      </w:pPr>
      <w:r>
        <w:rPr>
          <w:i/>
          <w:iCs/>
        </w:rPr>
        <w:t xml:space="preserve">(si oui)</w:t>
      </w:r>
      <w:r>
        <w:t xml:space="preserve"> Auriez-vous acheté sans l'avoir essayée ? Qu'est-ce qu'il aurait fallu pour ça ?</w:t>
      </w:r>
    </w:p>
    <w:p>
      <w:pPr>
        <w:pStyle w:val="ListParagraph"/>
        <w:numPr>
          <w:ilvl w:val="0"/>
          <w:numId w:val="2"/>
        </w:numPr>
        <w:spacing w:after="60"/>
      </w:pPr>
      <w:r>
        <w:rPr>
          <w:i/>
          <w:iCs/>
        </w:rPr>
        <w:t xml:space="preserve">(si non)</w:t>
      </w:r>
      <w:r>
        <w:t xml:space="preserve"> Sur quoi vous êtes-vous décidé ?</w:t>
      </w:r>
    </w:p>
    <w:p>
      <w:pPr>
        <w:pStyle w:val="ListParagraph"/>
        <w:numPr>
          <w:ilvl w:val="0"/>
          <w:numId w:val="2"/>
        </w:numPr>
        <w:spacing w:after="60"/>
      </w:pPr>
      <w:r>
        <w:t xml:space="preserve">Si vous deviez racheter </w:t>
      </w:r>
      <w:r>
        <w:rPr>
          <w:b/>
          <w:bCs/>
        </w:rPr>
        <w:t xml:space="preserve">exactement le même modèle</w:t>
      </w:r>
      <w:r>
        <w:t xml:space="preserve">, iriez-vous l'essayer à nouveau ?</w:t>
      </w:r>
    </w:p>
    <w:p>
      <w:pPr>
        <w:spacing w:after="120"/>
      </w:pPr>
      <w:r>
        <w:rPr>
          <w:b/>
          <w:bCs/>
        </w:rPr>
        <w:t xml:space="preserve">Bloc 3 — le conseil</w:t>
      </w:r>
      <w:r>
        <w:t xml:space="preserve"> </w:t>
      </w:r>
      <w:r>
        <w:rPr>
          <w:i/>
          <w:iCs/>
        </w:rPr>
        <w:t xml:space="preserve">(HYP-04, létale)</w:t>
      </w:r>
    </w:p>
    <w:p>
      <w:pPr>
        <w:pStyle w:val="ListParagraph"/>
        <w:numPr>
          <w:ilvl w:val="0"/>
          <w:numId w:val="2"/>
        </w:numPr>
        <w:spacing w:after="60"/>
      </w:pPr>
      <w:r>
        <w:t xml:space="preserve">Qui vous a conseillé, ou qui consultez-vous avant ce genre d'achat ?</w:t>
      </w:r>
    </w:p>
    <w:p>
      <w:pPr>
        <w:pStyle w:val="ListParagraph"/>
        <w:numPr>
          <w:ilvl w:val="0"/>
          <w:numId w:val="2"/>
        </w:numPr>
        <w:spacing w:after="60"/>
      </w:pPr>
      <w:r>
        <w:t xml:space="preserve">Votre coach, ou quelqu'un du club, joue-t-il un rôle là-dedans ?</w:t>
      </w:r>
    </w:p>
    <w:p>
      <w:pPr>
        <w:pStyle w:val="ListParagraph"/>
        <w:numPr>
          <w:ilvl w:val="0"/>
          <w:numId w:val="2"/>
        </w:numPr>
        <w:spacing w:after="60"/>
      </w:pPr>
      <w:r>
        <w:t xml:space="preserve">Où voyez-vous passer des offres de matériel de padel, quand vous en voyez ?</w:t>
      </w:r>
    </w:p>
    <w:p>
      <w:pPr>
        <w:spacing w:after="120"/>
      </w:pPr>
      <w:r>
        <w:rPr>
          <w:b/>
          <w:bCs/>
        </w:rPr>
        <w:t xml:space="preserve">Bloc 4 — le paiement et la livraison</w:t>
      </w:r>
      <w:r>
        <w:t xml:space="preserve"> </w:t>
      </w:r>
      <w:r>
        <w:rPr>
          <w:i/>
          <w:iCs/>
        </w:rPr>
        <w:t xml:space="preserve">(HYP-05, contexte seulement)</w:t>
      </w:r>
    </w:p>
    <w:p>
      <w:pPr>
        <w:pStyle w:val="ListParagraph"/>
        <w:numPr>
          <w:ilvl w:val="0"/>
          <w:numId w:val="2"/>
        </w:numPr>
        <w:spacing w:after="60"/>
      </w:pPr>
      <w:r>
        <w:t xml:space="preserve">Avez-vous déjà commandé du matériel de sport en ligne au Maroc ? Comment avez-vous payé ?</w:t>
      </w:r>
    </w:p>
    <w:p>
      <w:pPr>
        <w:pStyle w:val="ListParagraph"/>
        <w:numPr>
          <w:ilvl w:val="0"/>
          <w:numId w:val="2"/>
        </w:numPr>
        <w:spacing w:after="60"/>
      </w:pPr>
      <w:r>
        <w:t xml:space="preserve">Vous est-il arrivé de refuser un colis à la livraison ? Dans quelles circonstances ?</w:t>
      </w:r>
    </w:p>
    <w:p>
      <w:pPr>
        <w:spacing w:after="120"/>
      </w:pPr>
      <w:r>
        <w:rPr>
          <w:b/>
          <w:bCs/>
        </w:rPr>
        <w:t xml:space="preserve">Clôture</w:t>
      </w:r>
    </w:p>
    <w:p>
      <w:pPr>
        <w:pStyle w:val="ListParagraph"/>
        <w:numPr>
          <w:ilvl w:val="0"/>
          <w:numId w:val="2"/>
        </w:numPr>
        <w:spacing w:after="60"/>
      </w:pPr>
      <w:r>
        <w:t xml:space="preserve">Qu'est-ce que je ne vous ai pas demandé et que vous auriez dit ?</w:t>
      </w:r>
    </w:p>
    <w:p>
      <w:pPr>
        <w:pStyle w:val="Heading3"/>
        <w:keepNext/>
      </w:pPr>
      <w:r>
        <w:t xml:space="preserve">Ce que le protocole s'interdit</w:t>
      </w:r>
    </w:p>
    <w:p>
      <w:pPr>
        <w:spacing w:after="120"/>
      </w:pPr>
      <w:r>
        <w:t xml:space="preserve">Ces interdits sont la moitié du protocole. Les enfreindre ne se voit pas dans les verbatims — il ne reste que la réponse qu'on a fabriquée.</w:t>
      </w:r>
    </w:p>
    <w:p>
      <w:pPr>
        <w:pStyle w:val="ListParagraph"/>
        <w:numPr>
          <w:ilvl w:val="0"/>
          <w:numId w:val="2"/>
        </w:numPr>
        <w:spacing w:after="60"/>
      </w:pPr>
      <w:r>
        <w:rPr>
          <w:b/>
          <w:bCs/>
        </w:rPr>
        <w:t xml:space="preserve">Ne jamais décrire le produit envisagé avant le bloc 4.</w:t>
      </w:r>
      <w:r>
        <w:t xml:space="preserve"> Un participant à qui l'on a</w:t>
      </w:r>
    </w:p>
    <w:p>
      <w:pPr>
        <w:spacing w:after="120"/>
      </w:pPr>
      <w:r>
        <w:t xml:space="preserve">  présenté une boutique en ligne répond ensuite sur cette boutique, pas sur sa pratique.</w:t>
      </w:r>
    </w:p>
    <w:p>
      <w:pPr>
        <w:pStyle w:val="ListParagraph"/>
        <w:numPr>
          <w:ilvl w:val="0"/>
          <w:numId w:val="2"/>
        </w:numPr>
        <w:spacing w:after="60"/>
      </w:pPr>
      <w:r>
        <w:rPr>
          <w:b/>
          <w:bCs/>
        </w:rPr>
        <w:t xml:space="preserve">Ne jamais poser les trois usages non écrits de WP-06 comme des faits.</w:t>
      </w:r>
      <w:r>
        <w:t xml:space="preserve"> La négociation par</w:t>
      </w:r>
    </w:p>
    <w:p>
      <w:pPr>
        <w:spacing w:after="120"/>
      </w:pPr>
      <w:r>
        <w:t xml:space="preserve">  messagerie, la pratique du refus, le rôle du coach sont des </w:t>
      </w:r>
      <w:r>
        <w:rPr>
          <w:rFonts w:ascii="Consolas" w:cs="Consolas" w:eastAsia="Consolas" w:hAnsi="Consolas"/>
        </w:rPr>
        <w:t xml:space="preserve">INFÉRENCE</w:t>
      </w:r>
      <w:r>
        <w:t xml:space="preserve">s de ma part : ils   doivent </w:t>
      </w:r>
      <w:r>
        <w:rPr>
          <w:b/>
          <w:bCs/>
        </w:rPr>
        <w:t xml:space="preserve">émerger</w:t>
      </w:r>
      <w:r>
        <w:t xml:space="preserve"> des réponses, ou ne pas émerger. Les énoncer au participant fabriquerait   la confirmation qu'on cherche.</w:t>
      </w:r>
    </w:p>
    <w:p>
      <w:pPr>
        <w:pStyle w:val="ListParagraph"/>
        <w:numPr>
          <w:ilvl w:val="0"/>
          <w:numId w:val="2"/>
        </w:numPr>
        <w:spacing w:after="60"/>
      </w:pPr>
      <w:r>
        <w:rPr>
          <w:b/>
          <w:bCs/>
        </w:rPr>
        <w:t xml:space="preserve">Ne jamais demander de prédiction d'achat</w:t>
      </w:r>
      <w:r>
        <w:t xml:space="preserve"> — « achèteriez-vous sur un site comme… ». Ce que</w:t>
      </w:r>
    </w:p>
    <w:p>
      <w:pPr>
        <w:spacing w:after="120"/>
      </w:pPr>
      <w:r>
        <w:t xml:space="preserve">  les gens disent qu'ils feraient n'est pas une donnée ; ce qu'ils ont fait en est une.</w:t>
      </w:r>
    </w:p>
    <w:p>
      <w:pPr>
        <w:pStyle w:val="ListParagraph"/>
        <w:numPr>
          <w:ilvl w:val="0"/>
          <w:numId w:val="2"/>
        </w:numPr>
        <w:spacing w:after="60"/>
      </w:pPr>
      <w:r>
        <w:rPr>
          <w:b/>
          <w:bCs/>
        </w:rPr>
        <w:t xml:space="preserve">Ne jamais reformuler une réponse floue en réponse nette.</w:t>
      </w:r>
      <w:r>
        <w:t xml:space="preserve"> Un « bof, ça allait » reste « bof,</w:t>
      </w:r>
    </w:p>
    <w:p>
      <w:pPr>
        <w:spacing w:after="120"/>
      </w:pPr>
      <w:r>
        <w:t xml:space="preserve">  ça allait ».</w:t>
      </w:r>
    </w:p>
    <w:p>
      <w:pPr>
        <w:pStyle w:val="ListParagraph"/>
        <w:numPr>
          <w:ilvl w:val="0"/>
          <w:numId w:val="2"/>
        </w:numPr>
        <w:spacing w:after="60"/>
      </w:pPr>
      <w:r>
        <w:rPr>
          <w:b/>
          <w:bCs/>
        </w:rPr>
        <w:t xml:space="preserve">Ne jamais changer une question entre deux participants.</w:t>
      </w:r>
      <w:r>
        <w:t xml:space="preserve"> Si une question se révèle mauvaise,</w:t>
      </w:r>
    </w:p>
    <w:p>
      <w:pPr>
        <w:spacing w:after="120"/>
      </w:pPr>
      <w:r>
        <w:t xml:space="preserve">  elle reste mauvaise jusqu'au bout du lot, et le défaut est déclaré.</w:t>
      </w:r>
    </w:p>
    <w:p>
      <w:pPr>
        <w:pStyle w:val="Heading3"/>
        <w:keepNext/>
      </w:pPr>
      <w:r>
        <w:t xml:space="preserve">Consentement et données personnelles</w:t>
      </w:r>
    </w:p>
    <w:p>
      <w:pPr>
        <w:spacing w:after="120"/>
      </w:pPr>
      <w:r>
        <w:rPr>
          <w:b/>
          <w:bCs/>
        </w:rPr>
        <w:t xml:space="preserve">Recueilli avant chaque entretien, tracé dans le fichier du participant.</w:t>
      </w:r>
      <w:r>
        <w:t xml:space="preserve"> Prénom seul ou pseudonyme, aucun nom de famille, aucun numéro de téléphone, aucune adresse dans les fichiers du dépôt.</w:t>
      </w:r>
    </w:p>
    <w:p>
      <w:pPr>
        <w:spacing w:after="120"/>
      </w:pPr>
      <w:r>
        <w:rPr>
          <w:b/>
          <w:bCs/>
        </w:rPr>
        <w:t xml:space="preserve">Point ouvert, et il n'est pas théorique :</w:t>
      </w:r>
      <w:r>
        <w:t xml:space="preserve"> </w:t>
      </w:r>
      <w:r>
        <w:rPr>
          <w:rFonts w:ascii="Consolas" w:cs="Consolas" w:eastAsia="Consolas" w:hAnsi="Consolas"/>
        </w:rPr>
        <w:t xml:space="preserve">RG-03</w:t>
      </w:r>
      <w:r>
        <w:t xml:space="preserve"> de WP-06 — la déclaration préalable des traitements de données personnelles à la CNDP — est </w:t>
      </w:r>
      <w:r>
        <w:rPr>
          <w:rFonts w:ascii="Consolas" w:cs="Consolas" w:eastAsia="Consolas" w:hAnsi="Consolas"/>
        </w:rPr>
        <w:t xml:space="preserve">INCONNU</w:t>
      </w:r>
      <w:r>
        <w:t xml:space="preserve">, faute d'avoir pu lire la source. Un corpus d'entretiens est un traitement de données personnelles. </w:t>
      </w:r>
      <w:r>
        <w:rPr>
          <w:b/>
          <w:bCs/>
        </w:rPr>
        <w:t xml:space="preserve">Le protocole minimise donc par défaut</w:t>
      </w:r>
      <w:r>
        <w:t xml:space="preserve"> — pseudonymisation immédiate, aucune donnée de contact conservée, suppression sur demande — plutôt que d'attendre une règle qu'on ne peut pas lire. La minimisation n'est pas une conformité établie ; c'est la posture la moins risquée sous inconnue.</w:t>
      </w:r>
    </w:p>
    <w:p>
      <w:pPr>
        <w:pStyle w:val="Heading3"/>
        <w:keepNext/>
      </w:pPr>
      <w:r>
        <w:t xml:space="preserve">Biais déclarés — avant, pas après</w:t>
      </w:r>
    </w:p>
    <w:p>
      <w:pPr>
        <w:spacing w:after="120"/>
      </w:pPr>
      <w:r>
        <w:t xml:space="preserve">Déclarés maintenant, alors qu'ils peuvent encore être corrigés. Un biais déclaré après les résultats est une excuse.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3"/>
        <w:gridCol w:w="3094"/>
        <w:gridCol w:w="3094"/>
        <w:gridCol w:w="3097"/>
      </w:tblGrid>
      <w:tr>
        <w:tc>
          <w:tcPr>
            <w:tcW w:type="dxa" w:w="353"/>
            <w:tcBorders>
              <w:top w:val="none" w:color="FFFFFF" w:sz="0"/>
              <w:left w:val="none" w:color="FFFFFF" w:sz="0"/>
              <w:bottom w:val="single" w:color="DCD3C3" w:sz="4"/>
              <w:right w:val="none" w:color="FFFFFF" w:sz="0"/>
            </w:tcBorders>
            <w:shd w:fill="F1ECE3" w:color="auto" w:val="clear"/>
            <w:tcMar>
              <w:top w:type="dxa" w:w="70"/>
              <w:left w:type="dxa" w:w="110"/>
              <w:bottom w:type="dxa" w:w="70"/>
              <w:right w:type="dxa" w:w="110"/>
            </w:tcMar>
          </w:tcPr>
          <w:p/>
        </w:tc>
        <w:tc>
          <w:tcPr>
            <w:tcW w:type="dxa" w:w="3094"/>
            <w:tcBorders>
              <w:top w:val="none" w:color="FFFFFF" w:sz="0"/>
              <w:left w:val="none" w:color="FFFFFF" w:sz="0"/>
              <w:bottom w:val="single" w:color="DCD3C3" w:sz="4"/>
              <w:right w:val="none" w:color="FFFFFF" w:sz="0"/>
            </w:tcBorders>
            <w:shd w:fill="F1ECE3" w:color="auto" w:val="clear"/>
            <w:tcMar>
              <w:top w:type="dxa" w:w="70"/>
              <w:left w:type="dxa" w:w="110"/>
              <w:bottom w:type="dxa" w:w="70"/>
              <w:right w:type="dxa" w:w="110"/>
            </w:tcMar>
          </w:tcPr>
          <w:p>
            <w:r>
              <w:rPr>
                <w:b/>
                <w:bCs/>
                <w:sz w:val="19"/>
                <w:szCs w:val="19"/>
              </w:rPr>
              <w:t xml:space="preserve">Biais</w:t>
            </w:r>
          </w:p>
        </w:tc>
        <w:tc>
          <w:tcPr>
            <w:tcW w:type="dxa" w:w="3094"/>
            <w:tcBorders>
              <w:top w:val="none" w:color="FFFFFF" w:sz="0"/>
              <w:left w:val="none" w:color="FFFFFF" w:sz="0"/>
              <w:bottom w:val="single" w:color="DCD3C3" w:sz="4"/>
              <w:right w:val="none" w:color="FFFFFF" w:sz="0"/>
            </w:tcBorders>
            <w:shd w:fill="F1ECE3" w:color="auto" w:val="clear"/>
            <w:tcMar>
              <w:top w:type="dxa" w:w="70"/>
              <w:left w:type="dxa" w:w="110"/>
              <w:bottom w:type="dxa" w:w="70"/>
              <w:right w:type="dxa" w:w="110"/>
            </w:tcMar>
          </w:tcPr>
          <w:p>
            <w:r>
              <w:rPr>
                <w:b/>
                <w:bCs/>
                <w:sz w:val="19"/>
                <w:szCs w:val="19"/>
              </w:rPr>
              <w:t xml:space="preserve">Effet attendu</w:t>
            </w:r>
          </w:p>
        </w:tc>
        <w:tc>
          <w:tcPr>
            <w:tcW w:type="dxa" w:w="3097"/>
            <w:tcBorders>
              <w:top w:val="none" w:color="FFFFFF" w:sz="0"/>
              <w:left w:val="none" w:color="FFFFFF" w:sz="0"/>
              <w:bottom w:val="single" w:color="DCD3C3" w:sz="4"/>
              <w:right w:val="none" w:color="FFFFFF" w:sz="0"/>
            </w:tcBorders>
            <w:shd w:fill="F1ECE3" w:color="auto" w:val="clear"/>
            <w:tcMar>
              <w:top w:type="dxa" w:w="70"/>
              <w:left w:type="dxa" w:w="110"/>
              <w:bottom w:type="dxa" w:w="70"/>
              <w:right w:type="dxa" w:w="110"/>
            </w:tcMar>
          </w:tcPr>
          <w:p>
            <w:r>
              <w:rPr>
                <w:b/>
                <w:bCs/>
                <w:sz w:val="19"/>
                <w:szCs w:val="19"/>
              </w:rPr>
              <w:t xml:space="preserve">Atténuation prévue</w:t>
            </w:r>
          </w:p>
        </w:tc>
      </w:tr>
      <w:tr>
        <w:tc>
          <w:tcPr>
            <w:tcW w:type="dxa" w:w="353"/>
            <w:tcBorders>
              <w:top w:val="none" w:color="FFFFFF" w:sz="0"/>
              <w:left w:val="none" w:color="FFFFFF" w:sz="0"/>
              <w:bottom w:val="single" w:color="DCD3C3" w:sz="4"/>
              <w:right w:val="none" w:color="FFFFFF" w:sz="0"/>
            </w:tcBorders>
            <w:tcMar>
              <w:top w:type="dxa" w:w="70"/>
              <w:left w:type="dxa" w:w="110"/>
              <w:bottom w:type="dxa" w:w="70"/>
              <w:right w:type="dxa" w:w="110"/>
            </w:tcMar>
          </w:tcPr>
          <w:p>
            <w:r>
              <w:rPr>
                <w:b/>
                <w:bCs/>
                <w:sz w:val="19"/>
                <w:szCs w:val="19"/>
              </w:rPr>
              <w:t xml:space="preserve">B-01</w:t>
            </w:r>
          </w:p>
        </w:tc>
        <w:tc>
          <w:tcPr>
            <w:tcW w:type="dxa" w:w="3094"/>
            <w:tcBorders>
              <w:top w:val="none" w:color="FFFFFF" w:sz="0"/>
              <w:left w:val="none" w:color="FFFFFF" w:sz="0"/>
              <w:bottom w:val="single" w:color="DCD3C3" w:sz="4"/>
              <w:right w:val="none" w:color="FFFFFF" w:sz="0"/>
            </w:tcBorders>
            <w:tcMar>
              <w:top w:type="dxa" w:w="70"/>
              <w:left w:type="dxa" w:w="110"/>
              <w:bottom w:type="dxa" w:w="70"/>
              <w:right w:type="dxa" w:w="110"/>
            </w:tcMar>
          </w:tcPr>
          <w:p>
            <w:r>
              <w:rPr>
                <w:b/>
                <w:bCs/>
                <w:sz w:val="19"/>
                <w:szCs w:val="19"/>
              </w:rPr>
              <w:t xml:space="preserve">Recrutement par le cercle du sponsor.</w:t>
            </w:r>
            <w:r>
              <w:rPr>
                <w:sz w:val="19"/>
                <w:szCs w:val="19"/>
              </w:rPr>
              <w:t xml:space="preserve"> Le sponsor est le seul point d'entrée vers les clubs</w:t>
            </w:r>
          </w:p>
        </w:tc>
        <w:tc>
          <w:tcPr>
            <w:tcW w:type="dxa" w:w="3094"/>
            <w:tcBorders>
              <w:top w:val="none" w:color="FFFFFF" w:sz="0"/>
              <w:left w:val="none" w:color="FFFFFF" w:sz="0"/>
              <w:bottom w:val="single" w:color="DCD3C3" w:sz="4"/>
              <w:right w:val="none" w:color="FFFFFF" w:sz="0"/>
            </w:tcBorders>
            <w:tcMar>
              <w:top w:type="dxa" w:w="70"/>
              <w:left w:type="dxa" w:w="110"/>
              <w:bottom w:type="dxa" w:w="70"/>
              <w:right w:type="dxa" w:w="110"/>
            </w:tcMar>
          </w:tcPr>
          <w:p>
            <w:r>
              <w:rPr>
                <w:sz w:val="19"/>
                <w:szCs w:val="19"/>
              </w:rPr>
              <w:t xml:space="preserve">Surreprésentation de joueurs socialement proches, plus urbains et plus équipés. Gonfle HYP-02 et HYP-03</w:t>
            </w:r>
          </w:p>
        </w:tc>
        <w:tc>
          <w:tcPr>
            <w:tcW w:type="dxa" w:w="3097"/>
            <w:tcBorders>
              <w:top w:val="none" w:color="FFFFFF" w:sz="0"/>
              <w:left w:val="none" w:color="FFFFFF" w:sz="0"/>
              <w:bottom w:val="single" w:color="DCD3C3" w:sz="4"/>
              <w:right w:val="none" w:color="FFFFFF" w:sz="0"/>
            </w:tcBorders>
            <w:tcMar>
              <w:top w:type="dxa" w:w="70"/>
              <w:left w:type="dxa" w:w="110"/>
              <w:bottom w:type="dxa" w:w="70"/>
              <w:right w:type="dxa" w:w="110"/>
            </w:tcMar>
          </w:tcPr>
          <w:p>
            <w:r>
              <w:rPr>
                <w:sz w:val="19"/>
                <w:szCs w:val="19"/>
              </w:rPr>
              <w:t xml:space="preserve">Recruter dans </w:t>
            </w:r>
            <w:r>
              <w:rPr>
                <w:b/>
                <w:bCs/>
                <w:sz w:val="19"/>
                <w:szCs w:val="19"/>
              </w:rPr>
              <w:t xml:space="preserve">au moins deux clubs distincts</w:t>
            </w:r>
            <w:r>
              <w:rPr>
                <w:sz w:val="19"/>
                <w:szCs w:val="19"/>
              </w:rPr>
              <w:t xml:space="preserve">, dont un où le sponsor n'est pas connu. Déclarer la provenance de chaque participant</w:t>
            </w:r>
          </w:p>
        </w:tc>
      </w:tr>
      <w:tr>
        <w:tc>
          <w:tcPr>
            <w:tcW w:type="dxa" w:w="353"/>
            <w:tcBorders>
              <w:top w:val="none" w:color="FFFFFF" w:sz="0"/>
              <w:left w:val="none" w:color="FFFFFF" w:sz="0"/>
              <w:bottom w:val="single" w:color="DCD3C3" w:sz="4"/>
              <w:right w:val="none" w:color="FFFFFF" w:sz="0"/>
            </w:tcBorders>
            <w:tcMar>
              <w:top w:type="dxa" w:w="70"/>
              <w:left w:type="dxa" w:w="110"/>
              <w:bottom w:type="dxa" w:w="70"/>
              <w:right w:type="dxa" w:w="110"/>
            </w:tcMar>
          </w:tcPr>
          <w:p>
            <w:r>
              <w:rPr>
                <w:b/>
                <w:bCs/>
                <w:sz w:val="19"/>
                <w:szCs w:val="19"/>
              </w:rPr>
              <w:t xml:space="preserve">B-02</w:t>
            </w:r>
          </w:p>
        </w:tc>
        <w:tc>
          <w:tcPr>
            <w:tcW w:type="dxa" w:w="3094"/>
            <w:tcBorders>
              <w:top w:val="none" w:color="FFFFFF" w:sz="0"/>
              <w:left w:val="none" w:color="FFFFFF" w:sz="0"/>
              <w:bottom w:val="single" w:color="DCD3C3" w:sz="4"/>
              <w:right w:val="none" w:color="FFFFFF" w:sz="0"/>
            </w:tcBorders>
            <w:tcMar>
              <w:top w:type="dxa" w:w="70"/>
              <w:left w:type="dxa" w:w="110"/>
              <w:bottom w:type="dxa" w:w="70"/>
              <w:right w:type="dxa" w:w="110"/>
            </w:tcMar>
          </w:tcPr>
          <w:p>
            <w:r>
              <w:rPr>
                <w:b/>
                <w:bCs/>
                <w:sz w:val="19"/>
                <w:szCs w:val="19"/>
              </w:rPr>
              <w:t xml:space="preserve">L'intervieweur est le vendeur.</w:t>
            </w:r>
            <w:r>
              <w:rPr>
                <w:sz w:val="19"/>
                <w:szCs w:val="19"/>
              </w:rPr>
              <w:t xml:space="preserve"> Le sponsor a intérêt à ce que les réponses valident son projet</w:t>
            </w:r>
          </w:p>
        </w:tc>
        <w:tc>
          <w:tcPr>
            <w:tcW w:type="dxa" w:w="3094"/>
            <w:tcBorders>
              <w:top w:val="none" w:color="FFFFFF" w:sz="0"/>
              <w:left w:val="none" w:color="FFFFFF" w:sz="0"/>
              <w:bottom w:val="single" w:color="DCD3C3" w:sz="4"/>
              <w:right w:val="none" w:color="FFFFFF" w:sz="0"/>
            </w:tcBorders>
            <w:tcMar>
              <w:top w:type="dxa" w:w="70"/>
              <w:left w:type="dxa" w:w="110"/>
              <w:bottom w:type="dxa" w:w="70"/>
              <w:right w:type="dxa" w:w="110"/>
            </w:tcMar>
          </w:tcPr>
          <w:p>
            <w:r>
              <w:rPr>
                <w:sz w:val="19"/>
                <w:szCs w:val="19"/>
              </w:rPr>
              <w:t xml:space="preserve">Complaisance : les participants disent ce qui fait plaisir</w:t>
            </w:r>
          </w:p>
        </w:tc>
        <w:tc>
          <w:tcPr>
            <w:tcW w:type="dxa" w:w="3097"/>
            <w:tcBorders>
              <w:top w:val="none" w:color="FFFFFF" w:sz="0"/>
              <w:left w:val="none" w:color="FFFFFF" w:sz="0"/>
              <w:bottom w:val="single" w:color="DCD3C3" w:sz="4"/>
              <w:right w:val="none" w:color="FFFFFF" w:sz="0"/>
            </w:tcBorders>
            <w:tcMar>
              <w:top w:type="dxa" w:w="70"/>
              <w:left w:type="dxa" w:w="110"/>
              <w:bottom w:type="dxa" w:w="70"/>
              <w:right w:type="dxa" w:w="110"/>
            </w:tcMar>
          </w:tcPr>
          <w:p>
            <w:r>
              <w:rPr>
                <w:sz w:val="19"/>
                <w:szCs w:val="19"/>
              </w:rPr>
              <w:t xml:space="preserve">Ouverture explicite « je ne cherche pas à vous vendre » · questions sur le </w:t>
            </w:r>
            <w:r>
              <w:rPr>
                <w:b/>
                <w:bCs/>
                <w:sz w:val="19"/>
                <w:szCs w:val="19"/>
              </w:rPr>
              <w:t xml:space="preserve">passé</w:t>
            </w:r>
            <w:r>
              <w:rPr>
                <w:sz w:val="19"/>
                <w:szCs w:val="19"/>
              </w:rPr>
              <w:t xml:space="preserve">, jamais sur l'intention · </w:t>
            </w:r>
            <w:r>
              <w:rPr>
                <w:b/>
                <w:bCs/>
                <w:sz w:val="19"/>
                <w:szCs w:val="19"/>
              </w:rPr>
              <w:t xml:space="preserve">idéalement, faire conduire les entretiens par quelqu'un d'autre</w:t>
            </w:r>
          </w:p>
        </w:tc>
      </w:tr>
      <w:tr>
        <w:tc>
          <w:tcPr>
            <w:tcW w:type="dxa" w:w="353"/>
            <w:tcBorders>
              <w:top w:val="none" w:color="FFFFFF" w:sz="0"/>
              <w:left w:val="none" w:color="FFFFFF" w:sz="0"/>
              <w:bottom w:val="single" w:color="DCD3C3" w:sz="4"/>
              <w:right w:val="none" w:color="FFFFFF" w:sz="0"/>
            </w:tcBorders>
            <w:tcMar>
              <w:top w:type="dxa" w:w="70"/>
              <w:left w:type="dxa" w:w="110"/>
              <w:bottom w:type="dxa" w:w="70"/>
              <w:right w:type="dxa" w:w="110"/>
            </w:tcMar>
          </w:tcPr>
          <w:p>
            <w:r>
              <w:rPr>
                <w:b/>
                <w:bCs/>
                <w:sz w:val="19"/>
                <w:szCs w:val="19"/>
              </w:rPr>
              <w:t xml:space="preserve">B-03</w:t>
            </w:r>
          </w:p>
        </w:tc>
        <w:tc>
          <w:tcPr>
            <w:tcW w:type="dxa" w:w="3094"/>
            <w:tcBorders>
              <w:top w:val="none" w:color="FFFFFF" w:sz="0"/>
              <w:left w:val="none" w:color="FFFFFF" w:sz="0"/>
              <w:bottom w:val="single" w:color="DCD3C3" w:sz="4"/>
              <w:right w:val="none" w:color="FFFFFF" w:sz="0"/>
            </w:tcBorders>
            <w:tcMar>
              <w:top w:type="dxa" w:w="70"/>
              <w:left w:type="dxa" w:w="110"/>
              <w:bottom w:type="dxa" w:w="70"/>
              <w:right w:type="dxa" w:w="110"/>
            </w:tcMar>
          </w:tcPr>
          <w:p>
            <w:r>
              <w:rPr>
                <w:b/>
                <w:bCs/>
                <w:sz w:val="19"/>
                <w:szCs w:val="19"/>
              </w:rPr>
              <w:t xml:space="preserve">Biais de désirabilité sur l'essai.</w:t>
            </w:r>
            <w:r>
              <w:rPr>
                <w:sz w:val="19"/>
                <w:szCs w:val="19"/>
              </w:rPr>
              <w:t xml:space="preserve"> Un joueur peut surestimer son exigence d'essai pour paraître exigeant</w:t>
            </w:r>
          </w:p>
        </w:tc>
        <w:tc>
          <w:tcPr>
            <w:tcW w:type="dxa" w:w="3094"/>
            <w:tcBorders>
              <w:top w:val="none" w:color="FFFFFF" w:sz="0"/>
              <w:left w:val="none" w:color="FFFFFF" w:sz="0"/>
              <w:bottom w:val="single" w:color="DCD3C3" w:sz="4"/>
              <w:right w:val="none" w:color="FFFFFF" w:sz="0"/>
            </w:tcBorders>
            <w:tcMar>
              <w:top w:type="dxa" w:w="70"/>
              <w:left w:type="dxa" w:w="110"/>
              <w:bottom w:type="dxa" w:w="70"/>
              <w:right w:type="dxa" w:w="110"/>
            </w:tcMar>
          </w:tcPr>
          <w:p>
            <w:r>
              <w:rPr>
                <w:sz w:val="19"/>
                <w:szCs w:val="19"/>
              </w:rPr>
              <w:t xml:space="preserve">Gonfle artificiellement HYP-09, hypothèse létale</w:t>
            </w:r>
          </w:p>
        </w:tc>
        <w:tc>
          <w:tcPr>
            <w:tcW w:type="dxa" w:w="3097"/>
            <w:tcBorders>
              <w:top w:val="none" w:color="FFFFFF" w:sz="0"/>
              <w:left w:val="none" w:color="FFFFFF" w:sz="0"/>
              <w:bottom w:val="single" w:color="DCD3C3" w:sz="4"/>
              <w:right w:val="none" w:color="FFFFFF" w:sz="0"/>
            </w:tcBorders>
            <w:tcMar>
              <w:top w:type="dxa" w:w="70"/>
              <w:left w:type="dxa" w:w="110"/>
              <w:bottom w:type="dxa" w:w="70"/>
              <w:right w:type="dxa" w:w="110"/>
            </w:tcMar>
          </w:tcPr>
          <w:p>
            <w:r>
              <w:rPr>
                <w:sz w:val="19"/>
                <w:szCs w:val="19"/>
              </w:rPr>
              <w:t xml:space="preserve">Question 9 posée en contrepoint : le rachat à l'identique sépare l'exigence réelle du discours</w:t>
            </w:r>
          </w:p>
        </w:tc>
      </w:tr>
      <w:tr>
        <w:tc>
          <w:tcPr>
            <w:tcW w:type="dxa" w:w="353"/>
            <w:tcBorders>
              <w:top w:val="none" w:color="FFFFFF" w:sz="0"/>
              <w:left w:val="none" w:color="FFFFFF" w:sz="0"/>
              <w:bottom w:val="single" w:color="DCD3C3" w:sz="4"/>
              <w:right w:val="none" w:color="FFFFFF" w:sz="0"/>
            </w:tcBorders>
            <w:tcMar>
              <w:top w:type="dxa" w:w="70"/>
              <w:left w:type="dxa" w:w="110"/>
              <w:bottom w:type="dxa" w:w="70"/>
              <w:right w:type="dxa" w:w="110"/>
            </w:tcMar>
          </w:tcPr>
          <w:p>
            <w:r>
              <w:rPr>
                <w:b/>
                <w:bCs/>
                <w:sz w:val="19"/>
                <w:szCs w:val="19"/>
              </w:rPr>
              <w:t xml:space="preserve">B-04</w:t>
            </w:r>
          </w:p>
        </w:tc>
        <w:tc>
          <w:tcPr>
            <w:tcW w:type="dxa" w:w="3094"/>
            <w:tcBorders>
              <w:top w:val="none" w:color="FFFFFF" w:sz="0"/>
              <w:left w:val="none" w:color="FFFFFF" w:sz="0"/>
              <w:bottom w:val="single" w:color="DCD3C3" w:sz="4"/>
              <w:right w:val="none" w:color="FFFFFF" w:sz="0"/>
            </w:tcBorders>
            <w:tcMar>
              <w:top w:type="dxa" w:w="70"/>
              <w:left w:type="dxa" w:w="110"/>
              <w:bottom w:type="dxa" w:w="70"/>
              <w:right w:type="dxa" w:w="110"/>
            </w:tcMar>
          </w:tcPr>
          <w:p>
            <w:r>
              <w:rPr>
                <w:b/>
                <w:bCs/>
                <w:sz w:val="19"/>
                <w:szCs w:val="19"/>
              </w:rPr>
              <w:t xml:space="preserve">Biais de survivant.</w:t>
            </w:r>
            <w:r>
              <w:rPr>
                <w:sz w:val="19"/>
                <w:szCs w:val="19"/>
              </w:rPr>
              <w:t xml:space="preserve"> On interroge des gens qui ont acheté une raquette ; ceux qui ont renoncé ne sont pas dans l'échantillon</w:t>
            </w:r>
          </w:p>
        </w:tc>
        <w:tc>
          <w:tcPr>
            <w:tcW w:type="dxa" w:w="3094"/>
            <w:tcBorders>
              <w:top w:val="none" w:color="FFFFFF" w:sz="0"/>
              <w:left w:val="none" w:color="FFFFFF" w:sz="0"/>
              <w:bottom w:val="single" w:color="DCD3C3" w:sz="4"/>
              <w:right w:val="none" w:color="FFFFFF" w:sz="0"/>
            </w:tcBorders>
            <w:tcMar>
              <w:top w:type="dxa" w:w="70"/>
              <w:left w:type="dxa" w:w="110"/>
              <w:bottom w:type="dxa" w:w="70"/>
              <w:right w:type="dxa" w:w="110"/>
            </w:tcMar>
          </w:tcPr>
          <w:p>
            <w:r>
              <w:rPr>
                <w:sz w:val="19"/>
                <w:szCs w:val="19"/>
              </w:rPr>
              <w:t xml:space="preserve">Sous-estime les irritants du parcours</w:t>
            </w:r>
          </w:p>
        </w:tc>
        <w:tc>
          <w:tcPr>
            <w:tcW w:type="dxa" w:w="3097"/>
            <w:tcBorders>
              <w:top w:val="none" w:color="FFFFFF" w:sz="0"/>
              <w:left w:val="none" w:color="FFFFFF" w:sz="0"/>
              <w:bottom w:val="single" w:color="DCD3C3" w:sz="4"/>
              <w:right w:val="none" w:color="FFFFFF" w:sz="0"/>
            </w:tcBorders>
            <w:tcMar>
              <w:top w:type="dxa" w:w="70"/>
              <w:left w:type="dxa" w:w="110"/>
              <w:bottom w:type="dxa" w:w="70"/>
              <w:right w:type="dxa" w:w="110"/>
            </w:tcMar>
          </w:tcPr>
          <w:p>
            <w:r>
              <w:rPr>
                <w:sz w:val="19"/>
                <w:szCs w:val="19"/>
              </w:rPr>
              <w:t xml:space="preserve">Question 5 attaque directement le renoncement — palliatif partiel, </w:t>
            </w:r>
            <w:r>
              <w:rPr>
                <w:b/>
                <w:bCs/>
                <w:sz w:val="19"/>
                <w:szCs w:val="19"/>
              </w:rPr>
              <w:t xml:space="preserve">le biais subsiste et est assumé</w:t>
            </w:r>
          </w:p>
        </w:tc>
      </w:tr>
      <w:tr>
        <w:tc>
          <w:tcPr>
            <w:tcW w:type="dxa" w:w="353"/>
            <w:tcBorders>
              <w:top w:val="none" w:color="FFFFFF" w:sz="0"/>
              <w:left w:val="none" w:color="FFFFFF" w:sz="0"/>
              <w:bottom w:val="single" w:color="DCD3C3" w:sz="4"/>
              <w:right w:val="none" w:color="FFFFFF" w:sz="0"/>
            </w:tcBorders>
            <w:tcMar>
              <w:top w:type="dxa" w:w="70"/>
              <w:left w:type="dxa" w:w="110"/>
              <w:bottom w:type="dxa" w:w="70"/>
              <w:right w:type="dxa" w:w="110"/>
            </w:tcMar>
          </w:tcPr>
          <w:p>
            <w:r>
              <w:rPr>
                <w:b/>
                <w:bCs/>
                <w:sz w:val="19"/>
                <w:szCs w:val="19"/>
              </w:rPr>
              <w:t xml:space="preserve">B-05</w:t>
            </w:r>
          </w:p>
        </w:tc>
        <w:tc>
          <w:tcPr>
            <w:tcW w:type="dxa" w:w="3094"/>
            <w:tcBorders>
              <w:top w:val="none" w:color="FFFFFF" w:sz="0"/>
              <w:left w:val="none" w:color="FFFFFF" w:sz="0"/>
              <w:bottom w:val="single" w:color="DCD3C3" w:sz="4"/>
              <w:right w:val="none" w:color="FFFFFF" w:sz="0"/>
            </w:tcBorders>
            <w:tcMar>
              <w:top w:type="dxa" w:w="70"/>
              <w:left w:type="dxa" w:w="110"/>
              <w:bottom w:type="dxa" w:w="70"/>
              <w:right w:type="dxa" w:w="110"/>
            </w:tcMar>
          </w:tcPr>
          <w:p>
            <w:r>
              <w:rPr>
                <w:b/>
                <w:bCs/>
                <w:sz w:val="19"/>
                <w:szCs w:val="19"/>
              </w:rPr>
              <w:t xml:space="preserve">Échantillon de convenance, non probabiliste</w:t>
            </w:r>
          </w:p>
        </w:tc>
        <w:tc>
          <w:tcPr>
            <w:tcW w:type="dxa" w:w="3094"/>
            <w:tcBorders>
              <w:top w:val="none" w:color="FFFFFF" w:sz="0"/>
              <w:left w:val="none" w:color="FFFFFF" w:sz="0"/>
              <w:bottom w:val="single" w:color="DCD3C3" w:sz="4"/>
              <w:right w:val="none" w:color="FFFFFF" w:sz="0"/>
            </w:tcBorders>
            <w:tcMar>
              <w:top w:type="dxa" w:w="70"/>
              <w:left w:type="dxa" w:w="110"/>
              <w:bottom w:type="dxa" w:w="70"/>
              <w:right w:type="dxa" w:w="110"/>
            </w:tcMar>
          </w:tcPr>
          <w:p>
            <w:r>
              <w:rPr>
                <w:sz w:val="19"/>
                <w:szCs w:val="19"/>
              </w:rPr>
              <w:t xml:space="preserve">Aucune généralisation statistique n'est légitime</w:t>
            </w:r>
          </w:p>
        </w:tc>
        <w:tc>
          <w:tcPr>
            <w:tcW w:type="dxa" w:w="3097"/>
            <w:tcBorders>
              <w:top w:val="none" w:color="FFFFFF" w:sz="0"/>
              <w:left w:val="none" w:color="FFFFFF" w:sz="0"/>
              <w:bottom w:val="single" w:color="DCD3C3" w:sz="4"/>
              <w:right w:val="none" w:color="FFFFFF" w:sz="0"/>
            </w:tcBorders>
            <w:tcMar>
              <w:top w:type="dxa" w:w="70"/>
              <w:left w:type="dxa" w:w="110"/>
              <w:bottom w:type="dxa" w:w="70"/>
              <w:right w:type="dxa" w:w="110"/>
            </w:tcMar>
          </w:tcPr>
          <w:p>
            <w:r>
              <w:rPr>
                <w:sz w:val="19"/>
                <w:szCs w:val="19"/>
              </w:rPr>
              <w:t xml:space="preserve">Le niveau d'evidence sera </w:t>
            </w:r>
            <w:r>
              <w:rPr>
                <w:rFonts w:ascii="Consolas" w:cs="Consolas" w:eastAsia="Consolas" w:hAnsi="Consolas"/>
                <w:sz w:val="19"/>
                <w:szCs w:val="19"/>
              </w:rPr>
              <w:t xml:space="preserve">EMPIRICAL</w:t>
            </w:r>
            <w:r>
              <w:rPr>
                <w:sz w:val="19"/>
                <w:szCs w:val="19"/>
              </w:rPr>
              <w:t xml:space="preserve"> sur l'existence d'un phénomène, </w:t>
            </w:r>
            <w:r>
              <w:rPr>
                <w:b/>
                <w:bCs/>
                <w:sz w:val="19"/>
                <w:szCs w:val="19"/>
              </w:rPr>
              <w:t xml:space="preserve">jamais sur sa fréquence dans la population</w:t>
            </w:r>
          </w:p>
        </w:tc>
      </w:tr>
    </w:tbl>
    <w:p>
      <w:pPr>
        <w:spacing w:after="120"/>
      </w:pPr>
    </w:p>
    <w:p>
      <w:pPr>
        <w:pStyle w:val="Heading3"/>
        <w:keepNext/>
      </w:pPr>
      <w:r>
        <w:t xml:space="preserve">Étiquetage du niveau d'evidence — décidé avant les résultats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9"/>
        <w:gridCol w:w="8129"/>
      </w:tblGrid>
      <w:tr>
        <w:tc>
          <w:tcPr>
            <w:tcW w:type="dxa" w:w="1509"/>
            <w:tcBorders>
              <w:top w:val="none" w:color="FFFFFF" w:sz="0"/>
              <w:left w:val="none" w:color="FFFFFF" w:sz="0"/>
              <w:bottom w:val="single" w:color="DCD3C3" w:sz="4"/>
              <w:right w:val="none" w:color="FFFFFF" w:sz="0"/>
            </w:tcBorders>
            <w:shd w:fill="F1ECE3" w:color="auto" w:val="clear"/>
            <w:tcMar>
              <w:top w:type="dxa" w:w="70"/>
              <w:left w:type="dxa" w:w="110"/>
              <w:bottom w:type="dxa" w:w="70"/>
              <w:right w:type="dxa" w:w="110"/>
            </w:tcMar>
          </w:tcPr>
          <w:p>
            <w:r>
              <w:rPr>
                <w:b/>
                <w:bCs/>
                <w:sz w:val="19"/>
                <w:szCs w:val="19"/>
              </w:rPr>
              <w:t xml:space="preserve">Niveau</w:t>
            </w:r>
          </w:p>
        </w:tc>
        <w:tc>
          <w:tcPr>
            <w:tcW w:type="dxa" w:w="8129"/>
            <w:tcBorders>
              <w:top w:val="none" w:color="FFFFFF" w:sz="0"/>
              <w:left w:val="none" w:color="FFFFFF" w:sz="0"/>
              <w:bottom w:val="single" w:color="DCD3C3" w:sz="4"/>
              <w:right w:val="none" w:color="FFFFFF" w:sz="0"/>
            </w:tcBorders>
            <w:shd w:fill="F1ECE3" w:color="auto" w:val="clear"/>
            <w:tcMar>
              <w:top w:type="dxa" w:w="70"/>
              <w:left w:type="dxa" w:w="110"/>
              <w:bottom w:type="dxa" w:w="70"/>
              <w:right w:type="dxa" w:w="110"/>
            </w:tcMar>
          </w:tcPr>
          <w:p>
            <w:r>
              <w:rPr>
                <w:b/>
                <w:bCs/>
                <w:sz w:val="19"/>
                <w:szCs w:val="19"/>
              </w:rPr>
              <w:t xml:space="preserve">Condition d'attribution</w:t>
            </w:r>
          </w:p>
        </w:tc>
      </w:tr>
      <w:tr>
        <w:tc>
          <w:tcPr>
            <w:tcW w:type="dxa" w:w="1509"/>
            <w:tcBorders>
              <w:top w:val="none" w:color="FFFFFF" w:sz="0"/>
              <w:left w:val="none" w:color="FFFFFF" w:sz="0"/>
              <w:bottom w:val="single" w:color="DCD3C3" w:sz="4"/>
              <w:right w:val="none" w:color="FFFFFF" w:sz="0"/>
            </w:tcBorders>
            <w:tcMar>
              <w:top w:type="dxa" w:w="70"/>
              <w:left w:type="dxa" w:w="110"/>
              <w:bottom w:type="dxa" w:w="70"/>
              <w:right w:type="dxa" w:w="110"/>
            </w:tcMar>
          </w:tcPr>
          <w:p>
            <w:r>
              <w:rPr>
                <w:rFonts w:ascii="Consolas" w:cs="Consolas" w:eastAsia="Consolas" w:hAnsi="Consolas"/>
                <w:sz w:val="19"/>
                <w:szCs w:val="19"/>
              </w:rPr>
              <w:t xml:space="preserve">EMPIRICAL</w:t>
            </w:r>
          </w:p>
        </w:tc>
        <w:tc>
          <w:tcPr>
            <w:tcW w:type="dxa" w:w="8129"/>
            <w:tcBorders>
              <w:top w:val="none" w:color="FFFFFF" w:sz="0"/>
              <w:left w:val="none" w:color="FFFFFF" w:sz="0"/>
              <w:bottom w:val="single" w:color="DCD3C3" w:sz="4"/>
              <w:right w:val="none" w:color="FFFFFF" w:sz="0"/>
            </w:tcBorders>
            <w:tcMar>
              <w:top w:type="dxa" w:w="70"/>
              <w:left w:type="dxa" w:w="110"/>
              <w:bottom w:type="dxa" w:w="70"/>
              <w:right w:type="dxa" w:w="110"/>
            </w:tcMar>
          </w:tcPr>
          <w:p>
            <w:r>
              <w:rPr>
                <w:sz w:val="19"/>
                <w:szCs w:val="19"/>
              </w:rPr>
              <w:t xml:space="preserve">Observé chez </w:t>
            </w:r>
            <w:r>
              <w:rPr>
                <w:b/>
                <w:bCs/>
                <w:sz w:val="19"/>
                <w:szCs w:val="19"/>
              </w:rPr>
              <w:t xml:space="preserve">≥ 2 participants distincts</w:t>
            </w:r>
            <w:r>
              <w:rPr>
                <w:sz w:val="19"/>
                <w:szCs w:val="19"/>
              </w:rPr>
              <w:t xml:space="preserve">, avec verbatim tracé pour chacun</w:t>
            </w:r>
          </w:p>
        </w:tc>
      </w:tr>
      <w:tr>
        <w:tc>
          <w:tcPr>
            <w:tcW w:type="dxa" w:w="1509"/>
            <w:tcBorders>
              <w:top w:val="none" w:color="FFFFFF" w:sz="0"/>
              <w:left w:val="none" w:color="FFFFFF" w:sz="0"/>
              <w:bottom w:val="single" w:color="DCD3C3" w:sz="4"/>
              <w:right w:val="none" w:color="FFFFFF" w:sz="0"/>
            </w:tcBorders>
            <w:tcMar>
              <w:top w:type="dxa" w:w="70"/>
              <w:left w:type="dxa" w:w="110"/>
              <w:bottom w:type="dxa" w:w="70"/>
              <w:right w:type="dxa" w:w="110"/>
            </w:tcMar>
          </w:tcPr>
          <w:p>
            <w:r>
              <w:rPr>
                <w:rFonts w:ascii="Consolas" w:cs="Consolas" w:eastAsia="Consolas" w:hAnsi="Consolas"/>
                <w:sz w:val="19"/>
                <w:szCs w:val="19"/>
              </w:rPr>
              <w:t xml:space="preserve">SYNTHETIC</w:t>
            </w:r>
          </w:p>
        </w:tc>
        <w:tc>
          <w:tcPr>
            <w:tcW w:type="dxa" w:w="8129"/>
            <w:tcBorders>
              <w:top w:val="none" w:color="FFFFFF" w:sz="0"/>
              <w:left w:val="none" w:color="FFFFFF" w:sz="0"/>
              <w:bottom w:val="single" w:color="DCD3C3" w:sz="4"/>
              <w:right w:val="none" w:color="FFFFFF" w:sz="0"/>
            </w:tcBorders>
            <w:tcMar>
              <w:top w:type="dxa" w:w="70"/>
              <w:left w:type="dxa" w:w="110"/>
              <w:bottom w:type="dxa" w:w="70"/>
              <w:right w:type="dxa" w:w="110"/>
            </w:tcMar>
          </w:tcPr>
          <w:p>
            <w:r>
              <w:rPr>
                <w:sz w:val="19"/>
                <w:szCs w:val="19"/>
              </w:rPr>
              <w:t xml:space="preserve">Issu d'une revue persona par un agent — </w:t>
            </w:r>
            <w:r>
              <w:rPr>
                <w:b/>
                <w:bCs/>
                <w:sz w:val="19"/>
                <w:szCs w:val="19"/>
              </w:rPr>
              <w:t xml:space="preserve">aucun ici</w:t>
            </w:r>
            <w:r>
              <w:rPr>
                <w:sz w:val="19"/>
                <w:szCs w:val="19"/>
              </w:rPr>
              <w:t xml:space="preserve">, et ne le deviendra pas par reformulation</w:t>
            </w:r>
          </w:p>
        </w:tc>
      </w:tr>
      <w:tr>
        <w:tc>
          <w:tcPr>
            <w:tcW w:type="dxa" w:w="1509"/>
            <w:tcBorders>
              <w:top w:val="none" w:color="FFFFFF" w:sz="0"/>
              <w:left w:val="none" w:color="FFFFFF" w:sz="0"/>
              <w:bottom w:val="single" w:color="DCD3C3" w:sz="4"/>
              <w:right w:val="none" w:color="FFFFFF" w:sz="0"/>
            </w:tcBorders>
            <w:tcMar>
              <w:top w:type="dxa" w:w="70"/>
              <w:left w:type="dxa" w:w="110"/>
              <w:bottom w:type="dxa" w:w="70"/>
              <w:right w:type="dxa" w:w="110"/>
            </w:tcMar>
          </w:tcPr>
          <w:p>
            <w:r>
              <w:rPr>
                <w:rFonts w:ascii="Consolas" w:cs="Consolas" w:eastAsia="Consolas" w:hAnsi="Consolas"/>
                <w:sz w:val="19"/>
                <w:szCs w:val="19"/>
              </w:rPr>
              <w:t xml:space="preserve">UNVALIDATED</w:t>
            </w:r>
          </w:p>
        </w:tc>
        <w:tc>
          <w:tcPr>
            <w:tcW w:type="dxa" w:w="8129"/>
            <w:tcBorders>
              <w:top w:val="none" w:color="FFFFFF" w:sz="0"/>
              <w:left w:val="none" w:color="FFFFFF" w:sz="0"/>
              <w:bottom w:val="single" w:color="DCD3C3" w:sz="4"/>
              <w:right w:val="none" w:color="FFFFFF" w:sz="0"/>
            </w:tcBorders>
            <w:tcMar>
              <w:top w:type="dxa" w:w="70"/>
              <w:left w:type="dxa" w:w="110"/>
              <w:bottom w:type="dxa" w:w="70"/>
              <w:right w:type="dxa" w:w="110"/>
            </w:tcMar>
          </w:tcPr>
          <w:p>
            <w:r>
              <w:rPr>
                <w:sz w:val="19"/>
                <w:szCs w:val="19"/>
              </w:rPr>
              <w:t xml:space="preserve">Tout le reste, y compris un phénomène observé chez </w:t>
            </w:r>
            <w:r>
              <w:rPr>
                <w:b/>
                <w:bCs/>
                <w:sz w:val="19"/>
                <w:szCs w:val="19"/>
              </w:rPr>
              <w:t xml:space="preserve">un seul</w:t>
            </w:r>
            <w:r>
              <w:rPr>
                <w:sz w:val="19"/>
                <w:szCs w:val="19"/>
              </w:rPr>
              <w:t xml:space="preserve"> participant</w:t>
            </w:r>
          </w:p>
        </w:tc>
      </w:tr>
    </w:tbl>
    <w:p>
      <w:pPr>
        <w:spacing w:after="120"/>
      </w:pPr>
    </w:p>
    <w:p>
      <w:pPr>
        <w:spacing w:after="120"/>
      </w:pPr>
      <w:r>
        <w:rPr>
          <w:b/>
          <w:bCs/>
        </w:rPr>
        <w:t xml:space="preserve">Un trait de persona exige ≥ 2 observations</w:t>
      </w:r>
      <w:r>
        <w:t xml:space="preserve">, conformément au critère de vérification de l'activité. Un trait à une seule observation n'est pas un trait : c'est une personne.</w:t>
      </w:r>
    </w:p>
    <w:p>
      <w:pPr>
        <w:pStyle w:val="Heading3"/>
        <w:keepNext/>
      </w:pPr>
      <w:r>
        <w:t xml:space="preserve">Critère d'arrêt</w:t>
      </w:r>
    </w:p>
    <w:p>
      <w:pPr>
        <w:spacing w:after="120"/>
      </w:pPr>
      <w:r>
        <w:t xml:space="preserve">Arrêt à </w:t>
      </w:r>
      <w:r>
        <w:rPr>
          <w:b/>
          <w:bCs/>
        </w:rPr>
        <w:t xml:space="preserve">12 participants</w:t>
      </w:r>
      <w:r>
        <w:t xml:space="preserve">, ou plus tôt si </w:t>
      </w:r>
      <w:r>
        <w:rPr>
          <w:b/>
          <w:bCs/>
        </w:rPr>
        <w:t xml:space="preserve">trois entretiens consécutifs n'apportent aucun irritant nouveau</w:t>
      </w:r>
      <w:r>
        <w:t xml:space="preserve">. Le critère est fixé maintenant, précisément pour ne pas être fixé au moment où les résultats commenceront à plaire ou à déplaire.</w:t>
      </w:r>
    </w:p>
    <w:p>
      <w:pPr>
        <w:pStyle w:val="Heading3"/>
        <w:keepNext/>
      </w:pPr>
      <w:r>
        <w:t xml:space="preserve">Ce qui se passe après — et qui n'est pas encore fait</w:t>
      </w:r>
    </w:p>
    <w:p>
      <w:pPr>
        <w:spacing w:after="120"/>
      </w:pPr>
      <w:r>
        <w:t xml:space="preserve">Les cinq sections suivantes de ce livrable restent vides tant qu'aucun entretien n'a eu lieu. Le plan n'est pas la recherche.</w:t>
      </w:r>
    </w:p>
    <w:p>
      <w:pPr>
        <w:spacing w:after="120"/>
      </w:pPr>
      <w:r>
        <w:t xml:space="preserve">&lt;!-- Complétude : Aucun insight sans observation source. Niveau d'evidence étiqueté sur chaque résultat. Personas challengés par critic(product). --&gt;</w:t>
      </w:r>
    </w:p>
    <w:p>
      <w:pPr>
        <w:pStyle w:val="Heading2"/>
        <w:keepNext/>
      </w:pPr>
      <w:r>
        <w:t xml:space="preserve">Verbatims tracés</w:t>
      </w:r>
    </w:p>
    <w:p>
      <w:pPr>
        <w:spacing w:after="120"/>
      </w:pPr>
      <w:r>
        <w:rPr>
          <w:b/>
          <w:bCs/>
        </w:rPr>
        <w:t xml:space="preserve">BLOCKED — aucun participant.</w:t>
      </w:r>
      <w:r>
        <w:t xml:space="preserve"> Un verbatim est ce qu'une personne a dit, littéralement. Il ne s'infère pas. </w:t>
      </w:r>
      <w:r>
        <w:rPr>
          <w:rFonts w:ascii="Consolas" w:cs="Consolas" w:eastAsia="Consolas" w:hAnsi="Consolas"/>
        </w:rPr>
        <w:t xml:space="preserve">product/research/interviews/</w:t>
      </w:r>
      <w:r>
        <w:t xml:space="preserve"> restera vide jusqu'au premier entretien consenti.</w:t>
      </w:r>
    </w:p>
    <w:p>
      <w:pPr>
        <w:spacing w:after="120"/>
      </w:pPr>
      <w:r>
        <w:t xml:space="preserve">Forme prévue, un fichier par participant : </w:t>
      </w:r>
      <w:r>
        <w:rPr>
          <w:rFonts w:ascii="Consolas" w:cs="Consolas" w:eastAsia="Consolas" w:hAnsi="Consolas"/>
        </w:rPr>
        <w:t xml:space="preserve">P-01.md</w:t>
      </w:r>
      <w:r>
        <w:t xml:space="preserve"> … identifiant, date, club de provenance, durée, langue, consentement à l'enregistrement, </w:t>
      </w:r>
      <w:r>
        <w:rPr>
          <w:b/>
          <w:bCs/>
        </w:rPr>
        <w:t xml:space="preserve">et la retranscription non filtrée</w:t>
      </w:r>
      <w:r>
        <w:t xml:space="preserve"> — les digressions et les réponses inutiles comprises. Filtrer à la prise de notes, c'est analyser avant d'observer.</w:t>
      </w:r>
    </w:p>
    <w:p>
      <w:pPr>
        <w:pStyle w:val="Heading2"/>
        <w:keepNext/>
      </w:pPr>
      <w:r>
        <w:t xml:space="preserve">Insights</w:t>
      </w:r>
    </w:p>
    <w:p>
      <w:pPr>
        <w:spacing w:after="120"/>
      </w:pPr>
      <w:r>
        <w:rPr>
          <w:b/>
          <w:bCs/>
        </w:rPr>
        <w:t xml:space="preserve">BLOCKED — aucune observation source.</w:t>
      </w:r>
      <w:r>
        <w:t xml:space="preserve"> Le critère de complétude est sans appel : « aucun insight sans observation source ».</w:t>
      </w:r>
    </w:p>
    <w:p>
      <w:pPr>
        <w:spacing w:after="120"/>
      </w:pPr>
      <w:r>
        <w:rPr>
          <w:b/>
          <w:bCs/>
        </w:rPr>
        <w:t xml:space="preserve">Et `EX2.run_mode_solo` ne s'applique pas ici.</w:t>
      </w:r>
      <w:r>
        <w:t xml:space="preserve"> En SOLO, une information absente devient une hypothèse nommée — mais on ne convertit pas une observation manquante en observation hypothétique. WP-05 porte déjà les hypothèses ; leur point de test est cette recherche. Écrire ici des insights « probables » reviendrait à faire tester les hypothèses par celui qui les a écrites.</w:t>
      </w:r>
    </w:p>
    <w:p>
      <w:pPr>
        <w:pStyle w:val="Heading2"/>
        <w:keepNext/>
      </w:pPr>
      <w:r>
        <w:t xml:space="preserve">PER-nn personas</w:t>
      </w:r>
    </w:p>
    <w:p>
      <w:pPr>
        <w:spacing w:after="120"/>
      </w:pPr>
      <w:r>
        <w:rPr>
          <w:b/>
          <w:bCs/>
        </w:rPr>
        <w:t xml:space="preserve">BLOCKED — chaque trait exige ≥ 2 observations, et il y en a zéro.</w:t>
      </w:r>
    </w:p>
    <w:p>
      <w:pPr>
        <w:spacing w:after="120"/>
      </w:pPr>
      <w:r>
        <w:rPr>
          <w:b/>
          <w:bCs/>
        </w:rPr>
        <w:t xml:space="preserve">C'est le point où la méthode se fait tricher le plus facilement.</w:t>
      </w:r>
      <w:r>
        <w:t xml:space="preserve"> Un persona inventé est crédible, utile en réunion, et il passe tous les contrôles de forme — il porte un nom, un âge, une citation. Ce qui en descend ne se distingue plus jamais de ce qui aurait été observé. Le squelette de parcours (WP-09, activité 5), la navigation et l'architecture de l'information (WP-11, </w:t>
      </w:r>
      <w:r>
        <w:rPr>
          <w:b/>
          <w:bCs/>
        </w:rPr>
        <w:t xml:space="preserve">CORE INVARIANT figé en G0</w:t>
      </w:r>
      <w:r>
        <w:t xml:space="preserve">) se construisent sur ces personas. Une invention ici se paie par une réouverture de G0, pas par une correction.</w:t>
      </w:r>
    </w:p>
    <w:p>
      <w:pPr>
        <w:pStyle w:val="Heading2"/>
        <w:keepNext/>
      </w:pPr>
      <w:r>
        <w:t xml:space="preserve">Empathy maps</w:t>
      </w:r>
    </w:p>
    <w:p>
      <w:pPr>
        <w:spacing w:after="120"/>
      </w:pPr>
      <w:r>
        <w:rPr>
          <w:b/>
          <w:bCs/>
        </w:rPr>
        <w:t xml:space="preserve">BLOCKED.</w:t>
      </w:r>
      <w:r>
        <w:t xml:space="preserve"> Règle du registre : « aucune projection non observée ; unknowns marqués ». Une empathy map sans observation </w:t>
      </w:r>
      <w:r>
        <w:rPr>
          <w:b/>
          <w:bCs/>
        </w:rPr>
        <w:t xml:space="preserve">n'est que</w:t>
      </w:r>
      <w:r>
        <w:t xml:space="preserve"> projection.</w:t>
      </w:r>
    </w:p>
    <w:p>
      <w:pPr>
        <w:pStyle w:val="Heading2"/>
        <w:keepNext/>
      </w:pPr>
      <w:r>
        <w:t xml:space="preserve">Journeys as-is et irritants</w:t>
      </w:r>
    </w:p>
    <w:p>
      <w:pPr>
        <w:spacing w:after="120"/>
      </w:pPr>
      <w:r>
        <w:rPr>
          <w:b/>
          <w:bCs/>
        </w:rPr>
        <w:t xml:space="preserve">BLOCKED.</w:t>
      </w:r>
      <w:r>
        <w:t xml:space="preserve"> Chaque irritant doit être daté, sourcé et rattaché à un persona. Aucun des trois n'est disponible.</w:t>
      </w:r>
    </w:p>
    <w:p>
      <w:pPr>
        <w:spacing w:after="120"/>
      </w:pPr>
      <w:r>
        <w:rPr>
          <w:b/>
          <w:bCs/>
        </w:rPr>
        <w:t xml:space="preserve">Ce qui rend cette section décisive.</w:t>
      </w:r>
      <w:r>
        <w:t xml:space="preserve"> Le journey as-is est l'entrée directe du squelette de parcours cible (activité 5), lequel est </w:t>
      </w:r>
      <w:r>
        <w:rPr>
          <w:b/>
          <w:bCs/>
        </w:rPr>
        <w:t xml:space="preserve">figé en G0</w:t>
      </w:r>
      <w:r>
        <w:t xml:space="preserve">. Le bloc 1 du protocole — la reconstitution du dernier achat — est écrit précisément pour le produire : c'est pourquoi il demande un récit chronologique et non une liste d'opinions.</w:t>
      </w:r>
    </w:p>
    <w:p>
      <w:pPr>
        <w:spacing w:after="120"/>
      </w:pPr>
      <w:r>
        <w:t xml:space="preserve">&lt;!-- Complétude : Aucun insight sans observation source. Niveau d'evidence étiqueté sur chaque résultat. Personas challengés par critic(product). --&gt;</w:t>
      </w:r>
    </w:p>
    <w:p>
      <w:pPr>
        <w:pStyle w:val="Heading2"/>
        <w:keepNext/>
      </w:pPr>
      <w:r>
        <w:t xml:space="preserve">Ce qui reste à vérifier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none" w:color="FFFFFF" w:sz="0"/>
              <w:bottom w:val="none" w:color="FFFFFF" w:sz="0"/>
              <w:right w:val="none" w:color="FFFFFF" w:sz="0"/>
            </w:tcBorders>
            <w:shd w:fill="FAEDDC" w:color="auto" w:val="clear"/>
            <w:tcMar>
              <w:top w:type="dxa" w:w="70"/>
              <w:left w:type="dxa" w:w="110"/>
              <w:bottom w:type="dxa" w:w="70"/>
              <w:right w:type="dxa" w:w="110"/>
            </w:tcMar>
          </w:tcPr>
          <w:p>
            <w:pPr>
              <w:spacing w:after="60"/>
            </w:pPr>
            <w:r>
              <w:rPr>
                <w:rFonts w:ascii="Arial" w:cs="Arial" w:eastAsia="Arial" w:hAnsi="Arial"/>
                <w:b/>
                <w:bCs/>
                <w:color w:val="D98324"/>
                <w:spacing w:val="20"/>
                <w:sz w:val="15"/>
                <w:szCs w:val="15"/>
              </w:rPr>
              <w:t xml:space="preserve">RÉSERVES DÉCLARÉES</w:t>
            </w:r>
          </w:p>
          <w:p>
            <w:pPr>
              <w:pStyle w:val="ListParagraph"/>
              <w:numPr>
                <w:ilvl w:val="0"/>
                <w:numId w:val="2"/>
              </w:numPr>
              <w:spacing w:after="60"/>
            </w:pPr>
            <w:r>
              <w:rPr>
                <w:sz w:val="19"/>
                <w:szCs w:val="19"/>
              </w:rPr>
              <w:t xml:space="preserve">Seul le PLAN DE RECHERCHE est produit. Les cinq autres sections — verbatims, insights, personas, empathy maps, journeys as-is — sont BLOCKED : elles exigent des participants, et aucun n'est recruté ni consentant.</w:t>
            </w:r>
          </w:p>
          <w:p>
            <w:pPr>
              <w:pStyle w:val="ListParagraph"/>
              <w:numPr>
                <w:ilvl w:val="0"/>
                <w:numId w:val="2"/>
              </w:numPr>
              <w:spacing w:after="60"/>
            </w:pPr>
            <w:r>
              <w:rPr>
                <w:sz w:val="19"/>
                <w:szCs w:val="19"/>
              </w:rPr>
              <w:t xml:space="preserve">Le critère d'entrée de l'activité 4 exige « consentement des participants obtenu ». Il n'est pas satisfait au 2026-09-21.</w:t>
            </w:r>
          </w:p>
          <w:p>
            <w:pPr>
              <w:pStyle w:val="ListParagraph"/>
              <w:numPr>
                <w:ilvl w:val="0"/>
                <w:numId w:val="2"/>
              </w:numPr>
              <w:spacing w:after="60"/>
            </w:pPr>
            <w:r>
              <w:rPr>
                <w:sz w:val="19"/>
                <w:szCs w:val="19"/>
              </w:rPr>
              <w:t xml:space="preserve">EX2 run_mode_solo NE S'APPLIQUE PAS ici : une observation absente ne devient pas une hypothèse nommée, elle reste absente. Un persona inventé passerait tous les contrôles de forme et ruinerait tout ce qui en descend.</w:t>
            </w:r>
          </w:p>
          <w:p>
            <w:pPr>
              <w:pStyle w:val="ListParagraph"/>
              <w:numPr>
                <w:ilvl w:val="0"/>
                <w:numId w:val="2"/>
              </w:numPr>
              <w:spacing w:after="60"/>
            </w:pPr>
            <w:r>
              <w:rPr>
                <w:sz w:val="19"/>
                <w:szCs w:val="19"/>
              </w:rPr>
              <w:t xml:space="preserve">Le plan est FIGÉ PAR CE COMMIT. Toute modification après le premier entretien invalide la comparabilité entre participants et doit être déclarée comme un second protocole, jamais comme une correction.</w:t>
            </w:r>
          </w:p>
        </w:tc>
      </w:tr>
    </w:tbl>
    <w:p>
      <w:pPr>
        <w:spacing w:after="120"/>
      </w:pPr>
    </w:p>
    <w:p>
      <w:r>
        <w:br w:type="page"/>
      </w:r>
    </w:p>
    <w:p>
      <w:pPr>
        <w:spacing w:after="160"/>
      </w:pPr>
      <w:r>
        <w:rPr>
          <w:rFonts w:ascii="Arial" w:cs="Arial" w:eastAsia="Arial" w:hAnsi="Arial"/>
          <w:b/>
          <w:bCs/>
          <w:color w:val="7C766B"/>
          <w:spacing w:val="20"/>
          <w:sz w:val="15"/>
          <w:szCs w:val="15"/>
        </w:rPr>
        <w:t xml:space="preserve">FICHIER  ·  product/C1.3-parcours/research/insights.md</w:t>
      </w:r>
    </w:p>
    <w:p>
      <w:pPr>
        <w:pStyle w:val="Heading1"/>
      </w:pPr>
      <w:r>
        <w:t xml:space="preserve">WP-08 — Recherche et synthèse utilisateur · insights.md</w:t>
      </w:r>
    </w:p>
    <w:p>
      <w:pPr>
        <w:pStyle w:val="Heading2"/>
        <w:keepNext/>
      </w:pPr>
      <w:r>
        <w:t xml:space="preserve">Insights</w:t>
      </w:r>
    </w:p>
    <w:p>
      <w:pPr>
        <w:spacing w:after="120"/>
      </w:pPr>
      <w:r>
        <w:rPr>
          <w:b/>
          <w:bCs/>
        </w:rPr>
        <w:t xml:space="preserve">Aucun.</w:t>
      </w:r>
      <w:r>
        <w:t xml:space="preserve"> </w:t>
      </w:r>
      <w:r>
        <w:rPr>
          <w:rFonts w:ascii="Consolas" w:cs="Consolas" w:eastAsia="Consolas" w:hAnsi="Consolas"/>
        </w:rPr>
        <w:t xml:space="preserve">BLOCKED</w:t>
      </w:r>
      <w:r>
        <w:t xml:space="preserve"> — aucune observation source n'existe au 2026-09-21.</w:t>
      </w:r>
    </w:p>
    <w:p>
      <w:pPr>
        <w:spacing w:after="120"/>
      </w:pPr>
      <w:r>
        <w:t xml:space="preserve">Le critère de complétude de WP-08 est sans appel : « aucun insight sans observation source ». Ce fichier existe pour porter le vide de manière déclarée, non pour le masquer.</w:t>
      </w:r>
    </w:p>
    <w:p>
      <w:pPr>
        <w:spacing w:after="120"/>
      </w:pPr>
      <w:r>
        <w:rPr>
          <w:b/>
          <w:bCs/>
        </w:rPr>
        <w:t xml:space="preserve">Pourquoi il ne contient pas d'insights « provisoires ».</w:t>
      </w:r>
      <w:r>
        <w:t xml:space="preserve"> </w:t>
      </w:r>
      <w:r>
        <w:rPr>
          <w:rFonts w:ascii="Consolas" w:cs="Consolas" w:eastAsia="Consolas" w:hAnsi="Consolas"/>
        </w:rPr>
        <w:t xml:space="preserve">EX2.run_mode_solo</w:t>
      </w:r>
      <w:r>
        <w:t xml:space="preserve"> convertit un</w:t>
      </w:r>
    </w:p>
    <w:p>
      <w:pPr>
        <w:spacing w:after="120"/>
      </w:pPr>
      <w:r>
        <w:rPr>
          <w:i/>
          <w:iCs/>
        </w:rPr>
        <w:t xml:space="preserve">input</w:t>
      </w:r>
      <w:r>
        <w:t xml:space="preserve"> absent en hypothèse nommée. Une </w:t>
      </w:r>
      <w:r>
        <w:rPr>
          <w:i/>
          <w:iCs/>
        </w:rPr>
        <w:t xml:space="preserve">observation</w:t>
      </w:r>
      <w:r>
        <w:t xml:space="preserve"> absente ne se convertit pas : WP-05 porte déjà les hypothèses — HYP-02, HYP-03, HYP-04, HYP-09 — et leur point de test </w:t>
      </w:r>
      <w:r>
        <w:rPr>
          <w:b/>
          <w:bCs/>
        </w:rPr>
        <w:t xml:space="preserve">est</w:t>
      </w:r>
      <w:r>
        <w:t xml:space="preserve"> cette recherche. Écrire ici des insights probables ferait tester les hypothèses par celui qui les a écrites, ce que K5 (</w:t>
      </w:r>
      <w:r>
        <w:rPr>
          <w:rFonts w:ascii="Consolas" w:cs="Consolas" w:eastAsia="Consolas" w:hAnsi="Consolas"/>
        </w:rPr>
        <w:t xml:space="preserve">Builder ≠ Judge</w:t>
      </w:r>
      <w:r>
        <w:t xml:space="preserve">) interdit au niveau des rôles et que rien n'empêche au niveau d'un fichier, sinon cette ligne.</w:t>
      </w:r>
    </w:p>
    <w:p>
      <w:pPr>
        <w:spacing w:after="120"/>
      </w:pPr>
      <w:r>
        <w:rPr>
          <w:b/>
          <w:bCs/>
        </w:rPr>
        <w:t xml:space="preserve">Ce que ce fichier contiendra.</w:t>
      </w:r>
      <w:r>
        <w:t xml:space="preserve"> Un insight par entrée, chacun portant : l'énoncé, les identifiants des participants qui le fondent — </w:t>
      </w:r>
      <w:r>
        <w:rPr>
          <w:b/>
          <w:bCs/>
        </w:rPr>
        <w:t xml:space="preserve">deux au minimum</w:t>
      </w:r>
      <w:r>
        <w:t xml:space="preserve"> —, le verbatim de chacun, la date de l'entretien, l'hypothèse de WP-05 qu'il confirme ou réfute, et son niveau d'evidence selon le barème arrêté dans </w:t>
      </w:r>
      <w:r>
        <w:rPr>
          <w:rFonts w:ascii="Consolas" w:cs="Consolas" w:eastAsia="Consolas" w:hAnsi="Consolas"/>
        </w:rPr>
        <w:t xml:space="preserve">research-plan.md</w:t>
      </w:r>
      <w:r>
        <w:t xml:space="preserve">.</w:t>
      </w:r>
    </w:p>
    <w:p>
      <w:pPr>
        <w:spacing w:after="120"/>
      </w:pPr>
      <w:r>
        <w:t xml:space="preserve">&lt;!-- Complétude : Aucun insight sans observation source. Niveau d'evidence étiqueté sur chaque résultat. Personas challengés par critic(product). --&gt;</w:t>
      </w:r>
    </w:p>
    <w:p>
      <w:pPr>
        <w:pStyle w:val="Heading2"/>
        <w:keepNext/>
      </w:pPr>
      <w:r>
        <w:t xml:space="preserve">Ce qui reste à vérifier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none" w:color="FFFFFF" w:sz="0"/>
              <w:bottom w:val="none" w:color="FFFFFF" w:sz="0"/>
              <w:right w:val="none" w:color="FFFFFF" w:sz="0"/>
            </w:tcBorders>
            <w:shd w:fill="FAEDDC" w:color="auto" w:val="clear"/>
            <w:tcMar>
              <w:top w:type="dxa" w:w="70"/>
              <w:left w:type="dxa" w:w="110"/>
              <w:bottom w:type="dxa" w:w="70"/>
              <w:right w:type="dxa" w:w="110"/>
            </w:tcMar>
          </w:tcPr>
          <w:p>
            <w:pPr>
              <w:spacing w:after="60"/>
            </w:pPr>
            <w:r>
              <w:rPr>
                <w:rFonts w:ascii="Arial" w:cs="Arial" w:eastAsia="Arial" w:hAnsi="Arial"/>
                <w:b/>
                <w:bCs/>
                <w:color w:val="D98324"/>
                <w:spacing w:val="20"/>
                <w:sz w:val="15"/>
                <w:szCs w:val="15"/>
              </w:rPr>
              <w:t xml:space="preserve">RÉSERVES DÉCLARÉES</w:t>
            </w:r>
          </w:p>
          <w:p>
            <w:pPr>
              <w:pStyle w:val="ListParagraph"/>
              <w:numPr>
                <w:ilvl w:val="0"/>
                <w:numId w:val="2"/>
              </w:numPr>
              <w:spacing w:after="60"/>
            </w:pPr>
            <w:r>
              <w:rPr>
                <w:sz w:val="19"/>
                <w:szCs w:val="19"/>
              </w:rPr>
              <w:t xml:space="preserve">Seul le PLAN DE RECHERCHE est produit. Les cinq autres sections — verbatims, insights, personas, empathy maps, journeys as-is — sont BLOCKED : elles exigent des participants, et aucun n'est recruté ni consentant.</w:t>
            </w:r>
          </w:p>
          <w:p>
            <w:pPr>
              <w:pStyle w:val="ListParagraph"/>
              <w:numPr>
                <w:ilvl w:val="0"/>
                <w:numId w:val="2"/>
              </w:numPr>
              <w:spacing w:after="60"/>
            </w:pPr>
            <w:r>
              <w:rPr>
                <w:sz w:val="19"/>
                <w:szCs w:val="19"/>
              </w:rPr>
              <w:t xml:space="preserve">Le critère d'entrée de l'activité 4 exige « consentement des participants obtenu ». Il n'est pas satisfait au 2026-09-21.</w:t>
            </w:r>
          </w:p>
          <w:p>
            <w:pPr>
              <w:pStyle w:val="ListParagraph"/>
              <w:numPr>
                <w:ilvl w:val="0"/>
                <w:numId w:val="2"/>
              </w:numPr>
              <w:spacing w:after="60"/>
            </w:pPr>
            <w:r>
              <w:rPr>
                <w:sz w:val="19"/>
                <w:szCs w:val="19"/>
              </w:rPr>
              <w:t xml:space="preserve">EX2 run_mode_solo NE S'APPLIQUE PAS ici : une observation absente ne devient pas une hypothèse nommée, elle reste absente. Un persona inventé passerait tous les contrôles de forme et ruinerait tout ce qui en descend.</w:t>
            </w:r>
          </w:p>
          <w:p>
            <w:pPr>
              <w:pStyle w:val="ListParagraph"/>
              <w:numPr>
                <w:ilvl w:val="0"/>
                <w:numId w:val="2"/>
              </w:numPr>
              <w:spacing w:after="60"/>
            </w:pPr>
            <w:r>
              <w:rPr>
                <w:sz w:val="19"/>
                <w:szCs w:val="19"/>
              </w:rPr>
              <w:t xml:space="preserve">Le plan est FIGÉ PAR CE COMMIT. Toute modification après le premier entretien invalide la comparabilité entre participants et doit être déclarée comme un second protocole, jamais comme une correction.</w:t>
            </w:r>
          </w:p>
        </w:tc>
      </w:tr>
    </w:tbl>
    <w:p>
      <w:pPr>
        <w:spacing w:after="120"/>
      </w:pP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C766B"/>
        <w:sz w:val="15"/>
        <w:szCs w:val="15"/>
      </w:rPr>
      <w:t xml:space="preserve">Projection du dépôt · page </w:t>
    </w:r>
    <w:r>
      <w:rPr>
        <w:color w:val="7C766B"/>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C766B"/>
        <w:sz w:val="15"/>
        <w:szCs w:val="15"/>
      </w:rPr>
      <w:t xml:space="preserve">C1.3 · Recherche et synthèse utilisateur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F1318"/>
        <w:sz w:val="21"/>
        <w:szCs w:val="21"/>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40"/>
    </w:pPr>
    <w:rPr>
      <w:rFonts w:ascii="Arial" w:cs="Arial" w:eastAsia="Arial" w:hAnsi="Arial"/>
      <w:b/>
      <w:bCs/>
      <w:color w:val="0F1318"/>
      <w:sz w:val="44"/>
      <w:szCs w:val="44"/>
    </w:rPr>
  </w:style>
  <w:style w:type="paragraph" w:styleId="Heading1">
    <w:name w:val="Heading 1"/>
    <w:basedOn w:val="Normal"/>
    <w:next w:val="Normal"/>
    <w:qFormat/>
    <w:pPr>
      <w:spacing w:after="200" w:before="120"/>
      <w:outlineLvl w:val="0"/>
    </w:pPr>
    <w:rPr>
      <w:rFonts w:ascii="Arial" w:cs="Arial" w:eastAsia="Arial" w:hAnsi="Arial"/>
      <w:b/>
      <w:bCs/>
      <w:color w:val="0F1318"/>
      <w:sz w:val="32"/>
      <w:szCs w:val="32"/>
    </w:rPr>
  </w:style>
  <w:style w:type="paragraph" w:styleId="Heading2">
    <w:name w:val="Heading 2"/>
    <w:basedOn w:val="Normal"/>
    <w:next w:val="Normal"/>
    <w:qFormat/>
    <w:pPr>
      <w:spacing w:after="120" w:before="320"/>
      <w:outlineLvl w:val="1"/>
    </w:pPr>
    <w:rPr>
      <w:rFonts w:ascii="Arial" w:cs="Arial" w:eastAsia="Arial" w:hAnsi="Arial"/>
      <w:b/>
      <w:bCs/>
      <w:color w:val="0F1318"/>
      <w:sz w:val="25"/>
      <w:szCs w:val="25"/>
    </w:rPr>
  </w:style>
  <w:style w:type="paragraph" w:styleId="Heading3">
    <w:name w:val="Heading 3"/>
    <w:basedOn w:val="Normal"/>
    <w:next w:val="Normal"/>
    <w:qFormat/>
    <w:pPr>
      <w:spacing w:after="100" w:before="200"/>
      <w:outlineLvl w:val="2"/>
    </w:pPr>
    <w:rPr>
      <w:rFonts w:ascii="Arial" w:cs="Arial" w:eastAsia="Arial" w:hAnsi="Arial"/>
      <w:b/>
      <w:bCs/>
      <w:color w:val="D98324"/>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Ouazzani design — Recherche et synthèse utilisateur</dc:title>
  <dc:creator>Autonomous Product Factory</dc:creator>
  <cp:lastModifiedBy>Un-named</cp:lastModifiedBy>
  <cp:revision>1</cp:revision>
  <dcterms:created xsi:type="dcterms:W3CDTF">2026-10-08T22:01:49.423Z</dcterms:created>
  <dcterms:modified xsi:type="dcterms:W3CDTF">2026-10-08T22:01:49.446Z</dcterms:modified>
</cp:coreProperties>
</file>

<file path=docProps/custom.xml><?xml version="1.0" encoding="utf-8"?>
<Properties xmlns="http://schemas.openxmlformats.org/officeDocument/2006/custom-properties" xmlns:vt="http://schemas.openxmlformats.org/officeDocument/2006/docPropsVTypes"/>
</file>