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6D3FD1"/>
          <w:spacing w:val="30"/>
          <w:sz w:val="16"/>
          <w:szCs w:val="16"/>
        </w:rPr>
        <w:t xml:space="preserve">OUAZZANI DESIGN  ·  C1.3  ·  SQUELETTE DE PARCOURS</w:t>
      </w:r>
    </w:p>
    <w:p>
      <w:pPr>
        <w:pStyle w:val="Title"/>
      </w:pPr>
      <w:r>
        <w:t xml:space="preserve">Recherche et synthèse utilisateur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3"/>
        <w:gridCol w:w="6615"/>
      </w:tblGrid>
      <w:tr>
        <w:tc>
          <w:tcPr>
            <w:tcW w:type="dxa" w:w="3023"/>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État</w:t>
            </w:r>
          </w:p>
        </w:tc>
        <w:tc>
          <w:tcPr>
            <w:tcW w:type="dxa" w:w="6615"/>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Partiel — réserves déclarées</w:t>
            </w:r>
          </w:p>
        </w:tc>
      </w:tr>
      <w:tr>
        <w:tc>
          <w:tcPr>
            <w:tcW w:type="dxa" w:w="3023"/>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Qui le rédige, qui en répond</w:t>
            </w:r>
          </w:p>
        </w:tc>
        <w:tc>
          <w:tcPr>
            <w:tcW w:type="dxa" w:w="6615"/>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product-designer / Product Owner</w:t>
            </w:r>
          </w:p>
        </w:tc>
      </w:tr>
      <w:tr>
        <w:tc>
          <w:tcPr>
            <w:tcW w:type="dxa" w:w="3023"/>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Contrôlé en</w:t>
            </w:r>
          </w:p>
        </w:tc>
        <w:tc>
          <w:tcPr>
            <w:tcW w:type="dxa" w:w="6615"/>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G0</w:t>
            </w:r>
          </w:p>
        </w:tc>
      </w:tr>
      <w:tr>
        <w:tc>
          <w:tcPr>
            <w:tcW w:type="dxa" w:w="3023"/>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Fichiers du dépôt</w:t>
            </w:r>
          </w:p>
        </w:tc>
        <w:tc>
          <w:tcPr>
            <w:tcW w:type="dxa" w:w="6615"/>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product/C1.3-parcours/research/research-plan.md · product/C1.3-parcours/research/insights.md</w:t>
            </w:r>
          </w:p>
        </w:tc>
      </w:tr>
    </w:tbl>
    <w:p>
      <w:pPr>
        <w:spacing w:after="120"/>
      </w:pPr>
    </w:p>
    <w:p>
      <w:pPr>
        <w:spacing w:after="120"/>
      </w:pPr>
      <w:r>
        <w:rPr>
          <w:i/>
          <w:iCs/>
          <w:color w:val="6C6873"/>
          <w:sz w:val="17"/>
          <w:szCs w:val="17"/>
        </w:rPr>
        <w:t xml:space="preserve">Document calculé depuis le Markdown du dépôt, qui reste la version contrôlée. Le modifier ici ne change pas le livrable : corriger le fichier source, puis régénérer.</w:t>
      </w:r>
    </w:p>
    <w:p>
      <w:r>
        <w:br w:type="page"/>
      </w:r>
    </w:p>
    <w:p>
      <w:pPr>
        <w:spacing w:after="160"/>
      </w:pPr>
      <w:r>
        <w:rPr>
          <w:rFonts w:ascii="Arial" w:cs="Arial" w:eastAsia="Arial" w:hAnsi="Arial"/>
          <w:b/>
          <w:bCs/>
          <w:color w:val="6C6873"/>
          <w:spacing w:val="20"/>
          <w:sz w:val="15"/>
          <w:szCs w:val="15"/>
        </w:rPr>
        <w:t xml:space="preserve">FICHIER  ·  product/C1.3-parcours/research/research-plan.md</w:t>
      </w:r>
    </w:p>
    <w:p>
      <w:pPr>
        <w:pStyle w:val="Heading1"/>
      </w:pPr>
      <w:r>
        <w:t xml:space="preserve">WP-08 — Recherche et synthèse utilisateur · research-plan.md</w:t>
      </w:r>
    </w:p>
    <w:p>
      <w:pPr>
        <w:pStyle w:val="Heading2"/>
        <w:keepNext/>
      </w:pPr>
      <w:r>
        <w:t xml:space="preserve">Plan de recherche</w:t>
      </w:r>
    </w:p>
    <w:p>
      <w:pPr>
        <w:pStyle w:val="Heading3"/>
        <w:keepNext/>
      </w:pPr>
      <w:r>
        <w:t xml:space="preserve">Ce que cette recherche doit trancher</w:t>
      </w:r>
    </w:p>
    <w:p>
      <w:pPr>
        <w:spacing w:after="120"/>
      </w:pPr>
      <w:r>
        <w:t xml:space="preserve">Quatre hypothèses de WP-05, dont </w:t>
      </w:r>
      <w:r>
        <w:rPr>
          <w:b/>
          <w:bCs/>
        </w:rPr>
        <w:t xml:space="preserve">deux létales</w:t>
      </w:r>
      <w:r>
        <w:t xml:space="preserve">. Rien d'autre. Un protocole qui cherche tout ne prouve rien.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5"/>
        <w:gridCol w:w="7666"/>
        <w:gridCol w:w="877"/>
      </w:tblGrid>
      <w:tr>
        <w:tc>
          <w:tcPr>
            <w:tcW w:type="dxa" w:w="1095"/>
            <w:tcBorders>
              <w:top w:val="none" w:color="FFFFFF" w:sz="0"/>
              <w:left w:val="none" w:color="FFFFFF" w:sz="0"/>
              <w:bottom w:val="single" w:color="DDD9E5" w:sz="4"/>
              <w:right w:val="none" w:color="FFFFFF" w:sz="0"/>
            </w:tcBorders>
            <w:shd w:fill="F6F4F9" w:color="auto" w:val="clear"/>
            <w:tcMar>
              <w:top w:type="dxa" w:w="70"/>
              <w:left w:type="dxa" w:w="110"/>
              <w:bottom w:type="dxa" w:w="70"/>
              <w:right w:type="dxa" w:w="110"/>
            </w:tcMar>
          </w:tcPr>
          <w:p>
            <w:r>
              <w:rPr>
                <w:b/>
                <w:bCs/>
                <w:sz w:val="19"/>
                <w:szCs w:val="19"/>
              </w:rPr>
              <w:t xml:space="preserve">Hypothèse</w:t>
            </w:r>
          </w:p>
        </w:tc>
        <w:tc>
          <w:tcPr>
            <w:tcW w:type="dxa" w:w="7666"/>
            <w:tcBorders>
              <w:top w:val="none" w:color="FFFFFF" w:sz="0"/>
              <w:left w:val="none" w:color="FFFFFF" w:sz="0"/>
              <w:bottom w:val="single" w:color="DDD9E5" w:sz="4"/>
              <w:right w:val="none" w:color="FFFFFF" w:sz="0"/>
            </w:tcBorders>
            <w:shd w:fill="F6F4F9" w:color="auto" w:val="clear"/>
            <w:tcMar>
              <w:top w:type="dxa" w:w="70"/>
              <w:left w:type="dxa" w:w="110"/>
              <w:bottom w:type="dxa" w:w="70"/>
              <w:right w:type="dxa" w:w="110"/>
            </w:tcMar>
          </w:tcPr>
          <w:p>
            <w:r>
              <w:rPr>
                <w:b/>
                <w:bCs/>
                <w:sz w:val="19"/>
                <w:szCs w:val="19"/>
              </w:rPr>
              <w:t xml:space="preserve">Ce que l'entretien doit établir</w:t>
            </w:r>
          </w:p>
        </w:tc>
        <w:tc>
          <w:tcPr>
            <w:tcW w:type="dxa" w:w="877"/>
            <w:tcBorders>
              <w:top w:val="none" w:color="FFFFFF" w:sz="0"/>
              <w:left w:val="none" w:color="FFFFFF" w:sz="0"/>
              <w:bottom w:val="single" w:color="DDD9E5" w:sz="4"/>
              <w:right w:val="none" w:color="FFFFFF" w:sz="0"/>
            </w:tcBorders>
            <w:shd w:fill="F6F4F9" w:color="auto" w:val="clear"/>
            <w:tcMar>
              <w:top w:type="dxa" w:w="70"/>
              <w:left w:type="dxa" w:w="110"/>
              <w:bottom w:type="dxa" w:w="70"/>
              <w:right w:type="dxa" w:w="110"/>
            </w:tcMar>
          </w:tcPr>
          <w:p>
            <w:r>
              <w:rPr>
                <w:b/>
                <w:bCs/>
                <w:sz w:val="19"/>
                <w:szCs w:val="19"/>
              </w:rPr>
              <w:t xml:space="preserve">Létale</w:t>
            </w:r>
          </w:p>
        </w:tc>
      </w:tr>
      <w:tr>
        <w:tc>
          <w:tcPr>
            <w:tcW w:type="dxa" w:w="1095"/>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HYP-02</w:t>
            </w:r>
          </w:p>
        </w:tc>
        <w:tc>
          <w:tcPr>
            <w:tcW w:type="dxa" w:w="7666"/>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L'achat d'une raquette passe aujourd'hui par des canaux informels, et cela crée une gêne réelle</w:t>
            </w:r>
          </w:p>
        </w:tc>
        <w:tc>
          <w:tcPr>
            <w:tcW w:type="dxa" w:w="877"/>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non</w:t>
            </w:r>
          </w:p>
        </w:tc>
      </w:tr>
      <w:tr>
        <w:tc>
          <w:tcPr>
            <w:tcW w:type="dxa" w:w="1095"/>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HYP-03</w:t>
            </w:r>
          </w:p>
        </w:tc>
        <w:tc>
          <w:tcPr>
            <w:tcW w:type="dxa" w:w="7666"/>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Cette gêne coûte assez cher — délai, prix, incertitude — pour faire changer de canal</w:t>
            </w:r>
          </w:p>
        </w:tc>
        <w:tc>
          <w:tcPr>
            <w:tcW w:type="dxa" w:w="877"/>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non</w:t>
            </w:r>
          </w:p>
        </w:tc>
      </w:tr>
      <w:tr>
        <w:tc>
          <w:tcPr>
            <w:tcW w:type="dxa" w:w="1095"/>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HYP-09</w:t>
            </w:r>
          </w:p>
        </w:tc>
        <w:tc>
          <w:tcPr>
            <w:tcW w:type="dxa" w:w="7666"/>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Une raquette s'achète sans l'avoir prise en main</w:t>
            </w:r>
          </w:p>
        </w:tc>
        <w:tc>
          <w:tcPr>
            <w:tcW w:type="dxa" w:w="877"/>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oui</w:t>
            </w:r>
          </w:p>
        </w:tc>
      </w:tr>
      <w:tr>
        <w:tc>
          <w:tcPr>
            <w:tcW w:type="dxa" w:w="1095"/>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HYP-04</w:t>
            </w:r>
          </w:p>
        </w:tc>
        <w:tc>
          <w:tcPr>
            <w:tcW w:type="dxa" w:w="7666"/>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Un canal d'acquisition atteignable existe — et notamment : le prescripteur est-il le coach ?</w:t>
            </w:r>
          </w:p>
        </w:tc>
        <w:tc>
          <w:tcPr>
            <w:tcW w:type="dxa" w:w="877"/>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oui</w:t>
            </w:r>
          </w:p>
        </w:tc>
      </w:tr>
    </w:tbl>
    <w:p>
      <w:pPr>
        <w:spacing w:after="120"/>
      </w:pPr>
    </w:p>
    <w:p>
      <w:pPr>
        <w:spacing w:after="120"/>
      </w:pPr>
      <w:r>
        <w:rPr>
          <w:b/>
          <w:bCs/>
        </w:rPr>
        <w:t xml:space="preserve">HYP-01, HYP-05, HYP-06 et HYP-10 ne sont PAS testées ici.</w:t>
      </w:r>
      <w:r>
        <w:t xml:space="preserve"> Elles relèvent de sources documentaires (activité 3) ou de la mise en service (activité 26). Un joueur interrogé ne sait pas combien de licenciés compte son pays, ni quel est le taux de refus sectoriel en paiement à la livraison. Le lui demander produirait une opinion qu'on prendrait pour une donnée.</w:t>
      </w:r>
    </w:p>
    <w:p>
      <w:pPr>
        <w:pStyle w:val="Heading3"/>
        <w:keepNext/>
      </w:pPr>
      <w:r>
        <w:t xml:space="preserve">Échantillon visé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3"/>
        <w:gridCol w:w="7255"/>
      </w:tblGrid>
      <w:tr>
        <w:tc>
          <w:tcPr>
            <w:tcW w:type="dxa" w:w="2383"/>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Taille</w:t>
            </w:r>
          </w:p>
        </w:tc>
        <w:tc>
          <w:tcPr>
            <w:tcW w:type="dxa" w:w="7255"/>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8 participants minimum</w:t>
            </w:r>
            <w:r>
              <w:rPr>
                <w:sz w:val="19"/>
                <w:szCs w:val="19"/>
              </w:rPr>
              <w:t xml:space="preserve">, 12 visés. Huit est le seuil retenu par les critères de falsification de WP-05 — « sur au moins 8 joueurs interrogés, plus de la moitié… » ; en deçà, ces critères ne sont pas applicables et l'étiquette </w:t>
            </w:r>
            <w:r>
              <w:rPr>
                <w:rFonts w:ascii="Consolas" w:cs="Consolas" w:eastAsia="Consolas" w:hAnsi="Consolas"/>
                <w:sz w:val="19"/>
                <w:szCs w:val="19"/>
              </w:rPr>
              <w:t xml:space="preserve">EMPIRICAL</w:t>
            </w:r>
            <w:r>
              <w:rPr>
                <w:sz w:val="19"/>
                <w:szCs w:val="19"/>
              </w:rPr>
              <w:t xml:space="preserve"> n'est pas atteignable</w:t>
            </w:r>
          </w:p>
        </w:tc>
      </w:tr>
      <w:tr>
        <w:tc>
          <w:tcPr>
            <w:tcW w:type="dxa" w:w="2383"/>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Critère d'inclusion</w:t>
            </w:r>
          </w:p>
        </w:tc>
        <w:tc>
          <w:tcPr>
            <w:tcW w:type="dxa" w:w="7255"/>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Joue au padel au Maroc, en club, et </w:t>
            </w:r>
            <w:r>
              <w:rPr>
                <w:b/>
                <w:bCs/>
                <w:sz w:val="19"/>
                <w:szCs w:val="19"/>
              </w:rPr>
              <w:t xml:space="preserve">possède ou a acheté une raquette dans les 24 derniers mois</w:t>
            </w:r>
            <w:r>
              <w:rPr>
                <w:sz w:val="19"/>
                <w:szCs w:val="19"/>
              </w:rPr>
              <w:t xml:space="preserve">. L'achat récent est ce qui rend le souvenir exploitable</w:t>
            </w:r>
          </w:p>
        </w:tc>
      </w:tr>
      <w:tr>
        <w:tc>
          <w:tcPr>
            <w:tcW w:type="dxa" w:w="2383"/>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Critère d'exclusion</w:t>
            </w:r>
          </w:p>
        </w:tc>
        <w:tc>
          <w:tcPr>
            <w:tcW w:type="dxa" w:w="7255"/>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N'a jamais acheté de raquette — ne peut rien dire du parcours d'achat</w:t>
            </w:r>
          </w:p>
        </w:tc>
      </w:tr>
      <w:tr>
        <w:tc>
          <w:tcPr>
            <w:tcW w:type="dxa" w:w="2383"/>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Quotas de diversité</w:t>
            </w:r>
          </w:p>
        </w:tc>
        <w:tc>
          <w:tcPr>
            <w:tcW w:type="dxa" w:w="7255"/>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Au moins 3 femmes · au moins 2 débutants (moins d'un an de pratique) · au moins 2 villes · au moins 2 joueurs ayant acheté </w:t>
            </w:r>
            <w:r>
              <w:rPr>
                <w:b/>
                <w:bCs/>
                <w:sz w:val="19"/>
                <w:szCs w:val="19"/>
              </w:rPr>
              <w:t xml:space="preserve">hors</w:t>
            </w:r>
            <w:r>
              <w:rPr>
                <w:sz w:val="19"/>
                <w:szCs w:val="19"/>
              </w:rPr>
              <w:t xml:space="preserve"> grande distribution</w:t>
            </w:r>
          </w:p>
        </w:tc>
      </w:tr>
      <w:tr>
        <w:tc>
          <w:tcPr>
            <w:tcW w:type="dxa" w:w="2383"/>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Recrutement</w:t>
            </w:r>
          </w:p>
        </w:tc>
        <w:tc>
          <w:tcPr>
            <w:tcW w:type="dxa" w:w="7255"/>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Par les clubs. </w:t>
            </w:r>
            <w:r>
              <w:rPr>
                <w:b/>
                <w:bCs/>
                <w:sz w:val="19"/>
                <w:szCs w:val="19"/>
              </w:rPr>
              <w:t xml:space="preserve">Pas exclusivement par le cercle personnel du sponsor</w:t>
            </w:r>
            <w:r>
              <w:rPr>
                <w:sz w:val="19"/>
                <w:szCs w:val="19"/>
              </w:rPr>
              <w:t xml:space="preserve"> — voir biais B-01</w:t>
            </w:r>
          </w:p>
        </w:tc>
      </w:tr>
    </w:tbl>
    <w:p>
      <w:pPr>
        <w:spacing w:after="120"/>
      </w:pPr>
    </w:p>
    <w:p>
      <w:pPr>
        <w:pStyle w:val="Heading3"/>
        <w:keepNext/>
      </w:pPr>
      <w:r>
        <w:t xml:space="preserve">Protocole d'entretien — identique pour tous</w:t>
      </w:r>
    </w:p>
    <w:p>
      <w:pPr>
        <w:spacing w:after="120"/>
      </w:pPr>
      <w:r>
        <w:rPr>
          <w:b/>
          <w:bCs/>
        </w:rPr>
        <w:t xml:space="preserve">Semi-directif, 30 à 40 minutes, en français ou en darija au choix du participant.</w:t>
      </w:r>
      <w:r>
        <w:t xml:space="preserve"> Les questions ci-dessous sont posées </w:t>
      </w:r>
      <w:r>
        <w:rPr>
          <w:b/>
          <w:bCs/>
        </w:rPr>
        <w:t xml:space="preserve">dans cet ordre, à tous</w:t>
      </w:r>
      <w:r>
        <w:t xml:space="preserve">, sans exception. Les relances sont libres ; les questions ne le sont pas.</w:t>
      </w:r>
    </w:p>
    <w:p>
      <w:pPr>
        <w:spacing w:after="120"/>
      </w:pPr>
      <w:r>
        <w:rPr>
          <w:b/>
          <w:bCs/>
        </w:rPr>
        <w:t xml:space="preserve">Ouverture — cadre et consentement</w:t>
      </w:r>
      <w:r>
        <w:t xml:space="preserve"> </w:t>
      </w:r>
      <w:r>
        <w:rPr>
          <w:i/>
          <w:iCs/>
        </w:rPr>
        <w:t xml:space="preserve">(à lire, pas à paraphraser)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EFE7FF" w:color="auto" w:val="clear"/>
            <w:tcMar>
              <w:top w:type="dxa" w:w="70"/>
              <w:left w:type="dxa" w:w="110"/>
              <w:bottom w:type="dxa" w:w="70"/>
              <w:right w:type="dxa" w:w="110"/>
            </w:tcMar>
          </w:tcPr>
          <w:p>
            <w:pPr>
              <w:spacing w:after="60"/>
            </w:pPr>
            <w:r>
              <w:rPr>
                <w:rFonts w:ascii="Arial" w:cs="Arial" w:eastAsia="Arial" w:hAnsi="Arial"/>
                <w:b/>
                <w:bCs/>
                <w:color w:val="6D3FD1"/>
                <w:spacing w:val="20"/>
                <w:sz w:val="15"/>
                <w:szCs w:val="15"/>
              </w:rPr>
              <w:t xml:space="preserve">À RETENIR</w:t>
            </w:r>
          </w:p>
          <w:p>
            <w:pPr>
              <w:spacing w:after="40"/>
            </w:pPr>
            <w:r>
              <w:rPr>
                <w:sz w:val="20"/>
                <w:szCs w:val="20"/>
              </w:rPr>
              <w:t xml:space="preserve">« Je prépare un projet de vente de raquettes de padel en ligne au Maroc. Je cherche à</w:t>
            </w:r>
          </w:p>
          <w:p>
            <w:pPr>
              <w:spacing w:after="40"/>
            </w:pPr>
            <w:r>
              <w:rPr>
                <w:sz w:val="20"/>
                <w:szCs w:val="20"/>
              </w:rPr>
              <w:t xml:space="preserve">comprendre comment vous achetez votre matériel — pas à vous vendre quoi que ce soit. Il n'y a</w:t>
            </w:r>
          </w:p>
          <w:p>
            <w:pPr>
              <w:spacing w:after="40"/>
            </w:pPr>
            <w:r>
              <w:rPr>
                <w:sz w:val="20"/>
                <w:szCs w:val="20"/>
              </w:rPr>
              <w:t xml:space="preserve">pas de bonne réponse. Je prends des notes écrites ; j'enregistre seulement si vous</w:t>
            </w:r>
          </w:p>
          <w:p>
            <w:pPr>
              <w:spacing w:after="40"/>
            </w:pPr>
            <w:r>
              <w:rPr>
                <w:sz w:val="20"/>
                <w:szCs w:val="20"/>
              </w:rPr>
              <w:t xml:space="preserve">l'acceptez. Vous pouvez arrêter quand vous voulez, et je supprime tout sur demande. »</w:t>
            </w:r>
          </w:p>
        </w:tc>
      </w:tr>
    </w:tbl>
    <w:p>
      <w:pPr>
        <w:spacing w:after="120"/>
      </w:pPr>
    </w:p>
    <w:p>
      <w:pPr>
        <w:spacing w:after="120"/>
      </w:pPr>
      <w:r>
        <w:rPr>
          <w:b/>
          <w:bCs/>
        </w:rPr>
        <w:t xml:space="preserve">Bloc 1 — le dernier achat, reconstitué</w:t>
      </w:r>
      <w:r>
        <w:t xml:space="preserve"> </w:t>
      </w:r>
      <w:r>
        <w:rPr>
          <w:i/>
          <w:iCs/>
        </w:rPr>
        <w:t xml:space="preserve">(HYP-02, HYP-03)</w:t>
      </w:r>
    </w:p>
    <w:p>
      <w:pPr>
        <w:pStyle w:val="ListParagraph"/>
        <w:numPr>
          <w:ilvl w:val="0"/>
          <w:numId w:val="2"/>
        </w:numPr>
        <w:spacing w:after="60"/>
      </w:pPr>
      <w:r>
        <w:t xml:space="preserve">Racontez-moi votre dernière raquette : quand, et comment elle est arrivée entre vos mains ?</w:t>
      </w:r>
    </w:p>
    <w:p>
      <w:pPr>
        <w:pStyle w:val="ListParagraph"/>
        <w:numPr>
          <w:ilvl w:val="0"/>
          <w:numId w:val="2"/>
        </w:numPr>
        <w:spacing w:after="60"/>
      </w:pPr>
      <w:r>
        <w:t xml:space="preserve">Par où avez-vous commencé à chercher ? Et ensuite ?</w:t>
      </w:r>
    </w:p>
    <w:p>
      <w:pPr>
        <w:pStyle w:val="ListParagraph"/>
        <w:numPr>
          <w:ilvl w:val="0"/>
          <w:numId w:val="2"/>
        </w:numPr>
        <w:spacing w:after="60"/>
      </w:pPr>
      <w:r>
        <w:t xml:space="preserve">Combien de temps s'est écoulé entre le moment où vous avez décidé et le moment où vous</w:t>
      </w:r>
    </w:p>
    <w:p>
      <w:pPr>
        <w:spacing w:after="120"/>
      </w:pPr>
      <w:r>
        <w:t xml:space="preserve">   l'avez eue ?</w:t>
      </w:r>
    </w:p>
    <w:p>
      <w:pPr>
        <w:pStyle w:val="ListParagraph"/>
        <w:numPr>
          <w:ilvl w:val="0"/>
          <w:numId w:val="2"/>
        </w:numPr>
        <w:spacing w:after="60"/>
      </w:pPr>
      <w:r>
        <w:t xml:space="preserve">Qu'est-ce qui a été pénible, s'il y a eu quelque chose de pénible ?</w:t>
      </w:r>
    </w:p>
    <w:p>
      <w:pPr>
        <w:pStyle w:val="ListParagraph"/>
        <w:numPr>
          <w:ilvl w:val="0"/>
          <w:numId w:val="2"/>
        </w:numPr>
        <w:spacing w:after="60"/>
      </w:pPr>
      <w:r>
        <w:t xml:space="preserve">Y a-t-il un achat que vous avez </w:t>
      </w:r>
      <w:r>
        <w:rPr>
          <w:b/>
          <w:bCs/>
        </w:rPr>
        <w:t xml:space="preserve">renoncé</w:t>
      </w:r>
      <w:r>
        <w:t xml:space="preserve"> à faire ? Pourquoi ?</w:t>
      </w:r>
    </w:p>
    <w:p>
      <w:pPr>
        <w:spacing w:after="120"/>
      </w:pPr>
      <w:r>
        <w:rPr>
          <w:b/>
          <w:bCs/>
        </w:rPr>
        <w:t xml:space="preserve">Bloc 2 — l'essai</w:t>
      </w:r>
      <w:r>
        <w:t xml:space="preserve"> </w:t>
      </w:r>
      <w:r>
        <w:rPr>
          <w:i/>
          <w:iCs/>
        </w:rPr>
        <w:t xml:space="preserve">(HYP-09, létale)</w:t>
      </w:r>
    </w:p>
    <w:p>
      <w:pPr>
        <w:pStyle w:val="ListParagraph"/>
        <w:numPr>
          <w:ilvl w:val="0"/>
          <w:numId w:val="2"/>
        </w:numPr>
        <w:spacing w:after="60"/>
      </w:pPr>
      <w:r>
        <w:t xml:space="preserve">Avant d'acheter, avez-vous tenu la raquette en main ? Joué avec ?</w:t>
      </w:r>
    </w:p>
    <w:p>
      <w:pPr>
        <w:pStyle w:val="ListParagraph"/>
        <w:numPr>
          <w:ilvl w:val="0"/>
          <w:numId w:val="2"/>
        </w:numPr>
        <w:spacing w:after="60"/>
      </w:pPr>
      <w:r>
        <w:rPr>
          <w:i/>
          <w:iCs/>
        </w:rPr>
        <w:t xml:space="preserve">(si oui)</w:t>
      </w:r>
      <w:r>
        <w:t xml:space="preserve"> Auriez-vous acheté sans l'avoir essayée ? Qu'est-ce qu'il aurait fallu pour ça ?</w:t>
      </w:r>
    </w:p>
    <w:p>
      <w:pPr>
        <w:pStyle w:val="ListParagraph"/>
        <w:numPr>
          <w:ilvl w:val="0"/>
          <w:numId w:val="2"/>
        </w:numPr>
        <w:spacing w:after="60"/>
      </w:pPr>
      <w:r>
        <w:rPr>
          <w:i/>
          <w:iCs/>
        </w:rPr>
        <w:t xml:space="preserve">(si non)</w:t>
      </w:r>
      <w:r>
        <w:t xml:space="preserve"> Sur quoi vous êtes-vous décidé ?</w:t>
      </w:r>
    </w:p>
    <w:p>
      <w:pPr>
        <w:pStyle w:val="ListParagraph"/>
        <w:numPr>
          <w:ilvl w:val="0"/>
          <w:numId w:val="2"/>
        </w:numPr>
        <w:spacing w:after="60"/>
      </w:pPr>
      <w:r>
        <w:t xml:space="preserve">Si vous deviez racheter </w:t>
      </w:r>
      <w:r>
        <w:rPr>
          <w:b/>
          <w:bCs/>
        </w:rPr>
        <w:t xml:space="preserve">exactement le même modèle</w:t>
      </w:r>
      <w:r>
        <w:t xml:space="preserve">, iriez-vous l'essayer à nouveau ?</w:t>
      </w:r>
    </w:p>
    <w:p>
      <w:pPr>
        <w:spacing w:after="120"/>
      </w:pPr>
      <w:r>
        <w:rPr>
          <w:b/>
          <w:bCs/>
        </w:rPr>
        <w:t xml:space="preserve">Bloc 3 — le conseil</w:t>
      </w:r>
      <w:r>
        <w:t xml:space="preserve"> </w:t>
      </w:r>
      <w:r>
        <w:rPr>
          <w:i/>
          <w:iCs/>
        </w:rPr>
        <w:t xml:space="preserve">(HYP-04, létale)</w:t>
      </w:r>
    </w:p>
    <w:p>
      <w:pPr>
        <w:pStyle w:val="ListParagraph"/>
        <w:numPr>
          <w:ilvl w:val="0"/>
          <w:numId w:val="2"/>
        </w:numPr>
        <w:spacing w:after="60"/>
      </w:pPr>
      <w:r>
        <w:t xml:space="preserve">Qui vous a conseillé, ou qui consultez-vous avant ce genre d'achat ?</w:t>
      </w:r>
    </w:p>
    <w:p>
      <w:pPr>
        <w:pStyle w:val="ListParagraph"/>
        <w:numPr>
          <w:ilvl w:val="0"/>
          <w:numId w:val="2"/>
        </w:numPr>
        <w:spacing w:after="60"/>
      </w:pPr>
      <w:r>
        <w:t xml:space="preserve">Votre coach, ou quelqu'un du club, joue-t-il un rôle là-dedans ?</w:t>
      </w:r>
    </w:p>
    <w:p>
      <w:pPr>
        <w:pStyle w:val="ListParagraph"/>
        <w:numPr>
          <w:ilvl w:val="0"/>
          <w:numId w:val="2"/>
        </w:numPr>
        <w:spacing w:after="60"/>
      </w:pPr>
      <w:r>
        <w:t xml:space="preserve">Où voyez-vous passer des offres de matériel de padel, quand vous en voyez ?</w:t>
      </w:r>
    </w:p>
    <w:p>
      <w:pPr>
        <w:spacing w:after="120"/>
      </w:pPr>
      <w:r>
        <w:rPr>
          <w:b/>
          <w:bCs/>
        </w:rPr>
        <w:t xml:space="preserve">Bloc 4 — le paiement et la livraison</w:t>
      </w:r>
      <w:r>
        <w:t xml:space="preserve"> </w:t>
      </w:r>
      <w:r>
        <w:rPr>
          <w:i/>
          <w:iCs/>
        </w:rPr>
        <w:t xml:space="preserve">(HYP-05, contexte seulement)</w:t>
      </w:r>
    </w:p>
    <w:p>
      <w:pPr>
        <w:pStyle w:val="ListParagraph"/>
        <w:numPr>
          <w:ilvl w:val="0"/>
          <w:numId w:val="2"/>
        </w:numPr>
        <w:spacing w:after="60"/>
      </w:pPr>
      <w:r>
        <w:t xml:space="preserve">Avez-vous déjà commandé du matériel de sport en ligne au Maroc ? Comment avez-vous payé ?</w:t>
      </w:r>
    </w:p>
    <w:p>
      <w:pPr>
        <w:pStyle w:val="ListParagraph"/>
        <w:numPr>
          <w:ilvl w:val="0"/>
          <w:numId w:val="2"/>
        </w:numPr>
        <w:spacing w:after="60"/>
      </w:pPr>
      <w:r>
        <w:t xml:space="preserve">Vous est-il arrivé de refuser un colis à la livraison ? Dans quelles circonstances ?</w:t>
      </w:r>
    </w:p>
    <w:p>
      <w:pPr>
        <w:spacing w:after="120"/>
      </w:pPr>
      <w:r>
        <w:rPr>
          <w:b/>
          <w:bCs/>
        </w:rPr>
        <w:t xml:space="preserve">Clôture</w:t>
      </w:r>
    </w:p>
    <w:p>
      <w:pPr>
        <w:pStyle w:val="ListParagraph"/>
        <w:numPr>
          <w:ilvl w:val="0"/>
          <w:numId w:val="2"/>
        </w:numPr>
        <w:spacing w:after="60"/>
      </w:pPr>
      <w:r>
        <w:t xml:space="preserve">Qu'est-ce que je ne vous ai pas demandé et que vous auriez dit ?</w:t>
      </w:r>
    </w:p>
    <w:p>
      <w:pPr>
        <w:pStyle w:val="Heading3"/>
        <w:keepNext/>
      </w:pPr>
      <w:r>
        <w:t xml:space="preserve">Ce que le protocole s'interdit</w:t>
      </w:r>
    </w:p>
    <w:p>
      <w:pPr>
        <w:spacing w:after="120"/>
      </w:pPr>
      <w:r>
        <w:t xml:space="preserve">Ces interdits sont la moitié du protocole. Les enfreindre ne se voit pas dans les verbatims — il ne reste que la réponse qu'on a fabriquée.</w:t>
      </w:r>
    </w:p>
    <w:p>
      <w:pPr>
        <w:pStyle w:val="ListParagraph"/>
        <w:numPr>
          <w:ilvl w:val="0"/>
          <w:numId w:val="2"/>
        </w:numPr>
        <w:spacing w:after="60"/>
      </w:pPr>
      <w:r>
        <w:rPr>
          <w:b/>
          <w:bCs/>
        </w:rPr>
        <w:t xml:space="preserve">Ne jamais décrire le produit envisagé avant le bloc 4.</w:t>
      </w:r>
      <w:r>
        <w:t xml:space="preserve"> Un participant à qui l'on a</w:t>
      </w:r>
    </w:p>
    <w:p>
      <w:pPr>
        <w:spacing w:after="120"/>
      </w:pPr>
      <w:r>
        <w:t xml:space="preserve">  présenté une boutique en ligne répond ensuite sur cette boutique, pas sur sa pratique.</w:t>
      </w:r>
    </w:p>
    <w:p>
      <w:pPr>
        <w:pStyle w:val="ListParagraph"/>
        <w:numPr>
          <w:ilvl w:val="0"/>
          <w:numId w:val="2"/>
        </w:numPr>
        <w:spacing w:after="60"/>
      </w:pPr>
      <w:r>
        <w:rPr>
          <w:b/>
          <w:bCs/>
        </w:rPr>
        <w:t xml:space="preserve">Ne jamais poser les trois usages non écrits de WP-06 comme des faits.</w:t>
      </w:r>
      <w:r>
        <w:t xml:space="preserve"> La négociation par</w:t>
      </w:r>
    </w:p>
    <w:p>
      <w:pPr>
        <w:spacing w:after="120"/>
      </w:pPr>
      <w:r>
        <w:t xml:space="preserve">  messagerie, la pratique du refus, le rôle du coach sont des </w:t>
      </w:r>
      <w:r>
        <w:rPr>
          <w:rFonts w:ascii="Consolas" w:cs="Consolas" w:eastAsia="Consolas" w:hAnsi="Consolas"/>
        </w:rPr>
        <w:t xml:space="preserve">INFÉRENCE</w:t>
      </w:r>
      <w:r>
        <w:t xml:space="preserve">s de ma part : ils   doivent </w:t>
      </w:r>
      <w:r>
        <w:rPr>
          <w:b/>
          <w:bCs/>
        </w:rPr>
        <w:t xml:space="preserve">émerger</w:t>
      </w:r>
      <w:r>
        <w:t xml:space="preserve"> des réponses, ou ne pas émerger. Les énoncer au participant fabriquerait   la confirmation qu'on cherche.</w:t>
      </w:r>
    </w:p>
    <w:p>
      <w:pPr>
        <w:pStyle w:val="ListParagraph"/>
        <w:numPr>
          <w:ilvl w:val="0"/>
          <w:numId w:val="2"/>
        </w:numPr>
        <w:spacing w:after="60"/>
      </w:pPr>
      <w:r>
        <w:rPr>
          <w:b/>
          <w:bCs/>
        </w:rPr>
        <w:t xml:space="preserve">Ne jamais demander de prédiction d'achat</w:t>
      </w:r>
      <w:r>
        <w:t xml:space="preserve"> — « achèteriez-vous sur un site comme… ». Ce que</w:t>
      </w:r>
    </w:p>
    <w:p>
      <w:pPr>
        <w:spacing w:after="120"/>
      </w:pPr>
      <w:r>
        <w:t xml:space="preserve">  les gens disent qu'ils feraient n'est pas une donnée ; ce qu'ils ont fait en est une.</w:t>
      </w:r>
    </w:p>
    <w:p>
      <w:pPr>
        <w:pStyle w:val="ListParagraph"/>
        <w:numPr>
          <w:ilvl w:val="0"/>
          <w:numId w:val="2"/>
        </w:numPr>
        <w:spacing w:after="60"/>
      </w:pPr>
      <w:r>
        <w:rPr>
          <w:b/>
          <w:bCs/>
        </w:rPr>
        <w:t xml:space="preserve">Ne jamais reformuler une réponse floue en réponse nette.</w:t>
      </w:r>
      <w:r>
        <w:t xml:space="preserve"> Un « bof, ça allait » reste « bof,</w:t>
      </w:r>
    </w:p>
    <w:p>
      <w:pPr>
        <w:spacing w:after="120"/>
      </w:pPr>
      <w:r>
        <w:t xml:space="preserve">  ça allait ».</w:t>
      </w:r>
    </w:p>
    <w:p>
      <w:pPr>
        <w:pStyle w:val="ListParagraph"/>
        <w:numPr>
          <w:ilvl w:val="0"/>
          <w:numId w:val="2"/>
        </w:numPr>
        <w:spacing w:after="60"/>
      </w:pPr>
      <w:r>
        <w:rPr>
          <w:b/>
          <w:bCs/>
        </w:rPr>
        <w:t xml:space="preserve">Ne jamais changer une question entre deux participants.</w:t>
      </w:r>
      <w:r>
        <w:t xml:space="preserve"> Si une question se révèle mauvaise,</w:t>
      </w:r>
    </w:p>
    <w:p>
      <w:pPr>
        <w:spacing w:after="120"/>
      </w:pPr>
      <w:r>
        <w:t xml:space="preserve">  elle reste mauvaise jusqu'au bout du lot, et le défaut est déclaré.</w:t>
      </w:r>
    </w:p>
    <w:p>
      <w:pPr>
        <w:pStyle w:val="Heading3"/>
        <w:keepNext/>
      </w:pPr>
      <w:r>
        <w:t xml:space="preserve">Consentement et données personnelles</w:t>
      </w:r>
    </w:p>
    <w:p>
      <w:pPr>
        <w:spacing w:after="120"/>
      </w:pPr>
      <w:r>
        <w:rPr>
          <w:b/>
          <w:bCs/>
        </w:rPr>
        <w:t xml:space="preserve">Recueilli avant chaque entretien, tracé dans le fichier du participant.</w:t>
      </w:r>
      <w:r>
        <w:t xml:space="preserve"> Prénom seul ou pseudonyme, aucun nom de famille, aucun numéro de téléphone, aucune adresse dans les fichiers du dépôt.</w:t>
      </w:r>
    </w:p>
    <w:p>
      <w:pPr>
        <w:spacing w:after="120"/>
      </w:pPr>
      <w:r>
        <w:rPr>
          <w:b/>
          <w:bCs/>
        </w:rPr>
        <w:t xml:space="preserve">Point ouvert, et il n'est pas théorique :</w:t>
      </w:r>
      <w:r>
        <w:t xml:space="preserve"> </w:t>
      </w:r>
      <w:r>
        <w:rPr>
          <w:rFonts w:ascii="Consolas" w:cs="Consolas" w:eastAsia="Consolas" w:hAnsi="Consolas"/>
        </w:rPr>
        <w:t xml:space="preserve">RG-03</w:t>
      </w:r>
      <w:r>
        <w:t xml:space="preserve"> de WP-06 — la déclaration préalable des traitements de données personnelles à la CNDP — est </w:t>
      </w:r>
      <w:r>
        <w:rPr>
          <w:rFonts w:ascii="Consolas" w:cs="Consolas" w:eastAsia="Consolas" w:hAnsi="Consolas"/>
        </w:rPr>
        <w:t xml:space="preserve">INCONNU</w:t>
      </w:r>
      <w:r>
        <w:t xml:space="preserve">, faute d'avoir pu lire la source. Un corpus d'entretiens est un traitement de données personnelles. </w:t>
      </w:r>
      <w:r>
        <w:rPr>
          <w:b/>
          <w:bCs/>
        </w:rPr>
        <w:t xml:space="preserve">Le protocole minimise donc par défaut</w:t>
      </w:r>
      <w:r>
        <w:t xml:space="preserve"> — pseudonymisation immédiate, aucune donnée de contact conservée, suppression sur demande — plutôt que d'attendre une règle qu'on ne peut pas lire. La minimisation n'est pas une conformité établie ; c'est la posture la moins risquée sous inconnue.</w:t>
      </w:r>
    </w:p>
    <w:p>
      <w:pPr>
        <w:pStyle w:val="Heading3"/>
        <w:keepNext/>
      </w:pPr>
      <w:r>
        <w:t xml:space="preserve">Biais déclarés — avant, pas après</w:t>
      </w:r>
    </w:p>
    <w:p>
      <w:pPr>
        <w:spacing w:after="120"/>
      </w:pPr>
      <w:r>
        <w:t xml:space="preserve">Déclarés maintenant, alors qu'ils peuvent encore être corrigés. Un biais déclaré après les résultats est une excuse.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
        <w:gridCol w:w="3094"/>
        <w:gridCol w:w="3094"/>
        <w:gridCol w:w="3097"/>
      </w:tblGrid>
      <w:tr>
        <w:tc>
          <w:tcPr>
            <w:tcW w:type="dxa" w:w="353"/>
            <w:tcBorders>
              <w:top w:val="none" w:color="FFFFFF" w:sz="0"/>
              <w:left w:val="none" w:color="FFFFFF" w:sz="0"/>
              <w:bottom w:val="single" w:color="DDD9E5" w:sz="4"/>
              <w:right w:val="none" w:color="FFFFFF" w:sz="0"/>
            </w:tcBorders>
            <w:shd w:fill="F6F4F9" w:color="auto" w:val="clear"/>
            <w:tcMar>
              <w:top w:type="dxa" w:w="70"/>
              <w:left w:type="dxa" w:w="110"/>
              <w:bottom w:type="dxa" w:w="70"/>
              <w:right w:type="dxa" w:w="110"/>
            </w:tcMar>
          </w:tcPr>
          <w:p/>
        </w:tc>
        <w:tc>
          <w:tcPr>
            <w:tcW w:type="dxa" w:w="3094"/>
            <w:tcBorders>
              <w:top w:val="none" w:color="FFFFFF" w:sz="0"/>
              <w:left w:val="none" w:color="FFFFFF" w:sz="0"/>
              <w:bottom w:val="single" w:color="DDD9E5" w:sz="4"/>
              <w:right w:val="none" w:color="FFFFFF" w:sz="0"/>
            </w:tcBorders>
            <w:shd w:fill="F6F4F9" w:color="auto" w:val="clear"/>
            <w:tcMar>
              <w:top w:type="dxa" w:w="70"/>
              <w:left w:type="dxa" w:w="110"/>
              <w:bottom w:type="dxa" w:w="70"/>
              <w:right w:type="dxa" w:w="110"/>
            </w:tcMar>
          </w:tcPr>
          <w:p>
            <w:r>
              <w:rPr>
                <w:b/>
                <w:bCs/>
                <w:sz w:val="19"/>
                <w:szCs w:val="19"/>
              </w:rPr>
              <w:t xml:space="preserve">Biais</w:t>
            </w:r>
          </w:p>
        </w:tc>
        <w:tc>
          <w:tcPr>
            <w:tcW w:type="dxa" w:w="3094"/>
            <w:tcBorders>
              <w:top w:val="none" w:color="FFFFFF" w:sz="0"/>
              <w:left w:val="none" w:color="FFFFFF" w:sz="0"/>
              <w:bottom w:val="single" w:color="DDD9E5" w:sz="4"/>
              <w:right w:val="none" w:color="FFFFFF" w:sz="0"/>
            </w:tcBorders>
            <w:shd w:fill="F6F4F9" w:color="auto" w:val="clear"/>
            <w:tcMar>
              <w:top w:type="dxa" w:w="70"/>
              <w:left w:type="dxa" w:w="110"/>
              <w:bottom w:type="dxa" w:w="70"/>
              <w:right w:type="dxa" w:w="110"/>
            </w:tcMar>
          </w:tcPr>
          <w:p>
            <w:r>
              <w:rPr>
                <w:b/>
                <w:bCs/>
                <w:sz w:val="19"/>
                <w:szCs w:val="19"/>
              </w:rPr>
              <w:t xml:space="preserve">Effet attendu</w:t>
            </w:r>
          </w:p>
        </w:tc>
        <w:tc>
          <w:tcPr>
            <w:tcW w:type="dxa" w:w="3097"/>
            <w:tcBorders>
              <w:top w:val="none" w:color="FFFFFF" w:sz="0"/>
              <w:left w:val="none" w:color="FFFFFF" w:sz="0"/>
              <w:bottom w:val="single" w:color="DDD9E5" w:sz="4"/>
              <w:right w:val="none" w:color="FFFFFF" w:sz="0"/>
            </w:tcBorders>
            <w:shd w:fill="F6F4F9" w:color="auto" w:val="clear"/>
            <w:tcMar>
              <w:top w:type="dxa" w:w="70"/>
              <w:left w:type="dxa" w:w="110"/>
              <w:bottom w:type="dxa" w:w="70"/>
              <w:right w:type="dxa" w:w="110"/>
            </w:tcMar>
          </w:tcPr>
          <w:p>
            <w:r>
              <w:rPr>
                <w:b/>
                <w:bCs/>
                <w:sz w:val="19"/>
                <w:szCs w:val="19"/>
              </w:rPr>
              <w:t xml:space="preserve">Atténuation prévue</w:t>
            </w:r>
          </w:p>
        </w:tc>
      </w:tr>
      <w:tr>
        <w:tc>
          <w:tcPr>
            <w:tcW w:type="dxa" w:w="353"/>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B-01</w:t>
            </w:r>
          </w:p>
        </w:tc>
        <w:tc>
          <w:tcPr>
            <w:tcW w:type="dxa" w:w="3094"/>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Recrutement par le cercle du sponsor.</w:t>
            </w:r>
            <w:r>
              <w:rPr>
                <w:sz w:val="19"/>
                <w:szCs w:val="19"/>
              </w:rPr>
              <w:t xml:space="preserve"> Le sponsor est le seul point d'entrée vers les clubs</w:t>
            </w:r>
          </w:p>
        </w:tc>
        <w:tc>
          <w:tcPr>
            <w:tcW w:type="dxa" w:w="3094"/>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Surreprésentation de joueurs socialement proches, plus urbains et plus équipés. Gonfle HYP-02 et HYP-03</w:t>
            </w:r>
          </w:p>
        </w:tc>
        <w:tc>
          <w:tcPr>
            <w:tcW w:type="dxa" w:w="3097"/>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Recruter dans </w:t>
            </w:r>
            <w:r>
              <w:rPr>
                <w:b/>
                <w:bCs/>
                <w:sz w:val="19"/>
                <w:szCs w:val="19"/>
              </w:rPr>
              <w:t xml:space="preserve">au moins deux clubs distincts</w:t>
            </w:r>
            <w:r>
              <w:rPr>
                <w:sz w:val="19"/>
                <w:szCs w:val="19"/>
              </w:rPr>
              <w:t xml:space="preserve">, dont un où le sponsor n'est pas connu. Déclarer la provenance de chaque participant</w:t>
            </w:r>
          </w:p>
        </w:tc>
      </w:tr>
      <w:tr>
        <w:tc>
          <w:tcPr>
            <w:tcW w:type="dxa" w:w="353"/>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B-02</w:t>
            </w:r>
          </w:p>
        </w:tc>
        <w:tc>
          <w:tcPr>
            <w:tcW w:type="dxa" w:w="3094"/>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L'intervieweur est le vendeur.</w:t>
            </w:r>
            <w:r>
              <w:rPr>
                <w:sz w:val="19"/>
                <w:szCs w:val="19"/>
              </w:rPr>
              <w:t xml:space="preserve"> Le sponsor a intérêt à ce que les réponses valident son projet</w:t>
            </w:r>
          </w:p>
        </w:tc>
        <w:tc>
          <w:tcPr>
            <w:tcW w:type="dxa" w:w="3094"/>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Complaisance : les participants disent ce qui fait plaisir</w:t>
            </w:r>
          </w:p>
        </w:tc>
        <w:tc>
          <w:tcPr>
            <w:tcW w:type="dxa" w:w="3097"/>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Ouverture explicite « je ne cherche pas à vous vendre » · questions sur le </w:t>
            </w:r>
            <w:r>
              <w:rPr>
                <w:b/>
                <w:bCs/>
                <w:sz w:val="19"/>
                <w:szCs w:val="19"/>
              </w:rPr>
              <w:t xml:space="preserve">passé</w:t>
            </w:r>
            <w:r>
              <w:rPr>
                <w:sz w:val="19"/>
                <w:szCs w:val="19"/>
              </w:rPr>
              <w:t xml:space="preserve">, jamais sur l'intention · </w:t>
            </w:r>
            <w:r>
              <w:rPr>
                <w:b/>
                <w:bCs/>
                <w:sz w:val="19"/>
                <w:szCs w:val="19"/>
              </w:rPr>
              <w:t xml:space="preserve">idéalement, faire conduire les entretiens par quelqu'un d'autre</w:t>
            </w:r>
          </w:p>
        </w:tc>
      </w:tr>
      <w:tr>
        <w:tc>
          <w:tcPr>
            <w:tcW w:type="dxa" w:w="353"/>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B-03</w:t>
            </w:r>
          </w:p>
        </w:tc>
        <w:tc>
          <w:tcPr>
            <w:tcW w:type="dxa" w:w="3094"/>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Biais de désirabilité sur l'essai.</w:t>
            </w:r>
            <w:r>
              <w:rPr>
                <w:sz w:val="19"/>
                <w:szCs w:val="19"/>
              </w:rPr>
              <w:t xml:space="preserve"> Un joueur peut surestimer son exigence d'essai pour paraître exigeant</w:t>
            </w:r>
          </w:p>
        </w:tc>
        <w:tc>
          <w:tcPr>
            <w:tcW w:type="dxa" w:w="3094"/>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Gonfle artificiellement HYP-09, hypothèse létale</w:t>
            </w:r>
          </w:p>
        </w:tc>
        <w:tc>
          <w:tcPr>
            <w:tcW w:type="dxa" w:w="3097"/>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Question 9 posée en contrepoint : le rachat à l'identique sépare l'exigence réelle du discours</w:t>
            </w:r>
          </w:p>
        </w:tc>
      </w:tr>
      <w:tr>
        <w:tc>
          <w:tcPr>
            <w:tcW w:type="dxa" w:w="353"/>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B-04</w:t>
            </w:r>
          </w:p>
        </w:tc>
        <w:tc>
          <w:tcPr>
            <w:tcW w:type="dxa" w:w="3094"/>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Biais de survivant.</w:t>
            </w:r>
            <w:r>
              <w:rPr>
                <w:sz w:val="19"/>
                <w:szCs w:val="19"/>
              </w:rPr>
              <w:t xml:space="preserve"> On interroge des gens qui ont acheté une raquette ; ceux qui ont renoncé ne sont pas dans l'échantillon</w:t>
            </w:r>
          </w:p>
        </w:tc>
        <w:tc>
          <w:tcPr>
            <w:tcW w:type="dxa" w:w="3094"/>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Sous-estime les irritants du parcours</w:t>
            </w:r>
          </w:p>
        </w:tc>
        <w:tc>
          <w:tcPr>
            <w:tcW w:type="dxa" w:w="3097"/>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Question 5 attaque directement le renoncement — palliatif partiel, </w:t>
            </w:r>
            <w:r>
              <w:rPr>
                <w:b/>
                <w:bCs/>
                <w:sz w:val="19"/>
                <w:szCs w:val="19"/>
              </w:rPr>
              <w:t xml:space="preserve">le biais subsiste et est assumé</w:t>
            </w:r>
          </w:p>
        </w:tc>
      </w:tr>
      <w:tr>
        <w:tc>
          <w:tcPr>
            <w:tcW w:type="dxa" w:w="353"/>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B-05</w:t>
            </w:r>
          </w:p>
        </w:tc>
        <w:tc>
          <w:tcPr>
            <w:tcW w:type="dxa" w:w="3094"/>
            <w:tcBorders>
              <w:top w:val="none" w:color="FFFFFF" w:sz="0"/>
              <w:left w:val="none" w:color="FFFFFF" w:sz="0"/>
              <w:bottom w:val="single" w:color="DDD9E5" w:sz="4"/>
              <w:right w:val="none" w:color="FFFFFF" w:sz="0"/>
            </w:tcBorders>
            <w:tcMar>
              <w:top w:type="dxa" w:w="70"/>
              <w:left w:type="dxa" w:w="110"/>
              <w:bottom w:type="dxa" w:w="70"/>
              <w:right w:type="dxa" w:w="110"/>
            </w:tcMar>
          </w:tcPr>
          <w:p>
            <w:r>
              <w:rPr>
                <w:b/>
                <w:bCs/>
                <w:sz w:val="19"/>
                <w:szCs w:val="19"/>
              </w:rPr>
              <w:t xml:space="preserve">Échantillon de convenance, non probabiliste</w:t>
            </w:r>
          </w:p>
        </w:tc>
        <w:tc>
          <w:tcPr>
            <w:tcW w:type="dxa" w:w="3094"/>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Aucune généralisation statistique n'est légitime</w:t>
            </w:r>
          </w:p>
        </w:tc>
        <w:tc>
          <w:tcPr>
            <w:tcW w:type="dxa" w:w="3097"/>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Le niveau d'evidence sera </w:t>
            </w:r>
            <w:r>
              <w:rPr>
                <w:rFonts w:ascii="Consolas" w:cs="Consolas" w:eastAsia="Consolas" w:hAnsi="Consolas"/>
                <w:sz w:val="19"/>
                <w:szCs w:val="19"/>
              </w:rPr>
              <w:t xml:space="preserve">EMPIRICAL</w:t>
            </w:r>
            <w:r>
              <w:rPr>
                <w:sz w:val="19"/>
                <w:szCs w:val="19"/>
              </w:rPr>
              <w:t xml:space="preserve"> sur l'existence d'un phénomène, </w:t>
            </w:r>
            <w:r>
              <w:rPr>
                <w:b/>
                <w:bCs/>
                <w:sz w:val="19"/>
                <w:szCs w:val="19"/>
              </w:rPr>
              <w:t xml:space="preserve">jamais sur sa fréquence dans la population</w:t>
            </w:r>
          </w:p>
        </w:tc>
      </w:tr>
    </w:tbl>
    <w:p>
      <w:pPr>
        <w:spacing w:after="120"/>
      </w:pPr>
    </w:p>
    <w:p>
      <w:pPr>
        <w:pStyle w:val="Heading3"/>
        <w:keepNext/>
      </w:pPr>
      <w:r>
        <w:t xml:space="preserve">Étiquetage du niveau d'evidence — décidé avant les résultats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9"/>
        <w:gridCol w:w="8129"/>
      </w:tblGrid>
      <w:tr>
        <w:tc>
          <w:tcPr>
            <w:tcW w:type="dxa" w:w="1509"/>
            <w:tcBorders>
              <w:top w:val="none" w:color="FFFFFF" w:sz="0"/>
              <w:left w:val="none" w:color="FFFFFF" w:sz="0"/>
              <w:bottom w:val="single" w:color="DDD9E5" w:sz="4"/>
              <w:right w:val="none" w:color="FFFFFF" w:sz="0"/>
            </w:tcBorders>
            <w:shd w:fill="F6F4F9" w:color="auto" w:val="clear"/>
            <w:tcMar>
              <w:top w:type="dxa" w:w="70"/>
              <w:left w:type="dxa" w:w="110"/>
              <w:bottom w:type="dxa" w:w="70"/>
              <w:right w:type="dxa" w:w="110"/>
            </w:tcMar>
          </w:tcPr>
          <w:p>
            <w:r>
              <w:rPr>
                <w:b/>
                <w:bCs/>
                <w:sz w:val="19"/>
                <w:szCs w:val="19"/>
              </w:rPr>
              <w:t xml:space="preserve">Niveau</w:t>
            </w:r>
          </w:p>
        </w:tc>
        <w:tc>
          <w:tcPr>
            <w:tcW w:type="dxa" w:w="8129"/>
            <w:tcBorders>
              <w:top w:val="none" w:color="FFFFFF" w:sz="0"/>
              <w:left w:val="none" w:color="FFFFFF" w:sz="0"/>
              <w:bottom w:val="single" w:color="DDD9E5" w:sz="4"/>
              <w:right w:val="none" w:color="FFFFFF" w:sz="0"/>
            </w:tcBorders>
            <w:shd w:fill="F6F4F9" w:color="auto" w:val="clear"/>
            <w:tcMar>
              <w:top w:type="dxa" w:w="70"/>
              <w:left w:type="dxa" w:w="110"/>
              <w:bottom w:type="dxa" w:w="70"/>
              <w:right w:type="dxa" w:w="110"/>
            </w:tcMar>
          </w:tcPr>
          <w:p>
            <w:r>
              <w:rPr>
                <w:b/>
                <w:bCs/>
                <w:sz w:val="19"/>
                <w:szCs w:val="19"/>
              </w:rPr>
              <w:t xml:space="preserve">Condition d'attribution</w:t>
            </w:r>
          </w:p>
        </w:tc>
      </w:tr>
      <w:tr>
        <w:tc>
          <w:tcPr>
            <w:tcW w:type="dxa" w:w="1509"/>
            <w:tcBorders>
              <w:top w:val="none" w:color="FFFFFF" w:sz="0"/>
              <w:left w:val="none" w:color="FFFFFF" w:sz="0"/>
              <w:bottom w:val="single" w:color="DDD9E5" w:sz="4"/>
              <w:right w:val="none" w:color="FFFFFF" w:sz="0"/>
            </w:tcBorders>
            <w:tcMar>
              <w:top w:type="dxa" w:w="70"/>
              <w:left w:type="dxa" w:w="110"/>
              <w:bottom w:type="dxa" w:w="70"/>
              <w:right w:type="dxa" w:w="110"/>
            </w:tcMar>
          </w:tcPr>
          <w:p>
            <w:r>
              <w:rPr>
                <w:rFonts w:ascii="Consolas" w:cs="Consolas" w:eastAsia="Consolas" w:hAnsi="Consolas"/>
                <w:sz w:val="19"/>
                <w:szCs w:val="19"/>
              </w:rPr>
              <w:t xml:space="preserve">EMPIRICAL</w:t>
            </w:r>
          </w:p>
        </w:tc>
        <w:tc>
          <w:tcPr>
            <w:tcW w:type="dxa" w:w="8129"/>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Observé chez </w:t>
            </w:r>
            <w:r>
              <w:rPr>
                <w:b/>
                <w:bCs/>
                <w:sz w:val="19"/>
                <w:szCs w:val="19"/>
              </w:rPr>
              <w:t xml:space="preserve">≥ 2 participants distincts</w:t>
            </w:r>
            <w:r>
              <w:rPr>
                <w:sz w:val="19"/>
                <w:szCs w:val="19"/>
              </w:rPr>
              <w:t xml:space="preserve">, avec verbatim tracé pour chacun</w:t>
            </w:r>
          </w:p>
        </w:tc>
      </w:tr>
      <w:tr>
        <w:tc>
          <w:tcPr>
            <w:tcW w:type="dxa" w:w="1509"/>
            <w:tcBorders>
              <w:top w:val="none" w:color="FFFFFF" w:sz="0"/>
              <w:left w:val="none" w:color="FFFFFF" w:sz="0"/>
              <w:bottom w:val="single" w:color="DDD9E5" w:sz="4"/>
              <w:right w:val="none" w:color="FFFFFF" w:sz="0"/>
            </w:tcBorders>
            <w:tcMar>
              <w:top w:type="dxa" w:w="70"/>
              <w:left w:type="dxa" w:w="110"/>
              <w:bottom w:type="dxa" w:w="70"/>
              <w:right w:type="dxa" w:w="110"/>
            </w:tcMar>
          </w:tcPr>
          <w:p>
            <w:r>
              <w:rPr>
                <w:rFonts w:ascii="Consolas" w:cs="Consolas" w:eastAsia="Consolas" w:hAnsi="Consolas"/>
                <w:sz w:val="19"/>
                <w:szCs w:val="19"/>
              </w:rPr>
              <w:t xml:space="preserve">SYNTHETIC</w:t>
            </w:r>
          </w:p>
        </w:tc>
        <w:tc>
          <w:tcPr>
            <w:tcW w:type="dxa" w:w="8129"/>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Issu d'une revue persona par un agent — </w:t>
            </w:r>
            <w:r>
              <w:rPr>
                <w:b/>
                <w:bCs/>
                <w:sz w:val="19"/>
                <w:szCs w:val="19"/>
              </w:rPr>
              <w:t xml:space="preserve">aucun ici</w:t>
            </w:r>
            <w:r>
              <w:rPr>
                <w:sz w:val="19"/>
                <w:szCs w:val="19"/>
              </w:rPr>
              <w:t xml:space="preserve">, et ne le deviendra pas par reformulation</w:t>
            </w:r>
          </w:p>
        </w:tc>
      </w:tr>
      <w:tr>
        <w:tc>
          <w:tcPr>
            <w:tcW w:type="dxa" w:w="1509"/>
            <w:tcBorders>
              <w:top w:val="none" w:color="FFFFFF" w:sz="0"/>
              <w:left w:val="none" w:color="FFFFFF" w:sz="0"/>
              <w:bottom w:val="single" w:color="DDD9E5" w:sz="4"/>
              <w:right w:val="none" w:color="FFFFFF" w:sz="0"/>
            </w:tcBorders>
            <w:tcMar>
              <w:top w:type="dxa" w:w="70"/>
              <w:left w:type="dxa" w:w="110"/>
              <w:bottom w:type="dxa" w:w="70"/>
              <w:right w:type="dxa" w:w="110"/>
            </w:tcMar>
          </w:tcPr>
          <w:p>
            <w:r>
              <w:rPr>
                <w:rFonts w:ascii="Consolas" w:cs="Consolas" w:eastAsia="Consolas" w:hAnsi="Consolas"/>
                <w:sz w:val="19"/>
                <w:szCs w:val="19"/>
              </w:rPr>
              <w:t xml:space="preserve">UNVALIDATED</w:t>
            </w:r>
          </w:p>
        </w:tc>
        <w:tc>
          <w:tcPr>
            <w:tcW w:type="dxa" w:w="8129"/>
            <w:tcBorders>
              <w:top w:val="none" w:color="FFFFFF" w:sz="0"/>
              <w:left w:val="none" w:color="FFFFFF" w:sz="0"/>
              <w:bottom w:val="single" w:color="DDD9E5" w:sz="4"/>
              <w:right w:val="none" w:color="FFFFFF" w:sz="0"/>
            </w:tcBorders>
            <w:tcMar>
              <w:top w:type="dxa" w:w="70"/>
              <w:left w:type="dxa" w:w="110"/>
              <w:bottom w:type="dxa" w:w="70"/>
              <w:right w:type="dxa" w:w="110"/>
            </w:tcMar>
          </w:tcPr>
          <w:p>
            <w:r>
              <w:rPr>
                <w:sz w:val="19"/>
                <w:szCs w:val="19"/>
              </w:rPr>
              <w:t xml:space="preserve">Tout le reste, y compris un phénomène observé chez </w:t>
            </w:r>
            <w:r>
              <w:rPr>
                <w:b/>
                <w:bCs/>
                <w:sz w:val="19"/>
                <w:szCs w:val="19"/>
              </w:rPr>
              <w:t xml:space="preserve">un seul</w:t>
            </w:r>
            <w:r>
              <w:rPr>
                <w:sz w:val="19"/>
                <w:szCs w:val="19"/>
              </w:rPr>
              <w:t xml:space="preserve"> participant</w:t>
            </w:r>
          </w:p>
        </w:tc>
      </w:tr>
    </w:tbl>
    <w:p>
      <w:pPr>
        <w:spacing w:after="120"/>
      </w:pPr>
    </w:p>
    <w:p>
      <w:pPr>
        <w:spacing w:after="120"/>
      </w:pPr>
      <w:r>
        <w:rPr>
          <w:b/>
          <w:bCs/>
        </w:rPr>
        <w:t xml:space="preserve">Un trait de persona exige ≥ 2 observations</w:t>
      </w:r>
      <w:r>
        <w:t xml:space="preserve">, conformément au critère de vérification de l'activité. Un trait à une seule observation n'est pas un trait : c'est une personne.</w:t>
      </w:r>
    </w:p>
    <w:p>
      <w:pPr>
        <w:pStyle w:val="Heading3"/>
        <w:keepNext/>
      </w:pPr>
      <w:r>
        <w:t xml:space="preserve">Critère d'arrêt</w:t>
      </w:r>
    </w:p>
    <w:p>
      <w:pPr>
        <w:spacing w:after="120"/>
      </w:pPr>
      <w:r>
        <w:t xml:space="preserve">Arrêt à </w:t>
      </w:r>
      <w:r>
        <w:rPr>
          <w:b/>
          <w:bCs/>
        </w:rPr>
        <w:t xml:space="preserve">12 participants</w:t>
      </w:r>
      <w:r>
        <w:t xml:space="preserve">, ou plus tôt si </w:t>
      </w:r>
      <w:r>
        <w:rPr>
          <w:b/>
          <w:bCs/>
        </w:rPr>
        <w:t xml:space="preserve">trois entretiens consécutifs n'apportent aucun irritant nouveau</w:t>
      </w:r>
      <w:r>
        <w:t xml:space="preserve">. Le critère est fixé maintenant, précisément pour ne pas être fixé au moment où les résultats commenceront à plaire ou à déplaire.</w:t>
      </w:r>
    </w:p>
    <w:p>
      <w:pPr>
        <w:pStyle w:val="Heading3"/>
        <w:keepNext/>
      </w:pPr>
      <w:r>
        <w:t xml:space="preserve">Ce qui se passe après — et qui n'est pas encore fait</w:t>
      </w:r>
    </w:p>
    <w:p>
      <w:pPr>
        <w:spacing w:after="120"/>
      </w:pPr>
      <w:r>
        <w:t xml:space="preserve">Les cinq sections suivantes de ce livrable restent vides tant qu'aucun entretien n'a eu lieu. Le plan n'est pas la recherche.</w:t>
      </w:r>
    </w:p>
    <w:p>
      <w:pPr>
        <w:spacing w:after="120"/>
      </w:pPr>
      <w:r>
        <w:t xml:space="preserve">&lt;!-- Complétude : Aucun insight sans observation source. Niveau d'evidence étiqueté sur chaque résultat. Personas challengés par critic(product). --&gt;</w:t>
      </w:r>
    </w:p>
    <w:p>
      <w:pPr>
        <w:pStyle w:val="Heading2"/>
        <w:keepNext/>
      </w:pPr>
      <w:r>
        <w:t xml:space="preserve">Verbatims tracés</w:t>
      </w:r>
    </w:p>
    <w:p>
      <w:pPr>
        <w:spacing w:after="120"/>
      </w:pPr>
      <w:r>
        <w:rPr>
          <w:b/>
          <w:bCs/>
        </w:rPr>
        <w:t xml:space="preserve">BLOCKED — aucun participant.</w:t>
      </w:r>
      <w:r>
        <w:t xml:space="preserve"> Un verbatim est ce qu'une personne a dit, littéralement. Il ne s'infère pas. </w:t>
      </w:r>
      <w:r>
        <w:rPr>
          <w:rFonts w:ascii="Consolas" w:cs="Consolas" w:eastAsia="Consolas" w:hAnsi="Consolas"/>
        </w:rPr>
        <w:t xml:space="preserve">product/research/interviews/</w:t>
      </w:r>
      <w:r>
        <w:t xml:space="preserve"> restera vide jusqu'au premier entretien consenti.</w:t>
      </w:r>
    </w:p>
    <w:p>
      <w:pPr>
        <w:spacing w:after="120"/>
      </w:pPr>
      <w:r>
        <w:t xml:space="preserve">Forme prévue, un fichier par participant : </w:t>
      </w:r>
      <w:r>
        <w:rPr>
          <w:rFonts w:ascii="Consolas" w:cs="Consolas" w:eastAsia="Consolas" w:hAnsi="Consolas"/>
        </w:rPr>
        <w:t xml:space="preserve">P-01.md</w:t>
      </w:r>
      <w:r>
        <w:t xml:space="preserve"> … identifiant, date, club de provenance, durée, langue, consentement à l'enregistrement, </w:t>
      </w:r>
      <w:r>
        <w:rPr>
          <w:b/>
          <w:bCs/>
        </w:rPr>
        <w:t xml:space="preserve">et la retranscription non filtrée</w:t>
      </w:r>
      <w:r>
        <w:t xml:space="preserve"> — les digressions et les réponses inutiles comprises. Filtrer à la prise de notes, c'est analyser avant d'observer.</w:t>
      </w:r>
    </w:p>
    <w:p>
      <w:pPr>
        <w:pStyle w:val="Heading2"/>
        <w:keepNext/>
      </w:pPr>
      <w:r>
        <w:t xml:space="preserve">Insights</w:t>
      </w:r>
    </w:p>
    <w:p>
      <w:pPr>
        <w:spacing w:after="120"/>
      </w:pPr>
      <w:r>
        <w:rPr>
          <w:b/>
          <w:bCs/>
        </w:rPr>
        <w:t xml:space="preserve">BLOCKED — aucune observation source.</w:t>
      </w:r>
      <w:r>
        <w:t xml:space="preserve"> Le critère de complétude est sans appel : « aucun insight sans observation source ».</w:t>
      </w:r>
    </w:p>
    <w:p>
      <w:pPr>
        <w:spacing w:after="120"/>
      </w:pPr>
      <w:r>
        <w:rPr>
          <w:b/>
          <w:bCs/>
        </w:rPr>
        <w:t xml:space="preserve">Et `EX2.run_mode_solo` ne s'applique pas ici.</w:t>
      </w:r>
      <w:r>
        <w:t xml:space="preserve"> En SOLO, une information absente devient une hypothèse nommée — mais on ne convertit pas une observation manquante en observation hypothétique. WP-05 porte déjà les hypothèses ; leur point de test est cette recherche. Écrire ici des insights « probables » reviendrait à faire tester les hypothèses par celui qui les a écrites.</w:t>
      </w:r>
    </w:p>
    <w:p>
      <w:pPr>
        <w:pStyle w:val="Heading2"/>
        <w:keepNext/>
      </w:pPr>
      <w:r>
        <w:t xml:space="preserve">PER-nn personas</w:t>
      </w:r>
    </w:p>
    <w:p>
      <w:pPr>
        <w:spacing w:after="120"/>
      </w:pPr>
      <w:r>
        <w:rPr>
          <w:b/>
          <w:bCs/>
        </w:rPr>
        <w:t xml:space="preserve">BLOCKED — chaque trait exige ≥ 2 observations, et il y en a zéro.</w:t>
      </w:r>
    </w:p>
    <w:p>
      <w:pPr>
        <w:spacing w:after="120"/>
      </w:pPr>
      <w:r>
        <w:rPr>
          <w:b/>
          <w:bCs/>
        </w:rPr>
        <w:t xml:space="preserve">C'est le point où la méthode se fait tricher le plus facilement.</w:t>
      </w:r>
      <w:r>
        <w:t xml:space="preserve"> Un persona inventé est crédible, utile en réunion, et il passe tous les contrôles de forme — il porte un nom, un âge, une citation. Ce qui en descend ne se distingue plus jamais de ce qui aurait été observé. Le squelette de parcours (WP-09, activité 5), la navigation et l'architecture de l'information (WP-11, </w:t>
      </w:r>
      <w:r>
        <w:rPr>
          <w:b/>
          <w:bCs/>
        </w:rPr>
        <w:t xml:space="preserve">CORE INVARIANT figé en G0</w:t>
      </w:r>
      <w:r>
        <w:t xml:space="preserve">) se construisent sur ces personas. Une invention ici se paie par une réouverture de G0, pas par une correction.</w:t>
      </w:r>
    </w:p>
    <w:p>
      <w:pPr>
        <w:pStyle w:val="Heading2"/>
        <w:keepNext/>
      </w:pPr>
      <w:r>
        <w:t xml:space="preserve">Empathy maps</w:t>
      </w:r>
    </w:p>
    <w:p>
      <w:pPr>
        <w:spacing w:after="120"/>
      </w:pPr>
      <w:r>
        <w:rPr>
          <w:b/>
          <w:bCs/>
        </w:rPr>
        <w:t xml:space="preserve">BLOCKED.</w:t>
      </w:r>
      <w:r>
        <w:t xml:space="preserve"> Règle du registre : « aucune projection non observée ; unknowns marqués ». Une empathy map sans observation </w:t>
      </w:r>
      <w:r>
        <w:rPr>
          <w:b/>
          <w:bCs/>
        </w:rPr>
        <w:t xml:space="preserve">n'est que</w:t>
      </w:r>
      <w:r>
        <w:t xml:space="preserve"> projection.</w:t>
      </w:r>
    </w:p>
    <w:p>
      <w:pPr>
        <w:pStyle w:val="Heading2"/>
        <w:keepNext/>
      </w:pPr>
      <w:r>
        <w:t xml:space="preserve">Journeys as-is et irritants</w:t>
      </w:r>
    </w:p>
    <w:p>
      <w:pPr>
        <w:spacing w:after="120"/>
      </w:pPr>
      <w:r>
        <w:rPr>
          <w:b/>
          <w:bCs/>
        </w:rPr>
        <w:t xml:space="preserve">BLOCKED.</w:t>
      </w:r>
      <w:r>
        <w:t xml:space="preserve"> Chaque irritant doit être daté, sourcé et rattaché à un persona. Aucun des trois n'est disponible.</w:t>
      </w:r>
    </w:p>
    <w:p>
      <w:pPr>
        <w:spacing w:after="120"/>
      </w:pPr>
      <w:r>
        <w:rPr>
          <w:b/>
          <w:bCs/>
        </w:rPr>
        <w:t xml:space="preserve">Ce qui rend cette section décisive.</w:t>
      </w:r>
      <w:r>
        <w:t xml:space="preserve"> Le journey as-is est l'entrée directe du squelette de parcours cible (activité 5), lequel est </w:t>
      </w:r>
      <w:r>
        <w:rPr>
          <w:b/>
          <w:bCs/>
        </w:rPr>
        <w:t xml:space="preserve">figé en G0</w:t>
      </w:r>
      <w:r>
        <w:t xml:space="preserve">. Le bloc 1 du protocole — la reconstitution du dernier achat — est écrit précisément pour le produire : c'est pourquoi il demande un récit chronologique et non une liste d'opinions.</w:t>
      </w:r>
    </w:p>
    <w:p>
      <w:pPr>
        <w:spacing w:after="120"/>
      </w:pPr>
      <w:r>
        <w:t xml:space="preserve">&lt;!-- Complétude : Aucun insight sans observation source. Niveau d'evidence étiqueté sur chaque résultat. Personas challengés par critic(product). --&gt;</w:t>
      </w:r>
    </w:p>
    <w:p>
      <w:pPr>
        <w:pStyle w:val="Heading2"/>
        <w:keepNext/>
      </w:pPr>
      <w:r>
        <w:t xml:space="preserve">Ce qui reste à vérifier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EFE7FF" w:color="auto" w:val="clear"/>
            <w:tcMar>
              <w:top w:type="dxa" w:w="70"/>
              <w:left w:type="dxa" w:w="110"/>
              <w:bottom w:type="dxa" w:w="70"/>
              <w:right w:type="dxa" w:w="110"/>
            </w:tcMar>
          </w:tcPr>
          <w:p>
            <w:pPr>
              <w:spacing w:after="60"/>
            </w:pPr>
            <w:r>
              <w:rPr>
                <w:rFonts w:ascii="Arial" w:cs="Arial" w:eastAsia="Arial" w:hAnsi="Arial"/>
                <w:b/>
                <w:bCs/>
                <w:color w:val="6D3FD1"/>
                <w:spacing w:val="20"/>
                <w:sz w:val="15"/>
                <w:szCs w:val="15"/>
              </w:rPr>
              <w:t xml:space="preserve">RÉSERVES DÉCLARÉES</w:t>
            </w:r>
          </w:p>
          <w:p>
            <w:pPr>
              <w:pStyle w:val="ListParagraph"/>
              <w:numPr>
                <w:ilvl w:val="0"/>
                <w:numId w:val="2"/>
              </w:numPr>
              <w:spacing w:after="60"/>
            </w:pPr>
            <w:r>
              <w:rPr>
                <w:sz w:val="19"/>
                <w:szCs w:val="19"/>
              </w:rPr>
              <w:t xml:space="preserve">Seul le PLAN DE RECHERCHE est produit. Les cinq autres sections — verbatims, insights, personas, empathy maps, journeys as-is — sont BLOCKED : elles exigent des participants, et aucun n'est recruté ni consentant.</w:t>
            </w:r>
          </w:p>
          <w:p>
            <w:pPr>
              <w:pStyle w:val="ListParagraph"/>
              <w:numPr>
                <w:ilvl w:val="0"/>
                <w:numId w:val="2"/>
              </w:numPr>
              <w:spacing w:after="60"/>
            </w:pPr>
            <w:r>
              <w:rPr>
                <w:sz w:val="19"/>
                <w:szCs w:val="19"/>
              </w:rPr>
              <w:t xml:space="preserve">Le critère d'entrée de l'activité 4 exige « consentement des participants obtenu ». Il n'est pas satisfait au 2026-09-21.</w:t>
            </w:r>
          </w:p>
          <w:p>
            <w:pPr>
              <w:pStyle w:val="ListParagraph"/>
              <w:numPr>
                <w:ilvl w:val="0"/>
                <w:numId w:val="2"/>
              </w:numPr>
              <w:spacing w:after="60"/>
            </w:pPr>
            <w:r>
              <w:rPr>
                <w:sz w:val="19"/>
                <w:szCs w:val="19"/>
              </w:rPr>
              <w:t xml:space="preserve">EX2 run_mode_solo NE S'APPLIQUE PAS ici : une observation absente ne devient pas une hypothèse nommée, elle reste absente. Un persona inventé passerait tous les contrôles de forme et ruinerait tout ce qui en descend.</w:t>
            </w:r>
          </w:p>
          <w:p>
            <w:pPr>
              <w:pStyle w:val="ListParagraph"/>
              <w:numPr>
                <w:ilvl w:val="0"/>
                <w:numId w:val="2"/>
              </w:numPr>
              <w:spacing w:after="60"/>
            </w:pPr>
            <w:r>
              <w:rPr>
                <w:sz w:val="19"/>
                <w:szCs w:val="19"/>
              </w:rPr>
              <w:t xml:space="preserve">Le plan est FIGÉ PAR CE COMMIT. Toute modification après le premier entretien invalide la comparabilité entre participants et doit être déclarée comme un second protocole, jamais comme une correction.</w:t>
            </w:r>
          </w:p>
        </w:tc>
      </w:tr>
    </w:tbl>
    <w:p>
      <w:pPr>
        <w:spacing w:after="120"/>
      </w:pPr>
    </w:p>
    <w:p>
      <w:r>
        <w:br w:type="page"/>
      </w:r>
    </w:p>
    <w:p>
      <w:pPr>
        <w:spacing w:after="160"/>
      </w:pPr>
      <w:r>
        <w:rPr>
          <w:rFonts w:ascii="Arial" w:cs="Arial" w:eastAsia="Arial" w:hAnsi="Arial"/>
          <w:b/>
          <w:bCs/>
          <w:color w:val="6C6873"/>
          <w:spacing w:val="20"/>
          <w:sz w:val="15"/>
          <w:szCs w:val="15"/>
        </w:rPr>
        <w:t xml:space="preserve">FICHIER  ·  product/C1.3-parcours/research/insights.md</w:t>
      </w:r>
    </w:p>
    <w:p>
      <w:pPr>
        <w:pStyle w:val="Heading1"/>
      </w:pPr>
      <w:r>
        <w:t xml:space="preserve">WP-08 — Recherche et synthèse utilisateur · insights.md</w:t>
      </w:r>
    </w:p>
    <w:p>
      <w:pPr>
        <w:pStyle w:val="Heading2"/>
        <w:keepNext/>
      </w:pPr>
      <w:r>
        <w:t xml:space="preserve">Insights</w:t>
      </w:r>
    </w:p>
    <w:p>
      <w:pPr>
        <w:spacing w:after="120"/>
      </w:pPr>
      <w:r>
        <w:rPr>
          <w:b/>
          <w:bCs/>
        </w:rPr>
        <w:t xml:space="preserve">Aucun.</w:t>
      </w:r>
      <w:r>
        <w:t xml:space="preserve"> </w:t>
      </w:r>
      <w:r>
        <w:rPr>
          <w:rFonts w:ascii="Consolas" w:cs="Consolas" w:eastAsia="Consolas" w:hAnsi="Consolas"/>
        </w:rPr>
        <w:t xml:space="preserve">BLOCKED</w:t>
      </w:r>
      <w:r>
        <w:t xml:space="preserve"> — aucune observation source n'existe au 2026-09-21.</w:t>
      </w:r>
    </w:p>
    <w:p>
      <w:pPr>
        <w:spacing w:after="120"/>
      </w:pPr>
      <w:r>
        <w:t xml:space="preserve">Le critère de complétude de WP-08 est sans appel : « aucun insight sans observation source ». Ce fichier existe pour porter le vide de manière déclarée, non pour le masquer.</w:t>
      </w:r>
    </w:p>
    <w:p>
      <w:pPr>
        <w:spacing w:after="120"/>
      </w:pPr>
      <w:r>
        <w:rPr>
          <w:b/>
          <w:bCs/>
        </w:rPr>
        <w:t xml:space="preserve">Pourquoi il ne contient pas d'insights « provisoires ».</w:t>
      </w:r>
      <w:r>
        <w:t xml:space="preserve"> </w:t>
      </w:r>
      <w:r>
        <w:rPr>
          <w:rFonts w:ascii="Consolas" w:cs="Consolas" w:eastAsia="Consolas" w:hAnsi="Consolas"/>
        </w:rPr>
        <w:t xml:space="preserve">EX2.run_mode_solo</w:t>
      </w:r>
      <w:r>
        <w:t xml:space="preserve"> convertit un</w:t>
      </w:r>
    </w:p>
    <w:p>
      <w:pPr>
        <w:spacing w:after="120"/>
      </w:pPr>
      <w:r>
        <w:rPr>
          <w:i/>
          <w:iCs/>
        </w:rPr>
        <w:t xml:space="preserve">input</w:t>
      </w:r>
      <w:r>
        <w:t xml:space="preserve"> absent en hypothèse nommée. Une </w:t>
      </w:r>
      <w:r>
        <w:rPr>
          <w:i/>
          <w:iCs/>
        </w:rPr>
        <w:t xml:space="preserve">observation</w:t>
      </w:r>
      <w:r>
        <w:t xml:space="preserve"> absente ne se convertit pas : WP-05 porte déjà les hypothèses — HYP-02, HYP-03, HYP-04, HYP-09 — et leur point de test </w:t>
      </w:r>
      <w:r>
        <w:rPr>
          <w:b/>
          <w:bCs/>
        </w:rPr>
        <w:t xml:space="preserve">est</w:t>
      </w:r>
      <w:r>
        <w:t xml:space="preserve"> cette recherche. Écrire ici des insights probables ferait tester les hypothèses par celui qui les a écrites, ce que K5 (</w:t>
      </w:r>
      <w:r>
        <w:rPr>
          <w:rFonts w:ascii="Consolas" w:cs="Consolas" w:eastAsia="Consolas" w:hAnsi="Consolas"/>
        </w:rPr>
        <w:t xml:space="preserve">Builder ≠ Judge</w:t>
      </w:r>
      <w:r>
        <w:t xml:space="preserve">) interdit au niveau des rôles et que rien n'empêche au niveau d'un fichier, sinon cette ligne.</w:t>
      </w:r>
    </w:p>
    <w:p>
      <w:pPr>
        <w:spacing w:after="120"/>
      </w:pPr>
      <w:r>
        <w:rPr>
          <w:b/>
          <w:bCs/>
        </w:rPr>
        <w:t xml:space="preserve">Ce que ce fichier contiendra.</w:t>
      </w:r>
      <w:r>
        <w:t xml:space="preserve"> Un insight par entrée, chacun portant : l'énoncé, les identifiants des participants qui le fondent — </w:t>
      </w:r>
      <w:r>
        <w:rPr>
          <w:b/>
          <w:bCs/>
        </w:rPr>
        <w:t xml:space="preserve">deux au minimum</w:t>
      </w:r>
      <w:r>
        <w:t xml:space="preserve"> —, le verbatim de chacun, la date de l'entretien, l'hypothèse de WP-05 qu'il confirme ou réfute, et son niveau d'evidence selon le barème arrêté dans </w:t>
      </w:r>
      <w:r>
        <w:rPr>
          <w:rFonts w:ascii="Consolas" w:cs="Consolas" w:eastAsia="Consolas" w:hAnsi="Consolas"/>
        </w:rPr>
        <w:t xml:space="preserve">research-plan.md</w:t>
      </w:r>
      <w:r>
        <w:t xml:space="preserve">.</w:t>
      </w:r>
    </w:p>
    <w:p>
      <w:pPr>
        <w:spacing w:after="120"/>
      </w:pPr>
      <w:r>
        <w:t xml:space="preserve">&lt;!-- Complétude : Aucun insight sans observation source. Niveau d'evidence étiqueté sur chaque résultat. Personas challengés par critic(product). --&gt;</w:t>
      </w:r>
    </w:p>
    <w:p>
      <w:pPr>
        <w:pStyle w:val="Heading2"/>
        <w:keepNext/>
      </w:pPr>
      <w:r>
        <w:t xml:space="preserve">Ce qui reste à vérifier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EFE7FF" w:color="auto" w:val="clear"/>
            <w:tcMar>
              <w:top w:type="dxa" w:w="70"/>
              <w:left w:type="dxa" w:w="110"/>
              <w:bottom w:type="dxa" w:w="70"/>
              <w:right w:type="dxa" w:w="110"/>
            </w:tcMar>
          </w:tcPr>
          <w:p>
            <w:pPr>
              <w:spacing w:after="60"/>
            </w:pPr>
            <w:r>
              <w:rPr>
                <w:rFonts w:ascii="Arial" w:cs="Arial" w:eastAsia="Arial" w:hAnsi="Arial"/>
                <w:b/>
                <w:bCs/>
                <w:color w:val="6D3FD1"/>
                <w:spacing w:val="20"/>
                <w:sz w:val="15"/>
                <w:szCs w:val="15"/>
              </w:rPr>
              <w:t xml:space="preserve">RÉSERVES DÉCLARÉES</w:t>
            </w:r>
          </w:p>
          <w:p>
            <w:pPr>
              <w:pStyle w:val="ListParagraph"/>
              <w:numPr>
                <w:ilvl w:val="0"/>
                <w:numId w:val="2"/>
              </w:numPr>
              <w:spacing w:after="60"/>
            </w:pPr>
            <w:r>
              <w:rPr>
                <w:sz w:val="19"/>
                <w:szCs w:val="19"/>
              </w:rPr>
              <w:t xml:space="preserve">Seul le PLAN DE RECHERCHE est produit. Les cinq autres sections — verbatims, insights, personas, empathy maps, journeys as-is — sont BLOCKED : elles exigent des participants, et aucun n'est recruté ni consentant.</w:t>
            </w:r>
          </w:p>
          <w:p>
            <w:pPr>
              <w:pStyle w:val="ListParagraph"/>
              <w:numPr>
                <w:ilvl w:val="0"/>
                <w:numId w:val="2"/>
              </w:numPr>
              <w:spacing w:after="60"/>
            </w:pPr>
            <w:r>
              <w:rPr>
                <w:sz w:val="19"/>
                <w:szCs w:val="19"/>
              </w:rPr>
              <w:t xml:space="preserve">Le critère d'entrée de l'activité 4 exige « consentement des participants obtenu ». Il n'est pas satisfait au 2026-09-21.</w:t>
            </w:r>
          </w:p>
          <w:p>
            <w:pPr>
              <w:pStyle w:val="ListParagraph"/>
              <w:numPr>
                <w:ilvl w:val="0"/>
                <w:numId w:val="2"/>
              </w:numPr>
              <w:spacing w:after="60"/>
            </w:pPr>
            <w:r>
              <w:rPr>
                <w:sz w:val="19"/>
                <w:szCs w:val="19"/>
              </w:rPr>
              <w:t xml:space="preserve">EX2 run_mode_solo NE S'APPLIQUE PAS ici : une observation absente ne devient pas une hypothèse nommée, elle reste absente. Un persona inventé passerait tous les contrôles de forme et ruinerait tout ce qui en descend.</w:t>
            </w:r>
          </w:p>
          <w:p>
            <w:pPr>
              <w:pStyle w:val="ListParagraph"/>
              <w:numPr>
                <w:ilvl w:val="0"/>
                <w:numId w:val="2"/>
              </w:numPr>
              <w:spacing w:after="60"/>
            </w:pPr>
            <w:r>
              <w:rPr>
                <w:sz w:val="19"/>
                <w:szCs w:val="19"/>
              </w:rPr>
              <w:t xml:space="preserve">Le plan est FIGÉ PAR CE COMMIT. Toute modification après le premier entretien invalide la comparabilité entre participants et doit être déclarée comme un second protocole, jamais comme une correction.</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C6873"/>
        <w:sz w:val="15"/>
        <w:szCs w:val="15"/>
      </w:rPr>
      <w:t xml:space="preserve">Projection du dépôt · page </w:t>
    </w:r>
    <w:r>
      <w:rPr>
        <w:color w:val="6C68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C6873"/>
        <w:sz w:val="15"/>
        <w:szCs w:val="15"/>
      </w:rPr>
      <w:t xml:space="preserve">C1.3 · Recherche et synthèse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0F57"/>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Arial" w:cs="Arial" w:eastAsia="Arial" w:hAnsi="Arial"/>
      <w:b/>
      <w:bCs/>
      <w:color w:val="2A0F57"/>
      <w:sz w:val="44"/>
      <w:szCs w:val="44"/>
    </w:rPr>
  </w:style>
  <w:style w:type="paragraph" w:styleId="Heading1">
    <w:name w:val="Heading 1"/>
    <w:basedOn w:val="Normal"/>
    <w:next w:val="Normal"/>
    <w:qFormat/>
    <w:pPr>
      <w:spacing w:after="200" w:before="120"/>
      <w:outlineLvl w:val="0"/>
    </w:pPr>
    <w:rPr>
      <w:rFonts w:ascii="Arial" w:cs="Arial" w:eastAsia="Arial" w:hAnsi="Arial"/>
      <w:b/>
      <w:bCs/>
      <w:color w:val="2A0F57"/>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A0F57"/>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6D3FD1"/>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Ouazzani design — Recherche et synthèse utilisateur</dc:title>
  <dc:creator>Autonomous Product Factory</dc:creator>
  <cp:lastModifiedBy>Un-named</cp:lastModifiedBy>
  <cp:revision>1</cp:revision>
  <dcterms:created xsi:type="dcterms:W3CDTF">2026-10-09T06:18:56.456Z</dcterms:created>
  <dcterms:modified xsi:type="dcterms:W3CDTF">2026-10-09T06:18:56.456Z</dcterms:modified>
</cp:coreProperties>
</file>

<file path=docProps/custom.xml><?xml version="1.0" encoding="utf-8"?>
<Properties xmlns="http://schemas.openxmlformats.org/officeDocument/2006/custom-properties" xmlns:vt="http://schemas.openxmlformats.org/officeDocument/2006/docPropsVTypes"/>
</file>