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2FF74" w14:textId="77777777" w:rsidR="005F534A" w:rsidRDefault="005F534A" w:rsidP="007010BC">
      <w:pPr>
        <w:keepNext/>
        <w:jc w:val="center"/>
        <w:rPr>
          <w:rFonts w:ascii="Times New Roman" w:hAnsi="Times New Roman"/>
          <w:b/>
          <w:sz w:val="28"/>
          <w:szCs w:val="28"/>
        </w:rPr>
      </w:pPr>
    </w:p>
    <w:p w14:paraId="3ACEA0B3" w14:textId="77777777" w:rsidR="005F534A" w:rsidRDefault="005F534A" w:rsidP="007010BC">
      <w:pPr>
        <w:keepNext/>
        <w:jc w:val="center"/>
        <w:rPr>
          <w:rFonts w:ascii="Times New Roman" w:hAnsi="Times New Roman"/>
          <w:b/>
          <w:sz w:val="28"/>
          <w:szCs w:val="28"/>
        </w:rPr>
      </w:pPr>
    </w:p>
    <w:p w14:paraId="18F8BC5C" w14:textId="77777777" w:rsidR="005F534A" w:rsidRDefault="005F534A" w:rsidP="007010BC">
      <w:pPr>
        <w:keepNext/>
        <w:jc w:val="center"/>
        <w:rPr>
          <w:rFonts w:ascii="Times New Roman" w:hAnsi="Times New Roman"/>
          <w:b/>
          <w:sz w:val="28"/>
          <w:szCs w:val="28"/>
        </w:rPr>
      </w:pPr>
    </w:p>
    <w:p w14:paraId="6F78AA25" w14:textId="09D70573" w:rsidR="007010BC" w:rsidRDefault="00FD02AF" w:rsidP="007010BC">
      <w:pPr>
        <w:keepNext/>
        <w:jc w:val="center"/>
        <w:rPr>
          <w:rFonts w:ascii="Times New Roman" w:hAnsi="Times New Roman"/>
          <w:b/>
          <w:sz w:val="28"/>
          <w:szCs w:val="28"/>
        </w:rPr>
      </w:pPr>
      <w:r w:rsidRPr="00395ED5">
        <w:rPr>
          <w:rFonts w:ascii="Times New Roman" w:hAnsi="Times New Roman"/>
          <w:b/>
          <w:sz w:val="28"/>
          <w:szCs w:val="28"/>
        </w:rPr>
        <w:t>Participatory Responsive Governance</w:t>
      </w:r>
      <w:r w:rsidR="00395ED5" w:rsidRPr="00395ED5">
        <w:rPr>
          <w:rFonts w:ascii="Times New Roman" w:hAnsi="Times New Roman"/>
          <w:b/>
          <w:sz w:val="28"/>
          <w:szCs w:val="28"/>
        </w:rPr>
        <w:t xml:space="preserve"> </w:t>
      </w:r>
      <w:r w:rsidR="00395ED5">
        <w:rPr>
          <w:rFonts w:ascii="Times New Roman" w:hAnsi="Times New Roman"/>
          <w:b/>
          <w:sz w:val="28"/>
          <w:szCs w:val="28"/>
        </w:rPr>
        <w:t>– Pr</w:t>
      </w:r>
      <w:r w:rsidRPr="00395ED5">
        <w:rPr>
          <w:rFonts w:ascii="Times New Roman" w:hAnsi="Times New Roman"/>
          <w:b/>
          <w:sz w:val="28"/>
          <w:szCs w:val="28"/>
        </w:rPr>
        <w:t>incipal Activity</w:t>
      </w:r>
    </w:p>
    <w:p w14:paraId="402E9662" w14:textId="771F7D85" w:rsidR="005F534A" w:rsidRDefault="005F534A" w:rsidP="007010BC">
      <w:pPr>
        <w:keepNext/>
        <w:jc w:val="center"/>
        <w:rPr>
          <w:rFonts w:ascii="Times New Roman" w:hAnsi="Times New Roman"/>
          <w:b/>
          <w:sz w:val="28"/>
          <w:szCs w:val="28"/>
        </w:rPr>
      </w:pPr>
      <w:r>
        <w:rPr>
          <w:rFonts w:ascii="Times New Roman" w:hAnsi="Times New Roman"/>
          <w:b/>
          <w:sz w:val="28"/>
          <w:szCs w:val="28"/>
        </w:rPr>
        <w:t>(PRG-PA)/Niger</w:t>
      </w:r>
    </w:p>
    <w:p w14:paraId="0E1F5400" w14:textId="195ED603" w:rsidR="005F534A" w:rsidRDefault="005F534A" w:rsidP="007010BC">
      <w:pPr>
        <w:keepNext/>
        <w:jc w:val="center"/>
        <w:rPr>
          <w:rFonts w:ascii="Times New Roman" w:hAnsi="Times New Roman"/>
          <w:b/>
          <w:sz w:val="28"/>
          <w:szCs w:val="28"/>
        </w:rPr>
      </w:pPr>
    </w:p>
    <w:p w14:paraId="6644FA98" w14:textId="77777777" w:rsidR="005F534A" w:rsidRDefault="005F534A" w:rsidP="007010BC">
      <w:pPr>
        <w:keepNext/>
        <w:jc w:val="center"/>
        <w:rPr>
          <w:rFonts w:ascii="Times New Roman" w:hAnsi="Times New Roman"/>
          <w:b/>
          <w:sz w:val="28"/>
          <w:szCs w:val="28"/>
        </w:rPr>
      </w:pPr>
    </w:p>
    <w:p w14:paraId="365B0470" w14:textId="77777777" w:rsidR="005F534A" w:rsidRPr="00395ED5" w:rsidRDefault="005F534A" w:rsidP="007010BC">
      <w:pPr>
        <w:keepNext/>
        <w:jc w:val="center"/>
        <w:rPr>
          <w:rFonts w:ascii="Times New Roman" w:hAnsi="Times New Roman"/>
          <w:b/>
          <w:sz w:val="28"/>
          <w:szCs w:val="28"/>
        </w:rPr>
      </w:pPr>
    </w:p>
    <w:p w14:paraId="03242D81" w14:textId="7F6B44D9" w:rsidR="007010BC" w:rsidRPr="003B7F57" w:rsidRDefault="007010BC" w:rsidP="007010BC">
      <w:pPr>
        <w:keepNext/>
        <w:jc w:val="center"/>
        <w:rPr>
          <w:rFonts w:ascii="Times New Roman" w:hAnsi="Times New Roman"/>
          <w:b/>
          <w:sz w:val="28"/>
          <w:szCs w:val="28"/>
        </w:rPr>
      </w:pPr>
      <w:r w:rsidRPr="003B7F57">
        <w:rPr>
          <w:rFonts w:ascii="Times New Roman" w:hAnsi="Times New Roman"/>
          <w:b/>
          <w:sz w:val="28"/>
          <w:szCs w:val="28"/>
        </w:rPr>
        <w:t>Performance M</w:t>
      </w:r>
      <w:r>
        <w:rPr>
          <w:rFonts w:ascii="Times New Roman" w:hAnsi="Times New Roman"/>
          <w:b/>
          <w:sz w:val="28"/>
          <w:szCs w:val="28"/>
        </w:rPr>
        <w:t>onitoring</w:t>
      </w:r>
      <w:r w:rsidRPr="003B7F57">
        <w:rPr>
          <w:rFonts w:ascii="Times New Roman" w:hAnsi="Times New Roman"/>
          <w:b/>
          <w:sz w:val="28"/>
          <w:szCs w:val="28"/>
        </w:rPr>
        <w:t xml:space="preserve"> and Evaluation Plan</w:t>
      </w:r>
      <w:r>
        <w:rPr>
          <w:rFonts w:ascii="Times New Roman" w:hAnsi="Times New Roman"/>
          <w:b/>
          <w:sz w:val="28"/>
          <w:szCs w:val="28"/>
        </w:rPr>
        <w:t xml:space="preserve"> (PMEP)</w:t>
      </w:r>
    </w:p>
    <w:p w14:paraId="1DF25C3F" w14:textId="1D4C05B1" w:rsidR="007010BC" w:rsidRPr="006F282B" w:rsidRDefault="007010BC" w:rsidP="007010BC">
      <w:pPr>
        <w:keepNext/>
        <w:jc w:val="center"/>
        <w:rPr>
          <w:rFonts w:ascii="Times New Roman" w:hAnsi="Times New Roman"/>
          <w:sz w:val="28"/>
          <w:szCs w:val="28"/>
        </w:rPr>
      </w:pPr>
      <w:r w:rsidRPr="006F282B">
        <w:rPr>
          <w:rFonts w:ascii="Times New Roman" w:hAnsi="Times New Roman"/>
          <w:sz w:val="28"/>
          <w:szCs w:val="28"/>
        </w:rPr>
        <w:t xml:space="preserve">Period: </w:t>
      </w:r>
      <w:r w:rsidR="005F534A">
        <w:rPr>
          <w:rFonts w:ascii="Times New Roman" w:hAnsi="Times New Roman"/>
          <w:sz w:val="28"/>
          <w:szCs w:val="28"/>
        </w:rPr>
        <w:t xml:space="preserve">February 25, </w:t>
      </w:r>
      <w:r w:rsidR="00FD02AF" w:rsidRPr="006F282B">
        <w:rPr>
          <w:rFonts w:ascii="Times New Roman" w:hAnsi="Times New Roman"/>
          <w:sz w:val="28"/>
          <w:szCs w:val="28"/>
        </w:rPr>
        <w:t>2016-</w:t>
      </w:r>
      <w:r w:rsidR="005F534A">
        <w:rPr>
          <w:rFonts w:ascii="Times New Roman" w:hAnsi="Times New Roman"/>
          <w:sz w:val="28"/>
          <w:szCs w:val="28"/>
        </w:rPr>
        <w:t xml:space="preserve"> February 24, </w:t>
      </w:r>
      <w:r w:rsidR="00FD02AF" w:rsidRPr="006F282B">
        <w:rPr>
          <w:rFonts w:ascii="Times New Roman" w:hAnsi="Times New Roman"/>
          <w:sz w:val="28"/>
          <w:szCs w:val="28"/>
        </w:rPr>
        <w:t>2021</w:t>
      </w:r>
    </w:p>
    <w:p w14:paraId="45BA783F" w14:textId="77777777" w:rsidR="005F534A" w:rsidRPr="00A57824" w:rsidRDefault="005F534A" w:rsidP="007010BC">
      <w:pPr>
        <w:keepNext/>
        <w:jc w:val="center"/>
        <w:rPr>
          <w:rFonts w:ascii="Times New Roman" w:hAnsi="Times New Roman"/>
          <w:b/>
          <w:i/>
          <w:color w:val="FF0000"/>
          <w:sz w:val="28"/>
          <w:szCs w:val="28"/>
        </w:rPr>
      </w:pPr>
    </w:p>
    <w:p w14:paraId="75C9A112" w14:textId="5731CEE2" w:rsidR="007010BC" w:rsidRPr="003B7F57" w:rsidRDefault="007010BC" w:rsidP="007010BC">
      <w:pPr>
        <w:keepNext/>
        <w:jc w:val="center"/>
        <w:rPr>
          <w:rFonts w:ascii="Times New Roman" w:hAnsi="Times New Roman"/>
          <w:b/>
          <w:sz w:val="28"/>
          <w:szCs w:val="28"/>
        </w:rPr>
      </w:pPr>
      <w:r w:rsidRPr="003B7F57">
        <w:rPr>
          <w:rFonts w:ascii="Times New Roman" w:hAnsi="Times New Roman"/>
          <w:b/>
          <w:sz w:val="28"/>
          <w:szCs w:val="28"/>
        </w:rPr>
        <w:t xml:space="preserve">Submitted </w:t>
      </w:r>
      <w:r w:rsidR="00395ED5">
        <w:rPr>
          <w:rFonts w:ascii="Times New Roman" w:hAnsi="Times New Roman"/>
          <w:b/>
          <w:sz w:val="28"/>
          <w:szCs w:val="28"/>
        </w:rPr>
        <w:t>t</w:t>
      </w:r>
      <w:r w:rsidRPr="003B7F57">
        <w:rPr>
          <w:rFonts w:ascii="Times New Roman" w:hAnsi="Times New Roman"/>
          <w:b/>
          <w:sz w:val="28"/>
          <w:szCs w:val="28"/>
        </w:rPr>
        <w:t xml:space="preserve">o: </w:t>
      </w:r>
      <w:r w:rsidR="00FD02AF">
        <w:rPr>
          <w:rFonts w:ascii="Times New Roman" w:hAnsi="Times New Roman"/>
          <w:b/>
          <w:sz w:val="28"/>
          <w:szCs w:val="28"/>
        </w:rPr>
        <w:t>USAID</w:t>
      </w:r>
      <w:r w:rsidRPr="003B7F57">
        <w:rPr>
          <w:rFonts w:ascii="Times New Roman" w:hAnsi="Times New Roman"/>
          <w:b/>
          <w:sz w:val="28"/>
          <w:szCs w:val="28"/>
        </w:rPr>
        <w:t>/</w:t>
      </w:r>
      <w:r w:rsidR="00FD02AF">
        <w:rPr>
          <w:rFonts w:ascii="Times New Roman" w:hAnsi="Times New Roman"/>
          <w:b/>
          <w:sz w:val="28"/>
          <w:szCs w:val="28"/>
        </w:rPr>
        <w:t>Niger</w:t>
      </w:r>
    </w:p>
    <w:p w14:paraId="53352B9F" w14:textId="7F4E7A53" w:rsidR="007010BC" w:rsidRDefault="007010BC" w:rsidP="007010BC">
      <w:pPr>
        <w:keepNext/>
        <w:jc w:val="center"/>
        <w:rPr>
          <w:rFonts w:ascii="Times New Roman" w:hAnsi="Times New Roman"/>
          <w:sz w:val="28"/>
          <w:szCs w:val="28"/>
        </w:rPr>
      </w:pPr>
    </w:p>
    <w:p w14:paraId="00B7AB95" w14:textId="213E161F" w:rsidR="005F534A" w:rsidRDefault="005F534A" w:rsidP="007010BC">
      <w:pPr>
        <w:keepNext/>
        <w:jc w:val="center"/>
        <w:rPr>
          <w:rFonts w:ascii="Times New Roman" w:hAnsi="Times New Roman"/>
          <w:sz w:val="28"/>
          <w:szCs w:val="28"/>
        </w:rPr>
      </w:pPr>
    </w:p>
    <w:p w14:paraId="65E3766E" w14:textId="77777777" w:rsidR="005F534A" w:rsidRPr="003B7F57" w:rsidRDefault="005F534A" w:rsidP="007010BC">
      <w:pPr>
        <w:keepNext/>
        <w:jc w:val="center"/>
        <w:rPr>
          <w:rFonts w:ascii="Times New Roman" w:hAnsi="Times New Roman"/>
          <w:sz w:val="28"/>
          <w:szCs w:val="28"/>
        </w:rPr>
      </w:pPr>
    </w:p>
    <w:p w14:paraId="57F2A9F5" w14:textId="77777777" w:rsidR="005F534A" w:rsidRDefault="005F534A" w:rsidP="005F534A">
      <w:pPr>
        <w:pStyle w:val="USAIDMediumSubhead-Arial11pt"/>
        <w:jc w:val="center"/>
        <w:rPr>
          <w:rFonts w:ascii="Times New Roman" w:hAnsi="Times New Roman"/>
          <w:b w:val="0"/>
          <w:color w:val="auto"/>
          <w:sz w:val="28"/>
          <w:szCs w:val="28"/>
        </w:rPr>
      </w:pPr>
      <w:r w:rsidRPr="003205CC">
        <w:rPr>
          <w:rFonts w:ascii="Times New Roman" w:hAnsi="Times New Roman"/>
          <w:b w:val="0"/>
          <w:color w:val="auto"/>
          <w:sz w:val="28"/>
          <w:szCs w:val="28"/>
        </w:rPr>
        <w:t>Cooperative Agreement No. AID-6</w:t>
      </w:r>
      <w:r>
        <w:rPr>
          <w:rFonts w:ascii="Times New Roman" w:hAnsi="Times New Roman"/>
          <w:b w:val="0"/>
          <w:color w:val="auto"/>
          <w:sz w:val="28"/>
          <w:szCs w:val="28"/>
        </w:rPr>
        <w:t>25</w:t>
      </w:r>
      <w:r w:rsidRPr="003205CC">
        <w:rPr>
          <w:rFonts w:ascii="Times New Roman" w:hAnsi="Times New Roman"/>
          <w:b w:val="0"/>
          <w:color w:val="auto"/>
          <w:sz w:val="28"/>
          <w:szCs w:val="28"/>
        </w:rPr>
        <w:t>-</w:t>
      </w:r>
      <w:r>
        <w:rPr>
          <w:rFonts w:ascii="Times New Roman" w:hAnsi="Times New Roman"/>
          <w:b w:val="0"/>
          <w:color w:val="auto"/>
          <w:sz w:val="28"/>
          <w:szCs w:val="28"/>
        </w:rPr>
        <w:t>L</w:t>
      </w:r>
      <w:r w:rsidRPr="003205CC">
        <w:rPr>
          <w:rFonts w:ascii="Times New Roman" w:hAnsi="Times New Roman"/>
          <w:b w:val="0"/>
          <w:color w:val="auto"/>
          <w:sz w:val="28"/>
          <w:szCs w:val="28"/>
        </w:rPr>
        <w:t>A-1</w:t>
      </w:r>
      <w:r>
        <w:rPr>
          <w:rFonts w:ascii="Times New Roman" w:hAnsi="Times New Roman"/>
          <w:b w:val="0"/>
          <w:color w:val="auto"/>
          <w:sz w:val="28"/>
          <w:szCs w:val="28"/>
        </w:rPr>
        <w:t>6</w:t>
      </w:r>
      <w:r w:rsidRPr="003205CC">
        <w:rPr>
          <w:rFonts w:ascii="Times New Roman" w:hAnsi="Times New Roman"/>
          <w:b w:val="0"/>
          <w:color w:val="auto"/>
          <w:sz w:val="28"/>
          <w:szCs w:val="28"/>
        </w:rPr>
        <w:t>-0000</w:t>
      </w:r>
      <w:r>
        <w:rPr>
          <w:rFonts w:ascii="Times New Roman" w:hAnsi="Times New Roman"/>
          <w:b w:val="0"/>
          <w:color w:val="auto"/>
          <w:sz w:val="28"/>
          <w:szCs w:val="28"/>
        </w:rPr>
        <w:t>1</w:t>
      </w:r>
      <w:r w:rsidRPr="003205CC">
        <w:rPr>
          <w:rFonts w:ascii="Times New Roman" w:hAnsi="Times New Roman"/>
          <w:b w:val="0"/>
          <w:color w:val="auto"/>
          <w:sz w:val="28"/>
          <w:szCs w:val="28"/>
        </w:rPr>
        <w:t xml:space="preserve"> </w:t>
      </w:r>
      <w:r>
        <w:rPr>
          <w:rFonts w:ascii="Times New Roman" w:hAnsi="Times New Roman"/>
          <w:b w:val="0"/>
          <w:color w:val="auto"/>
          <w:sz w:val="28"/>
          <w:szCs w:val="28"/>
        </w:rPr>
        <w:t>Under</w:t>
      </w:r>
    </w:p>
    <w:p w14:paraId="136EF745" w14:textId="77777777" w:rsidR="005F534A" w:rsidRDefault="005F534A" w:rsidP="005F534A">
      <w:pPr>
        <w:pStyle w:val="USAIDMediumSubhead-Arial11pt"/>
        <w:jc w:val="center"/>
        <w:rPr>
          <w:rFonts w:ascii="Times New Roman" w:hAnsi="Times New Roman"/>
          <w:b w:val="0"/>
          <w:color w:val="auto"/>
          <w:sz w:val="28"/>
          <w:szCs w:val="28"/>
        </w:rPr>
      </w:pPr>
      <w:r>
        <w:rPr>
          <w:rFonts w:ascii="Times New Roman" w:hAnsi="Times New Roman"/>
          <w:b w:val="0"/>
          <w:color w:val="auto"/>
          <w:sz w:val="28"/>
          <w:szCs w:val="28"/>
        </w:rPr>
        <w:t>Leader with Associates Award No. DFD-A-00-09-00141-00</w:t>
      </w:r>
    </w:p>
    <w:p w14:paraId="2310CEAF" w14:textId="77777777" w:rsidR="005F534A" w:rsidRDefault="005F534A" w:rsidP="005F534A">
      <w:pPr>
        <w:pStyle w:val="USAIDMediumSubhead-Arial11pt"/>
        <w:jc w:val="center"/>
        <w:rPr>
          <w:rFonts w:ascii="Times New Roman" w:hAnsi="Times New Roman"/>
          <w:b w:val="0"/>
          <w:color w:val="auto"/>
          <w:sz w:val="28"/>
          <w:szCs w:val="28"/>
        </w:rPr>
      </w:pPr>
      <w:r>
        <w:rPr>
          <w:rFonts w:ascii="Times New Roman" w:hAnsi="Times New Roman"/>
          <w:b w:val="0"/>
          <w:color w:val="auto"/>
          <w:sz w:val="28"/>
          <w:szCs w:val="28"/>
        </w:rPr>
        <w:t>Grantee: Counterpart International</w:t>
      </w:r>
    </w:p>
    <w:p w14:paraId="01DEBC0A" w14:textId="77777777" w:rsidR="007010BC" w:rsidRPr="003B7F57" w:rsidRDefault="007010BC" w:rsidP="007010BC">
      <w:pPr>
        <w:keepNext/>
        <w:jc w:val="center"/>
        <w:rPr>
          <w:rFonts w:ascii="Times New Roman" w:hAnsi="Times New Roman"/>
          <w:sz w:val="28"/>
          <w:szCs w:val="28"/>
        </w:rPr>
      </w:pPr>
    </w:p>
    <w:p w14:paraId="58E0864D" w14:textId="77777777" w:rsidR="007010BC" w:rsidRPr="003B7F57" w:rsidRDefault="007010BC" w:rsidP="007010BC">
      <w:pPr>
        <w:keepNext/>
        <w:jc w:val="center"/>
        <w:rPr>
          <w:rFonts w:ascii="Times New Roman" w:hAnsi="Times New Roman"/>
          <w:b/>
          <w:sz w:val="28"/>
          <w:szCs w:val="28"/>
        </w:rPr>
      </w:pPr>
      <w:r w:rsidRPr="003B7F57">
        <w:rPr>
          <w:rFonts w:ascii="Times New Roman" w:hAnsi="Times New Roman"/>
          <w:b/>
          <w:sz w:val="28"/>
          <w:szCs w:val="28"/>
        </w:rPr>
        <w:t xml:space="preserve">Contact:  </w:t>
      </w:r>
      <w:r w:rsidR="00FD02AF">
        <w:rPr>
          <w:rFonts w:ascii="Times New Roman" w:hAnsi="Times New Roman"/>
          <w:b/>
          <w:sz w:val="28"/>
          <w:szCs w:val="28"/>
        </w:rPr>
        <w:t>Mary Margaret Dineen</w:t>
      </w:r>
      <w:r w:rsidRPr="003B7F57">
        <w:rPr>
          <w:rFonts w:ascii="Times New Roman" w:hAnsi="Times New Roman"/>
          <w:b/>
          <w:sz w:val="28"/>
          <w:szCs w:val="28"/>
        </w:rPr>
        <w:t>,</w:t>
      </w:r>
      <w:r>
        <w:rPr>
          <w:rFonts w:ascii="Times New Roman" w:hAnsi="Times New Roman"/>
          <w:b/>
          <w:sz w:val="28"/>
          <w:szCs w:val="28"/>
        </w:rPr>
        <w:t xml:space="preserve"> </w:t>
      </w:r>
      <w:r w:rsidR="00FD02AF">
        <w:rPr>
          <w:rFonts w:ascii="Times New Roman" w:hAnsi="Times New Roman"/>
          <w:b/>
          <w:sz w:val="28"/>
          <w:szCs w:val="28"/>
        </w:rPr>
        <w:t>Chief of Party</w:t>
      </w:r>
      <w:r w:rsidRPr="003B7F57">
        <w:rPr>
          <w:rFonts w:ascii="Times New Roman" w:hAnsi="Times New Roman"/>
          <w:b/>
          <w:sz w:val="28"/>
          <w:szCs w:val="28"/>
        </w:rPr>
        <w:t xml:space="preserve"> </w:t>
      </w:r>
      <w:r w:rsidRPr="003B7F57">
        <w:rPr>
          <w:rFonts w:ascii="Times New Roman" w:hAnsi="Times New Roman"/>
          <w:b/>
          <w:sz w:val="28"/>
          <w:szCs w:val="28"/>
        </w:rPr>
        <w:br/>
      </w:r>
      <w:hyperlink r:id="rId8" w:history="1">
        <w:r w:rsidR="00FD02AF" w:rsidRPr="00726C2A">
          <w:rPr>
            <w:rStyle w:val="Hyperlink"/>
            <w:rFonts w:ascii="Times New Roman" w:hAnsi="Times New Roman"/>
            <w:b/>
            <w:sz w:val="28"/>
            <w:szCs w:val="28"/>
          </w:rPr>
          <w:t>mmdineen@counterpart.org</w:t>
        </w:r>
      </w:hyperlink>
    </w:p>
    <w:p w14:paraId="388D1A6E" w14:textId="62435720" w:rsidR="007010BC" w:rsidRDefault="007010BC" w:rsidP="007010BC">
      <w:pPr>
        <w:keepNext/>
        <w:jc w:val="center"/>
        <w:rPr>
          <w:rFonts w:ascii="Times New Roman" w:hAnsi="Times New Roman"/>
          <w:b/>
          <w:sz w:val="28"/>
          <w:szCs w:val="28"/>
        </w:rPr>
      </w:pPr>
    </w:p>
    <w:p w14:paraId="4C726434" w14:textId="5B7B0936" w:rsidR="005F534A" w:rsidRDefault="005F534A" w:rsidP="007010BC">
      <w:pPr>
        <w:keepNext/>
        <w:jc w:val="center"/>
        <w:rPr>
          <w:rFonts w:ascii="Times New Roman" w:hAnsi="Times New Roman"/>
          <w:b/>
          <w:sz w:val="28"/>
          <w:szCs w:val="28"/>
        </w:rPr>
      </w:pPr>
    </w:p>
    <w:p w14:paraId="1A1D5328" w14:textId="720BE6A4" w:rsidR="005F534A" w:rsidRDefault="005F534A" w:rsidP="007010BC">
      <w:pPr>
        <w:keepNext/>
        <w:jc w:val="center"/>
        <w:rPr>
          <w:rFonts w:ascii="Times New Roman" w:hAnsi="Times New Roman"/>
          <w:b/>
          <w:sz w:val="28"/>
          <w:szCs w:val="28"/>
        </w:rPr>
      </w:pPr>
    </w:p>
    <w:p w14:paraId="4D9C1BDC" w14:textId="78E5B18B" w:rsidR="005F534A" w:rsidRDefault="005F534A" w:rsidP="007010BC">
      <w:pPr>
        <w:keepNext/>
        <w:jc w:val="center"/>
        <w:rPr>
          <w:rFonts w:ascii="Times New Roman" w:hAnsi="Times New Roman"/>
          <w:b/>
          <w:sz w:val="28"/>
          <w:szCs w:val="28"/>
        </w:rPr>
      </w:pPr>
    </w:p>
    <w:p w14:paraId="1ED90D8C" w14:textId="07E964A4" w:rsidR="005F534A" w:rsidRDefault="005F534A" w:rsidP="007010BC">
      <w:pPr>
        <w:keepNext/>
        <w:jc w:val="center"/>
        <w:rPr>
          <w:rFonts w:ascii="Times New Roman" w:hAnsi="Times New Roman"/>
          <w:b/>
          <w:sz w:val="28"/>
          <w:szCs w:val="28"/>
        </w:rPr>
      </w:pPr>
    </w:p>
    <w:p w14:paraId="1FC6A492" w14:textId="22A44956" w:rsidR="005F534A" w:rsidRDefault="005F534A" w:rsidP="007010BC">
      <w:pPr>
        <w:keepNext/>
        <w:jc w:val="center"/>
        <w:rPr>
          <w:rFonts w:ascii="Times New Roman" w:hAnsi="Times New Roman"/>
          <w:b/>
          <w:sz w:val="28"/>
          <w:szCs w:val="28"/>
        </w:rPr>
      </w:pPr>
    </w:p>
    <w:p w14:paraId="139E28FC" w14:textId="77777777" w:rsidR="005F534A" w:rsidRPr="003B7F57" w:rsidRDefault="005F534A" w:rsidP="007010BC">
      <w:pPr>
        <w:keepNext/>
        <w:jc w:val="center"/>
        <w:rPr>
          <w:rFonts w:ascii="Times New Roman" w:hAnsi="Times New Roman"/>
          <w:b/>
          <w:sz w:val="28"/>
          <w:szCs w:val="28"/>
        </w:rPr>
      </w:pPr>
    </w:p>
    <w:p w14:paraId="183BD25E" w14:textId="77777777" w:rsidR="007010BC" w:rsidRPr="003B7F57" w:rsidRDefault="007010BC" w:rsidP="007010BC">
      <w:pPr>
        <w:keepNext/>
        <w:jc w:val="center"/>
        <w:rPr>
          <w:rFonts w:ascii="Times New Roman" w:hAnsi="Times New Roman"/>
          <w:b/>
          <w:sz w:val="28"/>
          <w:szCs w:val="28"/>
        </w:rPr>
      </w:pPr>
    </w:p>
    <w:p w14:paraId="14CE77D4" w14:textId="77777777" w:rsidR="005F534A" w:rsidRPr="007722DD" w:rsidRDefault="005F534A" w:rsidP="005F534A">
      <w:pPr>
        <w:autoSpaceDE w:val="0"/>
        <w:autoSpaceDN w:val="0"/>
        <w:adjustRightInd w:val="0"/>
        <w:jc w:val="center"/>
        <w:rPr>
          <w:rFonts w:ascii="Times New Roman" w:hAnsi="Times New Roman"/>
          <w:b/>
          <w:iCs/>
          <w:sz w:val="26"/>
          <w:szCs w:val="26"/>
        </w:rPr>
      </w:pPr>
      <w:bookmarkStart w:id="0" w:name="_Toc315870270"/>
      <w:r w:rsidRPr="007722DD">
        <w:rPr>
          <w:rFonts w:ascii="Times New Roman" w:hAnsi="Times New Roman"/>
          <w:b/>
          <w:iCs/>
          <w:sz w:val="26"/>
          <w:szCs w:val="26"/>
        </w:rPr>
        <w:t>COUNTERPART INTERNATIONAL</w:t>
      </w:r>
      <w:bookmarkEnd w:id="0"/>
    </w:p>
    <w:p w14:paraId="4FD7C626" w14:textId="77777777" w:rsidR="005F534A" w:rsidRPr="007722DD" w:rsidRDefault="005F534A" w:rsidP="005F534A">
      <w:pPr>
        <w:jc w:val="center"/>
        <w:rPr>
          <w:rFonts w:ascii="Times New Roman" w:hAnsi="Times New Roman"/>
          <w:sz w:val="26"/>
          <w:szCs w:val="26"/>
        </w:rPr>
      </w:pPr>
    </w:p>
    <w:p w14:paraId="23D97A3F" w14:textId="77777777" w:rsidR="005F534A" w:rsidRPr="007722DD" w:rsidRDefault="005F534A" w:rsidP="005F534A">
      <w:pPr>
        <w:autoSpaceDE w:val="0"/>
        <w:autoSpaceDN w:val="0"/>
        <w:adjustRightInd w:val="0"/>
        <w:jc w:val="center"/>
        <w:rPr>
          <w:rFonts w:ascii="Times New Roman" w:hAnsi="Times New Roman"/>
          <w:b/>
          <w:sz w:val="26"/>
          <w:szCs w:val="26"/>
        </w:rPr>
      </w:pPr>
      <w:r w:rsidRPr="007722DD">
        <w:rPr>
          <w:rFonts w:ascii="Times New Roman" w:hAnsi="Times New Roman"/>
          <w:b/>
          <w:sz w:val="26"/>
          <w:szCs w:val="26"/>
        </w:rPr>
        <w:t>2345 Crystal Drive, Suite 301</w:t>
      </w:r>
    </w:p>
    <w:p w14:paraId="69337F94" w14:textId="77777777" w:rsidR="005F534A" w:rsidRPr="007722DD" w:rsidRDefault="005F534A" w:rsidP="005F534A">
      <w:pPr>
        <w:autoSpaceDE w:val="0"/>
        <w:autoSpaceDN w:val="0"/>
        <w:adjustRightInd w:val="0"/>
        <w:jc w:val="center"/>
        <w:rPr>
          <w:rFonts w:ascii="Times New Roman" w:hAnsi="Times New Roman"/>
          <w:b/>
          <w:sz w:val="26"/>
          <w:szCs w:val="26"/>
        </w:rPr>
      </w:pPr>
      <w:r w:rsidRPr="007722DD">
        <w:rPr>
          <w:rFonts w:ascii="Times New Roman" w:hAnsi="Times New Roman"/>
          <w:b/>
          <w:sz w:val="26"/>
          <w:szCs w:val="26"/>
        </w:rPr>
        <w:t>Arlington, VA 22202</w:t>
      </w:r>
    </w:p>
    <w:p w14:paraId="4F160597" w14:textId="21D10013" w:rsidR="007010BC" w:rsidRPr="003B7F57" w:rsidRDefault="005F534A" w:rsidP="006F282B">
      <w:pPr>
        <w:pStyle w:val="FreeForm"/>
        <w:jc w:val="center"/>
        <w:rPr>
          <w:rFonts w:ascii="Times New Roman" w:hAnsi="Times New Roman"/>
          <w:b/>
          <w:sz w:val="28"/>
          <w:szCs w:val="28"/>
        </w:rPr>
      </w:pPr>
      <w:r w:rsidRPr="007722DD">
        <w:rPr>
          <w:rFonts w:ascii="Times New Roman" w:hAnsi="Times New Roman"/>
          <w:b/>
          <w:color w:val="auto"/>
          <w:sz w:val="26"/>
          <w:szCs w:val="26"/>
        </w:rPr>
        <w:t xml:space="preserve">Tel: </w:t>
      </w:r>
      <w:r>
        <w:rPr>
          <w:rFonts w:ascii="Times New Roman" w:hAnsi="Times New Roman"/>
          <w:b/>
          <w:color w:val="auto"/>
          <w:sz w:val="26"/>
          <w:szCs w:val="26"/>
        </w:rPr>
        <w:t>(571) 447 5700</w:t>
      </w:r>
    </w:p>
    <w:p w14:paraId="1AE14BD9" w14:textId="77777777" w:rsidR="003D53F3" w:rsidRDefault="003D53F3" w:rsidP="00DD122D">
      <w:pPr>
        <w:pStyle w:val="Heading1"/>
        <w:sectPr w:rsidR="003D53F3" w:rsidSect="000128B7">
          <w:headerReference w:type="default" r:id="rId9"/>
          <w:footerReference w:type="default" r:id="rId10"/>
          <w:headerReference w:type="first" r:id="rId11"/>
          <w:pgSz w:w="12240" w:h="15840"/>
          <w:pgMar w:top="1440" w:right="1440" w:bottom="1440" w:left="1440" w:header="720" w:footer="720" w:gutter="0"/>
          <w:cols w:space="720"/>
          <w:titlePg/>
          <w:docGrid w:linePitch="360"/>
        </w:sectPr>
      </w:pPr>
      <w:bookmarkStart w:id="1" w:name="_Toc376000654"/>
      <w:bookmarkStart w:id="2" w:name="_Toc379798515"/>
    </w:p>
    <w:bookmarkStart w:id="3" w:name="_Toc453088586" w:displacedByCustomXml="next"/>
    <w:bookmarkStart w:id="4" w:name="_Toc453621868" w:displacedByCustomXml="next"/>
    <w:sdt>
      <w:sdtPr>
        <w:rPr>
          <w:rFonts w:ascii="Cambria" w:eastAsia="MS Mincho" w:hAnsi="Cambria" w:cs="Times New Roman"/>
          <w:b w:val="0"/>
          <w:bCs w:val="0"/>
          <w:caps w:val="0"/>
          <w:color w:val="auto"/>
          <w:sz w:val="24"/>
          <w:szCs w:val="24"/>
        </w:rPr>
        <w:id w:val="-1762050304"/>
        <w:docPartObj>
          <w:docPartGallery w:val="Table of Contents"/>
          <w:docPartUnique/>
        </w:docPartObj>
      </w:sdtPr>
      <w:sdtEndPr>
        <w:rPr>
          <w:rFonts w:ascii="Times New Roman" w:eastAsiaTheme="majorEastAsia" w:hAnsi="Times New Roman" w:cstheme="majorBidi"/>
          <w:b/>
          <w:bCs/>
          <w:caps/>
          <w:noProof/>
          <w:color w:val="365F91" w:themeColor="accent1" w:themeShade="BF"/>
          <w:sz w:val="28"/>
          <w:szCs w:val="28"/>
        </w:rPr>
      </w:sdtEndPr>
      <w:sdtContent>
        <w:p w14:paraId="0BF9AB36" w14:textId="29EA77A0" w:rsidR="00CB00BE" w:rsidRDefault="00CB00BE">
          <w:pPr>
            <w:pStyle w:val="TOCHeading"/>
          </w:pPr>
          <w:r>
            <w:t>Table of Contents</w:t>
          </w:r>
          <w:bookmarkEnd w:id="4"/>
          <w:bookmarkEnd w:id="3"/>
        </w:p>
        <w:p w14:paraId="03B7A4A0" w14:textId="38E6873B" w:rsidR="000128B7" w:rsidRDefault="00CB00BE">
          <w:pPr>
            <w:pStyle w:val="TOC1"/>
            <w:rPr>
              <w:rFonts w:asciiTheme="minorHAnsi" w:eastAsiaTheme="minorEastAsia" w:hAnsiTheme="minorHAnsi" w:cstheme="minorBidi"/>
              <w:b w:val="0"/>
              <w:bCs w:val="0"/>
              <w:caps w:val="0"/>
              <w:noProof/>
              <w:sz w:val="22"/>
              <w:szCs w:val="22"/>
              <w:lang w:bidi="ar-SA"/>
            </w:rPr>
          </w:pPr>
          <w:r>
            <w:fldChar w:fldCharType="begin"/>
          </w:r>
          <w:r>
            <w:instrText xml:space="preserve"> TOC \o "1-3" \h \z \u </w:instrText>
          </w:r>
          <w:r>
            <w:fldChar w:fldCharType="separate"/>
          </w:r>
          <w:hyperlink w:anchor="_Toc453621868" w:history="1">
            <w:r w:rsidR="000128B7" w:rsidRPr="003C50C1">
              <w:rPr>
                <w:rStyle w:val="Hyperlink"/>
                <w:noProof/>
              </w:rPr>
              <w:t>Table of Contents</w:t>
            </w:r>
            <w:r w:rsidR="000128B7">
              <w:rPr>
                <w:noProof/>
                <w:webHidden/>
              </w:rPr>
              <w:tab/>
            </w:r>
            <w:r w:rsidR="000128B7">
              <w:rPr>
                <w:noProof/>
                <w:webHidden/>
              </w:rPr>
              <w:fldChar w:fldCharType="begin"/>
            </w:r>
            <w:r w:rsidR="000128B7">
              <w:rPr>
                <w:noProof/>
                <w:webHidden/>
              </w:rPr>
              <w:instrText xml:space="preserve"> PAGEREF _Toc453621868 \h </w:instrText>
            </w:r>
            <w:r w:rsidR="000128B7">
              <w:rPr>
                <w:noProof/>
                <w:webHidden/>
              </w:rPr>
            </w:r>
            <w:r w:rsidR="000128B7">
              <w:rPr>
                <w:noProof/>
                <w:webHidden/>
              </w:rPr>
              <w:fldChar w:fldCharType="separate"/>
            </w:r>
            <w:r w:rsidR="004103A3">
              <w:rPr>
                <w:noProof/>
                <w:webHidden/>
              </w:rPr>
              <w:t>i</w:t>
            </w:r>
            <w:r w:rsidR="000128B7">
              <w:rPr>
                <w:noProof/>
                <w:webHidden/>
              </w:rPr>
              <w:fldChar w:fldCharType="end"/>
            </w:r>
          </w:hyperlink>
        </w:p>
        <w:p w14:paraId="373333B4" w14:textId="0ADB7DAE" w:rsidR="000128B7" w:rsidRDefault="00DD3CAE">
          <w:pPr>
            <w:pStyle w:val="TOC1"/>
            <w:rPr>
              <w:rFonts w:asciiTheme="minorHAnsi" w:eastAsiaTheme="minorEastAsia" w:hAnsiTheme="minorHAnsi" w:cstheme="minorBidi"/>
              <w:b w:val="0"/>
              <w:bCs w:val="0"/>
              <w:caps w:val="0"/>
              <w:noProof/>
              <w:sz w:val="22"/>
              <w:szCs w:val="22"/>
              <w:lang w:bidi="ar-SA"/>
            </w:rPr>
          </w:pPr>
          <w:hyperlink w:anchor="_Toc453621869" w:history="1">
            <w:r w:rsidR="000128B7" w:rsidRPr="003C50C1">
              <w:rPr>
                <w:rStyle w:val="Hyperlink"/>
                <w:noProof/>
              </w:rPr>
              <w:t>List of Acronyms</w:t>
            </w:r>
            <w:r w:rsidR="000128B7">
              <w:rPr>
                <w:noProof/>
                <w:webHidden/>
              </w:rPr>
              <w:tab/>
            </w:r>
            <w:r w:rsidR="000128B7">
              <w:rPr>
                <w:noProof/>
                <w:webHidden/>
              </w:rPr>
              <w:fldChar w:fldCharType="begin"/>
            </w:r>
            <w:r w:rsidR="000128B7">
              <w:rPr>
                <w:noProof/>
                <w:webHidden/>
              </w:rPr>
              <w:instrText xml:space="preserve"> PAGEREF _Toc453621869 \h </w:instrText>
            </w:r>
            <w:r w:rsidR="000128B7">
              <w:rPr>
                <w:noProof/>
                <w:webHidden/>
              </w:rPr>
            </w:r>
            <w:r w:rsidR="000128B7">
              <w:rPr>
                <w:noProof/>
                <w:webHidden/>
              </w:rPr>
              <w:fldChar w:fldCharType="separate"/>
            </w:r>
            <w:r w:rsidR="004103A3">
              <w:rPr>
                <w:noProof/>
                <w:webHidden/>
              </w:rPr>
              <w:t>i</w:t>
            </w:r>
            <w:r w:rsidR="000128B7">
              <w:rPr>
                <w:noProof/>
                <w:webHidden/>
              </w:rPr>
              <w:fldChar w:fldCharType="end"/>
            </w:r>
          </w:hyperlink>
        </w:p>
        <w:p w14:paraId="42534A9B" w14:textId="0F41F8F9" w:rsidR="000128B7" w:rsidRDefault="00DD3CAE">
          <w:pPr>
            <w:pStyle w:val="TOC1"/>
            <w:rPr>
              <w:rFonts w:asciiTheme="minorHAnsi" w:eastAsiaTheme="minorEastAsia" w:hAnsiTheme="minorHAnsi" w:cstheme="minorBidi"/>
              <w:b w:val="0"/>
              <w:bCs w:val="0"/>
              <w:caps w:val="0"/>
              <w:noProof/>
              <w:sz w:val="22"/>
              <w:szCs w:val="22"/>
              <w:lang w:bidi="ar-SA"/>
            </w:rPr>
          </w:pPr>
          <w:hyperlink w:anchor="_Toc453621870" w:history="1">
            <w:r w:rsidR="000128B7" w:rsidRPr="003C50C1">
              <w:rPr>
                <w:rStyle w:val="Hyperlink"/>
                <w:noProof/>
              </w:rPr>
              <w:t>1.</w:t>
            </w:r>
            <w:r w:rsidR="000128B7">
              <w:rPr>
                <w:rFonts w:asciiTheme="minorHAnsi" w:eastAsiaTheme="minorEastAsia" w:hAnsiTheme="minorHAnsi" w:cstheme="minorBidi"/>
                <w:b w:val="0"/>
                <w:bCs w:val="0"/>
                <w:caps w:val="0"/>
                <w:noProof/>
                <w:sz w:val="22"/>
                <w:szCs w:val="22"/>
                <w:lang w:bidi="ar-SA"/>
              </w:rPr>
              <w:tab/>
            </w:r>
            <w:r w:rsidR="000128B7" w:rsidRPr="003C50C1">
              <w:rPr>
                <w:rStyle w:val="Hyperlink"/>
                <w:noProof/>
              </w:rPr>
              <w:t>Introduction</w:t>
            </w:r>
            <w:r w:rsidR="000128B7">
              <w:rPr>
                <w:noProof/>
                <w:webHidden/>
              </w:rPr>
              <w:tab/>
            </w:r>
            <w:r w:rsidR="000128B7">
              <w:rPr>
                <w:noProof/>
                <w:webHidden/>
              </w:rPr>
              <w:fldChar w:fldCharType="begin"/>
            </w:r>
            <w:r w:rsidR="000128B7">
              <w:rPr>
                <w:noProof/>
                <w:webHidden/>
              </w:rPr>
              <w:instrText xml:space="preserve"> PAGEREF _Toc453621870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1062061C" w14:textId="2188DC4A"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71" w:history="1">
            <w:r w:rsidR="000128B7" w:rsidRPr="003C50C1">
              <w:rPr>
                <w:rStyle w:val="Hyperlink"/>
                <w:noProof/>
              </w:rPr>
              <w:t>1.1</w:t>
            </w:r>
            <w:r w:rsidR="000128B7">
              <w:rPr>
                <w:rFonts w:asciiTheme="minorHAnsi" w:eastAsiaTheme="minorEastAsia" w:hAnsiTheme="minorHAnsi" w:cstheme="minorBidi"/>
                <w:noProof/>
                <w:sz w:val="22"/>
                <w:szCs w:val="22"/>
              </w:rPr>
              <w:tab/>
            </w:r>
            <w:r w:rsidR="000128B7" w:rsidRPr="003C50C1">
              <w:rPr>
                <w:rStyle w:val="Hyperlink"/>
                <w:noProof/>
              </w:rPr>
              <w:t>Purpose of the PMEP</w:t>
            </w:r>
            <w:r w:rsidR="000128B7">
              <w:rPr>
                <w:noProof/>
                <w:webHidden/>
              </w:rPr>
              <w:tab/>
            </w:r>
            <w:r w:rsidR="000128B7">
              <w:rPr>
                <w:noProof/>
                <w:webHidden/>
              </w:rPr>
              <w:fldChar w:fldCharType="begin"/>
            </w:r>
            <w:r w:rsidR="000128B7">
              <w:rPr>
                <w:noProof/>
                <w:webHidden/>
              </w:rPr>
              <w:instrText xml:space="preserve"> PAGEREF _Toc453621871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1B9125EF" w14:textId="7FC3A042"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72" w:history="1">
            <w:r w:rsidR="000128B7" w:rsidRPr="003C50C1">
              <w:rPr>
                <w:rStyle w:val="Hyperlink"/>
                <w:noProof/>
              </w:rPr>
              <w:t>1.2</w:t>
            </w:r>
            <w:r w:rsidR="000128B7">
              <w:rPr>
                <w:rFonts w:asciiTheme="minorHAnsi" w:eastAsiaTheme="minorEastAsia" w:hAnsiTheme="minorHAnsi" w:cstheme="minorBidi"/>
                <w:noProof/>
                <w:sz w:val="22"/>
                <w:szCs w:val="22"/>
              </w:rPr>
              <w:tab/>
            </w:r>
            <w:r w:rsidR="000128B7" w:rsidRPr="003C50C1">
              <w:rPr>
                <w:rStyle w:val="Hyperlink"/>
                <w:noProof/>
              </w:rPr>
              <w:t>The Development Context</w:t>
            </w:r>
            <w:r w:rsidR="000128B7">
              <w:rPr>
                <w:noProof/>
                <w:webHidden/>
              </w:rPr>
              <w:tab/>
            </w:r>
            <w:r w:rsidR="000128B7">
              <w:rPr>
                <w:noProof/>
                <w:webHidden/>
              </w:rPr>
              <w:fldChar w:fldCharType="begin"/>
            </w:r>
            <w:r w:rsidR="000128B7">
              <w:rPr>
                <w:noProof/>
                <w:webHidden/>
              </w:rPr>
              <w:instrText xml:space="preserve"> PAGEREF _Toc453621872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2A68F96C" w14:textId="780BD266"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73" w:history="1">
            <w:r w:rsidR="000128B7" w:rsidRPr="003C50C1">
              <w:rPr>
                <w:rStyle w:val="Hyperlink"/>
                <w:noProof/>
              </w:rPr>
              <w:t>1.3</w:t>
            </w:r>
            <w:r w:rsidR="000128B7">
              <w:rPr>
                <w:rFonts w:asciiTheme="minorHAnsi" w:eastAsiaTheme="minorEastAsia" w:hAnsiTheme="minorHAnsi" w:cstheme="minorBidi"/>
                <w:noProof/>
                <w:sz w:val="22"/>
                <w:szCs w:val="22"/>
              </w:rPr>
              <w:tab/>
            </w:r>
            <w:r w:rsidR="000128B7" w:rsidRPr="003C50C1">
              <w:rPr>
                <w:rStyle w:val="Hyperlink"/>
                <w:noProof/>
              </w:rPr>
              <w:t>The USAID/Niger Strategy</w:t>
            </w:r>
            <w:r w:rsidR="000128B7">
              <w:rPr>
                <w:noProof/>
                <w:webHidden/>
              </w:rPr>
              <w:tab/>
            </w:r>
            <w:r w:rsidR="000128B7">
              <w:rPr>
                <w:noProof/>
                <w:webHidden/>
              </w:rPr>
              <w:fldChar w:fldCharType="begin"/>
            </w:r>
            <w:r w:rsidR="000128B7">
              <w:rPr>
                <w:noProof/>
                <w:webHidden/>
              </w:rPr>
              <w:instrText xml:space="preserve"> PAGEREF _Toc453621873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18357589" w14:textId="519BF01A"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74" w:history="1">
            <w:r w:rsidR="000128B7" w:rsidRPr="003C50C1">
              <w:rPr>
                <w:rStyle w:val="Hyperlink"/>
                <w:noProof/>
              </w:rPr>
              <w:t>1.4</w:t>
            </w:r>
            <w:r w:rsidR="000128B7">
              <w:rPr>
                <w:rFonts w:asciiTheme="minorHAnsi" w:eastAsiaTheme="minorEastAsia" w:hAnsiTheme="minorHAnsi" w:cstheme="minorBidi"/>
                <w:noProof/>
                <w:sz w:val="22"/>
                <w:szCs w:val="22"/>
              </w:rPr>
              <w:tab/>
            </w:r>
            <w:r w:rsidR="000128B7" w:rsidRPr="003C50C1">
              <w:rPr>
                <w:rStyle w:val="Hyperlink"/>
                <w:noProof/>
              </w:rPr>
              <w:t>Theory of Change &amp; Program Strategy</w:t>
            </w:r>
            <w:r w:rsidR="000128B7">
              <w:rPr>
                <w:noProof/>
                <w:webHidden/>
              </w:rPr>
              <w:tab/>
            </w:r>
            <w:r w:rsidR="000128B7">
              <w:rPr>
                <w:noProof/>
                <w:webHidden/>
              </w:rPr>
              <w:fldChar w:fldCharType="begin"/>
            </w:r>
            <w:r w:rsidR="000128B7">
              <w:rPr>
                <w:noProof/>
                <w:webHidden/>
              </w:rPr>
              <w:instrText xml:space="preserve"> PAGEREF _Toc453621874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55EABF51" w14:textId="336DEF6E"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75" w:history="1">
            <w:r w:rsidR="000128B7" w:rsidRPr="003C50C1">
              <w:rPr>
                <w:rStyle w:val="Hyperlink"/>
                <w:noProof/>
              </w:rPr>
              <w:t>a)</w:t>
            </w:r>
            <w:r w:rsidR="000128B7">
              <w:rPr>
                <w:rFonts w:asciiTheme="minorHAnsi" w:eastAsiaTheme="minorEastAsia" w:hAnsiTheme="minorHAnsi" w:cstheme="minorBidi"/>
                <w:noProof/>
                <w:sz w:val="22"/>
                <w:szCs w:val="22"/>
              </w:rPr>
              <w:tab/>
            </w:r>
            <w:r w:rsidR="000128B7" w:rsidRPr="003C50C1">
              <w:rPr>
                <w:rStyle w:val="Hyperlink"/>
                <w:noProof/>
              </w:rPr>
              <w:t>PRG-PA Strategy</w:t>
            </w:r>
            <w:r w:rsidR="000128B7">
              <w:rPr>
                <w:noProof/>
                <w:webHidden/>
              </w:rPr>
              <w:tab/>
            </w:r>
            <w:r w:rsidR="000128B7">
              <w:rPr>
                <w:noProof/>
                <w:webHidden/>
              </w:rPr>
              <w:fldChar w:fldCharType="begin"/>
            </w:r>
            <w:r w:rsidR="000128B7">
              <w:rPr>
                <w:noProof/>
                <w:webHidden/>
              </w:rPr>
              <w:instrText xml:space="preserve"> PAGEREF _Toc453621875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29BA6942" w14:textId="29076B3C"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76" w:history="1">
            <w:r w:rsidR="000128B7" w:rsidRPr="003C50C1">
              <w:rPr>
                <w:rStyle w:val="Hyperlink"/>
                <w:noProof/>
                <w:lang w:bidi="en-US"/>
              </w:rPr>
              <w:t>b)</w:t>
            </w:r>
            <w:r w:rsidR="000128B7">
              <w:rPr>
                <w:rFonts w:asciiTheme="minorHAnsi" w:eastAsiaTheme="minorEastAsia" w:hAnsiTheme="minorHAnsi" w:cstheme="minorBidi"/>
                <w:noProof/>
                <w:sz w:val="22"/>
                <w:szCs w:val="22"/>
              </w:rPr>
              <w:tab/>
            </w:r>
            <w:r w:rsidR="000128B7" w:rsidRPr="003C50C1">
              <w:rPr>
                <w:rStyle w:val="Hyperlink"/>
                <w:noProof/>
              </w:rPr>
              <w:t>Critical Assumptions</w:t>
            </w:r>
            <w:r w:rsidR="000128B7">
              <w:rPr>
                <w:noProof/>
                <w:webHidden/>
              </w:rPr>
              <w:tab/>
            </w:r>
            <w:r w:rsidR="000128B7">
              <w:rPr>
                <w:noProof/>
                <w:webHidden/>
              </w:rPr>
              <w:fldChar w:fldCharType="begin"/>
            </w:r>
            <w:r w:rsidR="000128B7">
              <w:rPr>
                <w:noProof/>
                <w:webHidden/>
              </w:rPr>
              <w:instrText xml:space="preserve"> PAGEREF _Toc453621876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6F64D2DA" w14:textId="34D36845"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77" w:history="1">
            <w:r w:rsidR="000128B7" w:rsidRPr="003C50C1">
              <w:rPr>
                <w:rStyle w:val="Hyperlink"/>
                <w:noProof/>
              </w:rPr>
              <w:t>c)</w:t>
            </w:r>
            <w:r w:rsidR="000128B7">
              <w:rPr>
                <w:rFonts w:asciiTheme="minorHAnsi" w:eastAsiaTheme="minorEastAsia" w:hAnsiTheme="minorHAnsi" w:cstheme="minorBidi"/>
                <w:noProof/>
                <w:sz w:val="22"/>
                <w:szCs w:val="22"/>
              </w:rPr>
              <w:tab/>
            </w:r>
            <w:r w:rsidR="000128B7" w:rsidRPr="003C50C1">
              <w:rPr>
                <w:rStyle w:val="Hyperlink"/>
                <w:noProof/>
              </w:rPr>
              <w:t>Results Framework</w:t>
            </w:r>
            <w:r w:rsidR="000128B7">
              <w:rPr>
                <w:noProof/>
                <w:webHidden/>
              </w:rPr>
              <w:tab/>
            </w:r>
            <w:r w:rsidR="000128B7">
              <w:rPr>
                <w:noProof/>
                <w:webHidden/>
              </w:rPr>
              <w:fldChar w:fldCharType="begin"/>
            </w:r>
            <w:r w:rsidR="000128B7">
              <w:rPr>
                <w:noProof/>
                <w:webHidden/>
              </w:rPr>
              <w:instrText xml:space="preserve"> PAGEREF _Toc453621877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09F9F926" w14:textId="064A92F2" w:rsidR="000128B7" w:rsidRDefault="00DD3CAE">
          <w:pPr>
            <w:pStyle w:val="TOC1"/>
            <w:rPr>
              <w:rFonts w:asciiTheme="minorHAnsi" w:eastAsiaTheme="minorEastAsia" w:hAnsiTheme="minorHAnsi" w:cstheme="minorBidi"/>
              <w:b w:val="0"/>
              <w:bCs w:val="0"/>
              <w:caps w:val="0"/>
              <w:noProof/>
              <w:sz w:val="22"/>
              <w:szCs w:val="22"/>
              <w:lang w:bidi="ar-SA"/>
            </w:rPr>
          </w:pPr>
          <w:hyperlink w:anchor="_Toc453621878" w:history="1">
            <w:r w:rsidR="000128B7" w:rsidRPr="003C50C1">
              <w:rPr>
                <w:rStyle w:val="Hyperlink"/>
                <w:noProof/>
              </w:rPr>
              <w:t>2</w:t>
            </w:r>
            <w:r w:rsidR="000128B7">
              <w:rPr>
                <w:rFonts w:asciiTheme="minorHAnsi" w:eastAsiaTheme="minorEastAsia" w:hAnsiTheme="minorHAnsi" w:cstheme="minorBidi"/>
                <w:b w:val="0"/>
                <w:bCs w:val="0"/>
                <w:caps w:val="0"/>
                <w:noProof/>
                <w:sz w:val="22"/>
                <w:szCs w:val="22"/>
                <w:lang w:bidi="ar-SA"/>
              </w:rPr>
              <w:tab/>
            </w:r>
            <w:r w:rsidR="000128B7" w:rsidRPr="003C50C1">
              <w:rPr>
                <w:rStyle w:val="Hyperlink"/>
                <w:noProof/>
              </w:rPr>
              <w:t>Management and Monitoring and Evaluation Plan</w:t>
            </w:r>
            <w:r w:rsidR="000128B7">
              <w:rPr>
                <w:noProof/>
                <w:webHidden/>
              </w:rPr>
              <w:tab/>
            </w:r>
            <w:r w:rsidR="000128B7">
              <w:rPr>
                <w:noProof/>
                <w:webHidden/>
              </w:rPr>
              <w:fldChar w:fldCharType="begin"/>
            </w:r>
            <w:r w:rsidR="000128B7">
              <w:rPr>
                <w:noProof/>
                <w:webHidden/>
              </w:rPr>
              <w:instrText xml:space="preserve"> PAGEREF _Toc453621878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55D7D556" w14:textId="2B3CBE24"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79" w:history="1">
            <w:r w:rsidR="000128B7" w:rsidRPr="003C50C1">
              <w:rPr>
                <w:rStyle w:val="Hyperlink"/>
                <w:noProof/>
              </w:rPr>
              <w:t>2.1</w:t>
            </w:r>
            <w:r w:rsidR="000128B7">
              <w:rPr>
                <w:rFonts w:asciiTheme="minorHAnsi" w:eastAsiaTheme="minorEastAsia" w:hAnsiTheme="minorHAnsi" w:cstheme="minorBidi"/>
                <w:noProof/>
                <w:sz w:val="22"/>
                <w:szCs w:val="22"/>
              </w:rPr>
              <w:tab/>
            </w:r>
            <w:r w:rsidR="000128B7" w:rsidRPr="003C50C1">
              <w:rPr>
                <w:rStyle w:val="Hyperlink"/>
                <w:noProof/>
              </w:rPr>
              <w:t>Roles and Responsibilities</w:t>
            </w:r>
            <w:r w:rsidR="000128B7">
              <w:rPr>
                <w:noProof/>
                <w:webHidden/>
              </w:rPr>
              <w:tab/>
            </w:r>
            <w:r w:rsidR="000128B7">
              <w:rPr>
                <w:noProof/>
                <w:webHidden/>
              </w:rPr>
              <w:fldChar w:fldCharType="begin"/>
            </w:r>
            <w:r w:rsidR="000128B7">
              <w:rPr>
                <w:noProof/>
                <w:webHidden/>
              </w:rPr>
              <w:instrText xml:space="preserve"> PAGEREF _Toc453621879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5420165D" w14:textId="325AC449"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80" w:history="1">
            <w:r w:rsidR="000128B7" w:rsidRPr="003C50C1">
              <w:rPr>
                <w:rStyle w:val="Hyperlink"/>
                <w:noProof/>
              </w:rPr>
              <w:t>2.2</w:t>
            </w:r>
            <w:r w:rsidR="000128B7">
              <w:rPr>
                <w:rFonts w:asciiTheme="minorHAnsi" w:eastAsiaTheme="minorEastAsia" w:hAnsiTheme="minorHAnsi" w:cstheme="minorBidi"/>
                <w:noProof/>
                <w:sz w:val="22"/>
                <w:szCs w:val="22"/>
              </w:rPr>
              <w:tab/>
            </w:r>
            <w:r w:rsidR="000128B7" w:rsidRPr="003C50C1">
              <w:rPr>
                <w:rStyle w:val="Hyperlink"/>
                <w:noProof/>
              </w:rPr>
              <w:t>Knowledge Management Portal</w:t>
            </w:r>
            <w:r w:rsidR="000128B7">
              <w:rPr>
                <w:noProof/>
                <w:webHidden/>
              </w:rPr>
              <w:tab/>
            </w:r>
            <w:r w:rsidR="000128B7">
              <w:rPr>
                <w:noProof/>
                <w:webHidden/>
              </w:rPr>
              <w:fldChar w:fldCharType="begin"/>
            </w:r>
            <w:r w:rsidR="000128B7">
              <w:rPr>
                <w:noProof/>
                <w:webHidden/>
              </w:rPr>
              <w:instrText xml:space="preserve"> PAGEREF _Toc453621880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6E06CA9E" w14:textId="42B8A0D6"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81" w:history="1">
            <w:r w:rsidR="000128B7" w:rsidRPr="003C50C1">
              <w:rPr>
                <w:rStyle w:val="Hyperlink"/>
                <w:noProof/>
                <w:lang w:bidi="en-US"/>
              </w:rPr>
              <w:t>a)</w:t>
            </w:r>
            <w:r w:rsidR="000128B7">
              <w:rPr>
                <w:rFonts w:asciiTheme="minorHAnsi" w:eastAsiaTheme="minorEastAsia" w:hAnsiTheme="minorHAnsi" w:cstheme="minorBidi"/>
                <w:noProof/>
                <w:sz w:val="22"/>
                <w:szCs w:val="22"/>
              </w:rPr>
              <w:tab/>
            </w:r>
            <w:r w:rsidR="000128B7" w:rsidRPr="003C50C1">
              <w:rPr>
                <w:rStyle w:val="Hyperlink"/>
                <w:noProof/>
                <w:lang w:bidi="en-US"/>
              </w:rPr>
              <w:t>Management Information System (MIS)</w:t>
            </w:r>
            <w:r w:rsidR="000128B7">
              <w:rPr>
                <w:noProof/>
                <w:webHidden/>
              </w:rPr>
              <w:tab/>
            </w:r>
            <w:r w:rsidR="000128B7">
              <w:rPr>
                <w:noProof/>
                <w:webHidden/>
              </w:rPr>
              <w:fldChar w:fldCharType="begin"/>
            </w:r>
            <w:r w:rsidR="000128B7">
              <w:rPr>
                <w:noProof/>
                <w:webHidden/>
              </w:rPr>
              <w:instrText xml:space="preserve"> PAGEREF _Toc453621881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159811A0" w14:textId="351EB3CE"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82" w:history="1">
            <w:r w:rsidR="000128B7" w:rsidRPr="003C50C1">
              <w:rPr>
                <w:rStyle w:val="Hyperlink"/>
                <w:noProof/>
                <w:lang w:bidi="en-US"/>
              </w:rPr>
              <w:t>b)</w:t>
            </w:r>
            <w:r w:rsidR="000128B7">
              <w:rPr>
                <w:rFonts w:asciiTheme="minorHAnsi" w:eastAsiaTheme="minorEastAsia" w:hAnsiTheme="minorHAnsi" w:cstheme="minorBidi"/>
                <w:noProof/>
                <w:sz w:val="22"/>
                <w:szCs w:val="22"/>
              </w:rPr>
              <w:tab/>
            </w:r>
            <w:r w:rsidR="000128B7" w:rsidRPr="003C50C1">
              <w:rPr>
                <w:rStyle w:val="Hyperlink"/>
                <w:noProof/>
                <w:lang w:bidi="en-US"/>
              </w:rPr>
              <w:t>Local Contacts Database</w:t>
            </w:r>
            <w:r w:rsidR="000128B7">
              <w:rPr>
                <w:noProof/>
                <w:webHidden/>
              </w:rPr>
              <w:tab/>
            </w:r>
            <w:r w:rsidR="000128B7">
              <w:rPr>
                <w:noProof/>
                <w:webHidden/>
              </w:rPr>
              <w:fldChar w:fldCharType="begin"/>
            </w:r>
            <w:r w:rsidR="000128B7">
              <w:rPr>
                <w:noProof/>
                <w:webHidden/>
              </w:rPr>
              <w:instrText xml:space="preserve"> PAGEREF _Toc453621882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05E8F547" w14:textId="606F85FD"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83" w:history="1">
            <w:r w:rsidR="000128B7" w:rsidRPr="003C50C1">
              <w:rPr>
                <w:rStyle w:val="Hyperlink"/>
                <w:noProof/>
                <w:lang w:bidi="en-US"/>
              </w:rPr>
              <w:t>c)</w:t>
            </w:r>
            <w:r w:rsidR="000128B7">
              <w:rPr>
                <w:rFonts w:asciiTheme="minorHAnsi" w:eastAsiaTheme="minorEastAsia" w:hAnsiTheme="minorHAnsi" w:cstheme="minorBidi"/>
                <w:noProof/>
                <w:sz w:val="22"/>
                <w:szCs w:val="22"/>
              </w:rPr>
              <w:tab/>
            </w:r>
            <w:r w:rsidR="000128B7" w:rsidRPr="003C50C1">
              <w:rPr>
                <w:rStyle w:val="Hyperlink"/>
                <w:noProof/>
                <w:lang w:bidi="en-US"/>
              </w:rPr>
              <w:t>Document Management System</w:t>
            </w:r>
            <w:r w:rsidR="000128B7">
              <w:rPr>
                <w:noProof/>
                <w:webHidden/>
              </w:rPr>
              <w:tab/>
            </w:r>
            <w:r w:rsidR="000128B7">
              <w:rPr>
                <w:noProof/>
                <w:webHidden/>
              </w:rPr>
              <w:fldChar w:fldCharType="begin"/>
            </w:r>
            <w:r w:rsidR="000128B7">
              <w:rPr>
                <w:noProof/>
                <w:webHidden/>
              </w:rPr>
              <w:instrText xml:space="preserve"> PAGEREF _Toc453621883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55166994" w14:textId="4EEAC8CC"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84" w:history="1">
            <w:r w:rsidR="000128B7" w:rsidRPr="003C50C1">
              <w:rPr>
                <w:rStyle w:val="Hyperlink"/>
                <w:noProof/>
              </w:rPr>
              <w:t>d)</w:t>
            </w:r>
            <w:r w:rsidR="000128B7">
              <w:rPr>
                <w:rFonts w:asciiTheme="minorHAnsi" w:eastAsiaTheme="minorEastAsia" w:hAnsiTheme="minorHAnsi" w:cstheme="minorBidi"/>
                <w:noProof/>
                <w:sz w:val="22"/>
                <w:szCs w:val="22"/>
              </w:rPr>
              <w:tab/>
            </w:r>
            <w:r w:rsidR="000128B7" w:rsidRPr="003C50C1">
              <w:rPr>
                <w:rStyle w:val="Hyperlink"/>
                <w:noProof/>
              </w:rPr>
              <w:t>Reporting System</w:t>
            </w:r>
            <w:r w:rsidR="000128B7">
              <w:rPr>
                <w:noProof/>
                <w:webHidden/>
              </w:rPr>
              <w:tab/>
            </w:r>
            <w:r w:rsidR="000128B7">
              <w:rPr>
                <w:noProof/>
                <w:webHidden/>
              </w:rPr>
              <w:fldChar w:fldCharType="begin"/>
            </w:r>
            <w:r w:rsidR="000128B7">
              <w:rPr>
                <w:noProof/>
                <w:webHidden/>
              </w:rPr>
              <w:instrText xml:space="preserve"> PAGEREF _Toc453621884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57DD22DD" w14:textId="72D4C08C"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85" w:history="1">
            <w:r w:rsidR="000128B7" w:rsidRPr="003C50C1">
              <w:rPr>
                <w:rStyle w:val="Hyperlink"/>
                <w:noProof/>
              </w:rPr>
              <w:t>2.3</w:t>
            </w:r>
            <w:r w:rsidR="000128B7">
              <w:rPr>
                <w:rFonts w:asciiTheme="minorHAnsi" w:eastAsiaTheme="minorEastAsia" w:hAnsiTheme="minorHAnsi" w:cstheme="minorBidi"/>
                <w:noProof/>
                <w:sz w:val="22"/>
                <w:szCs w:val="22"/>
              </w:rPr>
              <w:tab/>
            </w:r>
            <w:r w:rsidR="000128B7" w:rsidRPr="003C50C1">
              <w:rPr>
                <w:rStyle w:val="Hyperlink"/>
                <w:noProof/>
              </w:rPr>
              <w:t>Organizational Development Assessment</w:t>
            </w:r>
            <w:r w:rsidR="000128B7">
              <w:rPr>
                <w:noProof/>
                <w:webHidden/>
              </w:rPr>
              <w:tab/>
            </w:r>
            <w:r w:rsidR="000128B7">
              <w:rPr>
                <w:noProof/>
                <w:webHidden/>
              </w:rPr>
              <w:fldChar w:fldCharType="begin"/>
            </w:r>
            <w:r w:rsidR="000128B7">
              <w:rPr>
                <w:noProof/>
                <w:webHidden/>
              </w:rPr>
              <w:instrText xml:space="preserve"> PAGEREF _Toc453621885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598F58CB" w14:textId="7915CD5B"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86" w:history="1">
            <w:r w:rsidR="000128B7" w:rsidRPr="003C50C1">
              <w:rPr>
                <w:rStyle w:val="Hyperlink"/>
                <w:noProof/>
              </w:rPr>
              <w:t>2.4</w:t>
            </w:r>
            <w:r w:rsidR="000128B7">
              <w:rPr>
                <w:rFonts w:asciiTheme="minorHAnsi" w:eastAsiaTheme="minorEastAsia" w:hAnsiTheme="minorHAnsi" w:cstheme="minorBidi"/>
                <w:noProof/>
                <w:sz w:val="22"/>
                <w:szCs w:val="22"/>
              </w:rPr>
              <w:tab/>
            </w:r>
            <w:r w:rsidR="000128B7" w:rsidRPr="003C50C1">
              <w:rPr>
                <w:rStyle w:val="Hyperlink"/>
                <w:noProof/>
              </w:rPr>
              <w:t>Training, Monitoring, and Evaluation</w:t>
            </w:r>
            <w:r w:rsidR="000128B7">
              <w:rPr>
                <w:noProof/>
                <w:webHidden/>
              </w:rPr>
              <w:tab/>
            </w:r>
            <w:r w:rsidR="000128B7">
              <w:rPr>
                <w:noProof/>
                <w:webHidden/>
              </w:rPr>
              <w:fldChar w:fldCharType="begin"/>
            </w:r>
            <w:r w:rsidR="000128B7">
              <w:rPr>
                <w:noProof/>
                <w:webHidden/>
              </w:rPr>
              <w:instrText xml:space="preserve"> PAGEREF _Toc453621886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6B4E3BC9" w14:textId="01F4D021"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87" w:history="1">
            <w:r w:rsidR="000128B7" w:rsidRPr="003C50C1">
              <w:rPr>
                <w:rStyle w:val="Hyperlink"/>
                <w:noProof/>
              </w:rPr>
              <w:t>2.5</w:t>
            </w:r>
            <w:r w:rsidR="000128B7">
              <w:rPr>
                <w:rFonts w:asciiTheme="minorHAnsi" w:eastAsiaTheme="minorEastAsia" w:hAnsiTheme="minorHAnsi" w:cstheme="minorBidi"/>
                <w:noProof/>
                <w:sz w:val="22"/>
                <w:szCs w:val="22"/>
              </w:rPr>
              <w:tab/>
            </w:r>
            <w:r w:rsidR="000128B7" w:rsidRPr="003C50C1">
              <w:rPr>
                <w:rStyle w:val="Hyperlink"/>
                <w:noProof/>
              </w:rPr>
              <w:t>Advocacy Tracking Matrix</w:t>
            </w:r>
            <w:r w:rsidR="000128B7">
              <w:rPr>
                <w:noProof/>
                <w:webHidden/>
              </w:rPr>
              <w:tab/>
            </w:r>
            <w:r w:rsidR="000128B7">
              <w:rPr>
                <w:noProof/>
                <w:webHidden/>
              </w:rPr>
              <w:fldChar w:fldCharType="begin"/>
            </w:r>
            <w:r w:rsidR="000128B7">
              <w:rPr>
                <w:noProof/>
                <w:webHidden/>
              </w:rPr>
              <w:instrText xml:space="preserve"> PAGEREF _Toc453621887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33587845" w14:textId="032F260B"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88" w:history="1">
            <w:r w:rsidR="000128B7" w:rsidRPr="003C50C1">
              <w:rPr>
                <w:rStyle w:val="Hyperlink"/>
                <w:noProof/>
              </w:rPr>
              <w:t>2.6</w:t>
            </w:r>
            <w:r w:rsidR="000128B7">
              <w:rPr>
                <w:rFonts w:asciiTheme="minorHAnsi" w:eastAsiaTheme="minorEastAsia" w:hAnsiTheme="minorHAnsi" w:cstheme="minorBidi"/>
                <w:noProof/>
                <w:sz w:val="22"/>
                <w:szCs w:val="22"/>
              </w:rPr>
              <w:tab/>
            </w:r>
            <w:r w:rsidR="000128B7" w:rsidRPr="003C50C1">
              <w:rPr>
                <w:rStyle w:val="Hyperlink"/>
                <w:noProof/>
              </w:rPr>
              <w:t>Grant Monitoring and Evaluation</w:t>
            </w:r>
            <w:r w:rsidR="000128B7">
              <w:rPr>
                <w:noProof/>
                <w:webHidden/>
              </w:rPr>
              <w:tab/>
            </w:r>
            <w:r w:rsidR="000128B7">
              <w:rPr>
                <w:noProof/>
                <w:webHidden/>
              </w:rPr>
              <w:fldChar w:fldCharType="begin"/>
            </w:r>
            <w:r w:rsidR="000128B7">
              <w:rPr>
                <w:noProof/>
                <w:webHidden/>
              </w:rPr>
              <w:instrText xml:space="preserve"> PAGEREF _Toc453621888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640AB86B" w14:textId="376AB7FB"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89" w:history="1">
            <w:r w:rsidR="000128B7" w:rsidRPr="003C50C1">
              <w:rPr>
                <w:rStyle w:val="Hyperlink"/>
                <w:noProof/>
              </w:rPr>
              <w:t>2.7</w:t>
            </w:r>
            <w:r w:rsidR="000128B7">
              <w:rPr>
                <w:rFonts w:asciiTheme="minorHAnsi" w:eastAsiaTheme="minorEastAsia" w:hAnsiTheme="minorHAnsi" w:cstheme="minorBidi"/>
                <w:noProof/>
                <w:sz w:val="22"/>
                <w:szCs w:val="22"/>
              </w:rPr>
              <w:tab/>
            </w:r>
            <w:r w:rsidR="000128B7" w:rsidRPr="003C50C1">
              <w:rPr>
                <w:rStyle w:val="Hyperlink"/>
                <w:noProof/>
              </w:rPr>
              <w:t>Ensuring Data Quality</w:t>
            </w:r>
            <w:r w:rsidR="000128B7">
              <w:rPr>
                <w:noProof/>
                <w:webHidden/>
              </w:rPr>
              <w:tab/>
            </w:r>
            <w:r w:rsidR="000128B7">
              <w:rPr>
                <w:noProof/>
                <w:webHidden/>
              </w:rPr>
              <w:fldChar w:fldCharType="begin"/>
            </w:r>
            <w:r w:rsidR="000128B7">
              <w:rPr>
                <w:noProof/>
                <w:webHidden/>
              </w:rPr>
              <w:instrText xml:space="preserve"> PAGEREF _Toc453621889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0A51DA69" w14:textId="4CE39985"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90" w:history="1">
            <w:r w:rsidR="000128B7" w:rsidRPr="003C50C1">
              <w:rPr>
                <w:rStyle w:val="Hyperlink"/>
                <w:noProof/>
              </w:rPr>
              <w:t>2.8</w:t>
            </w:r>
            <w:r w:rsidR="000128B7">
              <w:rPr>
                <w:rFonts w:asciiTheme="minorHAnsi" w:eastAsiaTheme="minorEastAsia" w:hAnsiTheme="minorHAnsi" w:cstheme="minorBidi"/>
                <w:noProof/>
                <w:sz w:val="22"/>
                <w:szCs w:val="22"/>
              </w:rPr>
              <w:tab/>
            </w:r>
            <w:r w:rsidR="000128B7" w:rsidRPr="003C50C1">
              <w:rPr>
                <w:rStyle w:val="Hyperlink"/>
                <w:noProof/>
              </w:rPr>
              <w:t>Learning through M&amp;E</w:t>
            </w:r>
            <w:r w:rsidR="000128B7">
              <w:rPr>
                <w:noProof/>
                <w:webHidden/>
              </w:rPr>
              <w:tab/>
            </w:r>
            <w:r w:rsidR="000128B7">
              <w:rPr>
                <w:noProof/>
                <w:webHidden/>
              </w:rPr>
              <w:fldChar w:fldCharType="begin"/>
            </w:r>
            <w:r w:rsidR="000128B7">
              <w:rPr>
                <w:noProof/>
                <w:webHidden/>
              </w:rPr>
              <w:instrText xml:space="preserve"> PAGEREF _Toc453621890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01349317" w14:textId="5F4B509C" w:rsidR="000128B7" w:rsidRDefault="00DD3CAE">
          <w:pPr>
            <w:pStyle w:val="TOC2"/>
            <w:tabs>
              <w:tab w:val="left" w:pos="880"/>
              <w:tab w:val="right" w:leader="dot" w:pos="9350"/>
            </w:tabs>
            <w:rPr>
              <w:rFonts w:asciiTheme="minorHAnsi" w:eastAsiaTheme="minorEastAsia" w:hAnsiTheme="minorHAnsi" w:cstheme="minorBidi"/>
              <w:noProof/>
              <w:sz w:val="22"/>
              <w:szCs w:val="22"/>
            </w:rPr>
          </w:pPr>
          <w:hyperlink w:anchor="_Toc453621891" w:history="1">
            <w:r w:rsidR="000128B7" w:rsidRPr="003C50C1">
              <w:rPr>
                <w:rStyle w:val="Hyperlink"/>
                <w:noProof/>
              </w:rPr>
              <w:t>2.9</w:t>
            </w:r>
            <w:r w:rsidR="000128B7">
              <w:rPr>
                <w:rFonts w:asciiTheme="minorHAnsi" w:eastAsiaTheme="minorEastAsia" w:hAnsiTheme="minorHAnsi" w:cstheme="minorBidi"/>
                <w:noProof/>
                <w:sz w:val="22"/>
                <w:szCs w:val="22"/>
              </w:rPr>
              <w:tab/>
            </w:r>
            <w:r w:rsidR="000128B7" w:rsidRPr="003C50C1">
              <w:rPr>
                <w:rStyle w:val="Hyperlink"/>
                <w:noProof/>
              </w:rPr>
              <w:t>Reporting</w:t>
            </w:r>
            <w:r w:rsidR="000128B7">
              <w:rPr>
                <w:noProof/>
                <w:webHidden/>
              </w:rPr>
              <w:tab/>
            </w:r>
            <w:r w:rsidR="000128B7">
              <w:rPr>
                <w:noProof/>
                <w:webHidden/>
              </w:rPr>
              <w:fldChar w:fldCharType="begin"/>
            </w:r>
            <w:r w:rsidR="000128B7">
              <w:rPr>
                <w:noProof/>
                <w:webHidden/>
              </w:rPr>
              <w:instrText xml:space="preserve"> PAGEREF _Toc453621891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58FB7B86" w14:textId="769298AD"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92" w:history="1">
            <w:r w:rsidR="000128B7" w:rsidRPr="003C50C1">
              <w:rPr>
                <w:rStyle w:val="Hyperlink"/>
                <w:noProof/>
              </w:rPr>
              <w:t>a)</w:t>
            </w:r>
            <w:r w:rsidR="000128B7">
              <w:rPr>
                <w:rFonts w:asciiTheme="minorHAnsi" w:eastAsiaTheme="minorEastAsia" w:hAnsiTheme="minorHAnsi" w:cstheme="minorBidi"/>
                <w:noProof/>
                <w:sz w:val="22"/>
                <w:szCs w:val="22"/>
              </w:rPr>
              <w:tab/>
            </w:r>
            <w:r w:rsidR="000128B7" w:rsidRPr="003C50C1">
              <w:rPr>
                <w:rStyle w:val="Hyperlink"/>
                <w:noProof/>
              </w:rPr>
              <w:t>Annual Work Plans</w:t>
            </w:r>
            <w:r w:rsidR="000128B7">
              <w:rPr>
                <w:noProof/>
                <w:webHidden/>
              </w:rPr>
              <w:tab/>
            </w:r>
            <w:r w:rsidR="000128B7">
              <w:rPr>
                <w:noProof/>
                <w:webHidden/>
              </w:rPr>
              <w:fldChar w:fldCharType="begin"/>
            </w:r>
            <w:r w:rsidR="000128B7">
              <w:rPr>
                <w:noProof/>
                <w:webHidden/>
              </w:rPr>
              <w:instrText xml:space="preserve"> PAGEREF _Toc453621892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42BE96ED" w14:textId="7C1F451E"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93" w:history="1">
            <w:r w:rsidR="000128B7" w:rsidRPr="003C50C1">
              <w:rPr>
                <w:rStyle w:val="Hyperlink"/>
                <w:noProof/>
              </w:rPr>
              <w:t>b)</w:t>
            </w:r>
            <w:r w:rsidR="000128B7">
              <w:rPr>
                <w:rFonts w:asciiTheme="minorHAnsi" w:eastAsiaTheme="minorEastAsia" w:hAnsiTheme="minorHAnsi" w:cstheme="minorBidi"/>
                <w:noProof/>
                <w:sz w:val="22"/>
                <w:szCs w:val="22"/>
              </w:rPr>
              <w:tab/>
            </w:r>
            <w:r w:rsidR="000128B7" w:rsidRPr="003C50C1">
              <w:rPr>
                <w:rStyle w:val="Hyperlink"/>
                <w:noProof/>
              </w:rPr>
              <w:t>Quarterly Performance Reports</w:t>
            </w:r>
            <w:r w:rsidR="000128B7">
              <w:rPr>
                <w:noProof/>
                <w:webHidden/>
              </w:rPr>
              <w:tab/>
            </w:r>
            <w:r w:rsidR="000128B7">
              <w:rPr>
                <w:noProof/>
                <w:webHidden/>
              </w:rPr>
              <w:fldChar w:fldCharType="begin"/>
            </w:r>
            <w:r w:rsidR="000128B7">
              <w:rPr>
                <w:noProof/>
                <w:webHidden/>
              </w:rPr>
              <w:instrText xml:space="preserve"> PAGEREF _Toc453621893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24B0DFD6" w14:textId="0D1A9A56"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94" w:history="1">
            <w:r w:rsidR="000128B7" w:rsidRPr="003C50C1">
              <w:rPr>
                <w:rStyle w:val="Hyperlink"/>
                <w:noProof/>
                <w:lang w:eastAsia="en-GB"/>
              </w:rPr>
              <w:t>c)</w:t>
            </w:r>
            <w:r w:rsidR="000128B7">
              <w:rPr>
                <w:rFonts w:asciiTheme="minorHAnsi" w:eastAsiaTheme="minorEastAsia" w:hAnsiTheme="minorHAnsi" w:cstheme="minorBidi"/>
                <w:noProof/>
                <w:sz w:val="22"/>
                <w:szCs w:val="22"/>
              </w:rPr>
              <w:tab/>
            </w:r>
            <w:r w:rsidR="000128B7" w:rsidRPr="003C50C1">
              <w:rPr>
                <w:rStyle w:val="Hyperlink"/>
                <w:noProof/>
                <w:lang w:eastAsia="en-GB"/>
              </w:rPr>
              <w:t xml:space="preserve">Quarterly </w:t>
            </w:r>
            <w:r w:rsidR="000128B7" w:rsidRPr="003C50C1">
              <w:rPr>
                <w:rStyle w:val="Hyperlink"/>
                <w:noProof/>
              </w:rPr>
              <w:t>Financial</w:t>
            </w:r>
            <w:r w:rsidR="000128B7" w:rsidRPr="003C50C1">
              <w:rPr>
                <w:rStyle w:val="Hyperlink"/>
                <w:noProof/>
                <w:lang w:eastAsia="en-GB"/>
              </w:rPr>
              <w:t xml:space="preserve"> Reports</w:t>
            </w:r>
            <w:r w:rsidR="000128B7">
              <w:rPr>
                <w:noProof/>
                <w:webHidden/>
              </w:rPr>
              <w:tab/>
            </w:r>
            <w:r w:rsidR="000128B7">
              <w:rPr>
                <w:noProof/>
                <w:webHidden/>
              </w:rPr>
              <w:fldChar w:fldCharType="begin"/>
            </w:r>
            <w:r w:rsidR="000128B7">
              <w:rPr>
                <w:noProof/>
                <w:webHidden/>
              </w:rPr>
              <w:instrText xml:space="preserve"> PAGEREF _Toc453621894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3087D123" w14:textId="13B167FE"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95" w:history="1">
            <w:r w:rsidR="000128B7" w:rsidRPr="003C50C1">
              <w:rPr>
                <w:rStyle w:val="Hyperlink"/>
                <w:noProof/>
                <w:lang w:eastAsia="en-GB"/>
              </w:rPr>
              <w:t>d)</w:t>
            </w:r>
            <w:r w:rsidR="000128B7">
              <w:rPr>
                <w:rFonts w:asciiTheme="minorHAnsi" w:eastAsiaTheme="minorEastAsia" w:hAnsiTheme="minorHAnsi" w:cstheme="minorBidi"/>
                <w:noProof/>
                <w:sz w:val="22"/>
                <w:szCs w:val="22"/>
              </w:rPr>
              <w:tab/>
            </w:r>
            <w:r w:rsidR="000128B7" w:rsidRPr="003C50C1">
              <w:rPr>
                <w:rStyle w:val="Hyperlink"/>
                <w:noProof/>
                <w:lang w:eastAsia="en-GB"/>
              </w:rPr>
              <w:t>End-of-</w:t>
            </w:r>
            <w:r w:rsidR="000128B7" w:rsidRPr="003C50C1">
              <w:rPr>
                <w:rStyle w:val="Hyperlink"/>
                <w:noProof/>
              </w:rPr>
              <w:t>Project</w:t>
            </w:r>
            <w:r w:rsidR="000128B7" w:rsidRPr="003C50C1">
              <w:rPr>
                <w:rStyle w:val="Hyperlink"/>
                <w:noProof/>
                <w:lang w:eastAsia="en-GB"/>
              </w:rPr>
              <w:t xml:space="preserve"> Report</w:t>
            </w:r>
            <w:r w:rsidR="000128B7">
              <w:rPr>
                <w:noProof/>
                <w:webHidden/>
              </w:rPr>
              <w:tab/>
            </w:r>
            <w:r w:rsidR="000128B7">
              <w:rPr>
                <w:noProof/>
                <w:webHidden/>
              </w:rPr>
              <w:fldChar w:fldCharType="begin"/>
            </w:r>
            <w:r w:rsidR="000128B7">
              <w:rPr>
                <w:noProof/>
                <w:webHidden/>
              </w:rPr>
              <w:instrText xml:space="preserve"> PAGEREF _Toc453621895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656EEEA0" w14:textId="4F319E4A" w:rsidR="000128B7" w:rsidRDefault="00DD3CAE">
          <w:pPr>
            <w:pStyle w:val="TOC3"/>
            <w:tabs>
              <w:tab w:val="left" w:pos="1100"/>
              <w:tab w:val="right" w:leader="dot" w:pos="9350"/>
            </w:tabs>
            <w:rPr>
              <w:rFonts w:asciiTheme="minorHAnsi" w:eastAsiaTheme="minorEastAsia" w:hAnsiTheme="minorHAnsi" w:cstheme="minorBidi"/>
              <w:noProof/>
              <w:sz w:val="22"/>
              <w:szCs w:val="22"/>
            </w:rPr>
          </w:pPr>
          <w:hyperlink w:anchor="_Toc453621896" w:history="1">
            <w:r w:rsidR="000128B7" w:rsidRPr="003C50C1">
              <w:rPr>
                <w:rStyle w:val="Hyperlink"/>
                <w:noProof/>
              </w:rPr>
              <w:t>e)</w:t>
            </w:r>
            <w:r w:rsidR="000128B7">
              <w:rPr>
                <w:rFonts w:asciiTheme="minorHAnsi" w:eastAsiaTheme="minorEastAsia" w:hAnsiTheme="minorHAnsi" w:cstheme="minorBidi"/>
                <w:noProof/>
                <w:sz w:val="22"/>
                <w:szCs w:val="22"/>
              </w:rPr>
              <w:tab/>
            </w:r>
            <w:r w:rsidR="000128B7" w:rsidRPr="003C50C1">
              <w:rPr>
                <w:rStyle w:val="Hyperlink"/>
                <w:noProof/>
                <w:lang w:eastAsia="en-GB"/>
              </w:rPr>
              <w:t>Lessons</w:t>
            </w:r>
            <w:r w:rsidR="000128B7" w:rsidRPr="003C50C1">
              <w:rPr>
                <w:rStyle w:val="Hyperlink"/>
                <w:noProof/>
              </w:rPr>
              <w:t xml:space="preserve"> Learned Documentation</w:t>
            </w:r>
            <w:r w:rsidR="000128B7">
              <w:rPr>
                <w:noProof/>
                <w:webHidden/>
              </w:rPr>
              <w:tab/>
            </w:r>
            <w:r w:rsidR="000128B7">
              <w:rPr>
                <w:noProof/>
                <w:webHidden/>
              </w:rPr>
              <w:fldChar w:fldCharType="begin"/>
            </w:r>
            <w:r w:rsidR="000128B7">
              <w:rPr>
                <w:noProof/>
                <w:webHidden/>
              </w:rPr>
              <w:instrText xml:space="preserve"> PAGEREF _Toc453621896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6BC551D4" w14:textId="347FCD13" w:rsidR="000128B7" w:rsidRDefault="00DD3CAE">
          <w:pPr>
            <w:pStyle w:val="TOC2"/>
            <w:tabs>
              <w:tab w:val="left" w:pos="1100"/>
              <w:tab w:val="right" w:leader="dot" w:pos="9350"/>
            </w:tabs>
            <w:rPr>
              <w:rFonts w:asciiTheme="minorHAnsi" w:eastAsiaTheme="minorEastAsia" w:hAnsiTheme="minorHAnsi" w:cstheme="minorBidi"/>
              <w:noProof/>
              <w:sz w:val="22"/>
              <w:szCs w:val="22"/>
            </w:rPr>
          </w:pPr>
          <w:hyperlink w:anchor="_Toc453621897" w:history="1">
            <w:r w:rsidR="000128B7" w:rsidRPr="003C50C1">
              <w:rPr>
                <w:rStyle w:val="Hyperlink"/>
                <w:rFonts w:asciiTheme="majorBidi" w:hAnsiTheme="majorBidi"/>
                <w:noProof/>
              </w:rPr>
              <w:t>2.10</w:t>
            </w:r>
            <w:r w:rsidR="000128B7">
              <w:rPr>
                <w:rFonts w:asciiTheme="minorHAnsi" w:eastAsiaTheme="minorEastAsia" w:hAnsiTheme="minorHAnsi" w:cstheme="minorBidi"/>
                <w:noProof/>
                <w:sz w:val="22"/>
                <w:szCs w:val="22"/>
              </w:rPr>
              <w:tab/>
            </w:r>
            <w:r w:rsidR="000128B7" w:rsidRPr="003C50C1">
              <w:rPr>
                <w:rStyle w:val="Hyperlink"/>
                <w:noProof/>
              </w:rPr>
              <w:t>Evaluations</w:t>
            </w:r>
            <w:r w:rsidR="000128B7">
              <w:rPr>
                <w:noProof/>
                <w:webHidden/>
              </w:rPr>
              <w:tab/>
            </w:r>
            <w:r w:rsidR="000128B7">
              <w:rPr>
                <w:noProof/>
                <w:webHidden/>
              </w:rPr>
              <w:fldChar w:fldCharType="begin"/>
            </w:r>
            <w:r w:rsidR="000128B7">
              <w:rPr>
                <w:noProof/>
                <w:webHidden/>
              </w:rPr>
              <w:instrText xml:space="preserve"> PAGEREF _Toc453621897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0BE12CD4" w14:textId="495BD0CF" w:rsidR="000128B7" w:rsidRDefault="00DD3CAE">
          <w:pPr>
            <w:pStyle w:val="TOC1"/>
            <w:rPr>
              <w:rFonts w:asciiTheme="minorHAnsi" w:eastAsiaTheme="minorEastAsia" w:hAnsiTheme="minorHAnsi" w:cstheme="minorBidi"/>
              <w:b w:val="0"/>
              <w:bCs w:val="0"/>
              <w:caps w:val="0"/>
              <w:noProof/>
              <w:sz w:val="22"/>
              <w:szCs w:val="22"/>
              <w:lang w:bidi="ar-SA"/>
            </w:rPr>
          </w:pPr>
          <w:hyperlink w:anchor="_Toc453621898" w:history="1">
            <w:r w:rsidR="000128B7" w:rsidRPr="003C50C1">
              <w:rPr>
                <w:rStyle w:val="Hyperlink"/>
                <w:noProof/>
              </w:rPr>
              <w:t>Annex A Performance Indicator Tracking Table</w:t>
            </w:r>
            <w:r w:rsidR="000128B7">
              <w:rPr>
                <w:noProof/>
                <w:webHidden/>
              </w:rPr>
              <w:tab/>
            </w:r>
            <w:r w:rsidR="000128B7">
              <w:rPr>
                <w:noProof/>
                <w:webHidden/>
              </w:rPr>
              <w:fldChar w:fldCharType="begin"/>
            </w:r>
            <w:r w:rsidR="000128B7">
              <w:rPr>
                <w:noProof/>
                <w:webHidden/>
              </w:rPr>
              <w:instrText xml:space="preserve"> PAGEREF _Toc453621898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58816967" w14:textId="0E264B2A" w:rsidR="000128B7" w:rsidRDefault="00DD3CAE">
          <w:pPr>
            <w:pStyle w:val="TOC1"/>
            <w:rPr>
              <w:rFonts w:asciiTheme="minorHAnsi" w:eastAsiaTheme="minorEastAsia" w:hAnsiTheme="minorHAnsi" w:cstheme="minorBidi"/>
              <w:b w:val="0"/>
              <w:bCs w:val="0"/>
              <w:caps w:val="0"/>
              <w:noProof/>
              <w:sz w:val="22"/>
              <w:szCs w:val="22"/>
              <w:lang w:bidi="ar-SA"/>
            </w:rPr>
          </w:pPr>
          <w:hyperlink w:anchor="_Toc453621899" w:history="1">
            <w:r w:rsidR="000128B7" w:rsidRPr="003C50C1">
              <w:rPr>
                <w:rStyle w:val="Hyperlink"/>
                <w:noProof/>
              </w:rPr>
              <w:t>Annex B Performance Indicator Reference Sheet</w:t>
            </w:r>
            <w:r w:rsidR="000128B7">
              <w:rPr>
                <w:noProof/>
                <w:webHidden/>
              </w:rPr>
              <w:tab/>
            </w:r>
            <w:r w:rsidR="000128B7">
              <w:rPr>
                <w:noProof/>
                <w:webHidden/>
              </w:rPr>
              <w:fldChar w:fldCharType="begin"/>
            </w:r>
            <w:r w:rsidR="000128B7">
              <w:rPr>
                <w:noProof/>
                <w:webHidden/>
              </w:rPr>
              <w:instrText xml:space="preserve"> PAGEREF _Toc453621899 \h </w:instrText>
            </w:r>
            <w:r w:rsidR="000128B7">
              <w:rPr>
                <w:noProof/>
                <w:webHidden/>
              </w:rPr>
            </w:r>
            <w:r w:rsidR="000128B7">
              <w:rPr>
                <w:noProof/>
                <w:webHidden/>
              </w:rPr>
              <w:fldChar w:fldCharType="separate"/>
            </w:r>
            <w:r w:rsidR="004103A3">
              <w:rPr>
                <w:noProof/>
                <w:webHidden/>
              </w:rPr>
              <w:t>1</w:t>
            </w:r>
            <w:r w:rsidR="000128B7">
              <w:rPr>
                <w:noProof/>
                <w:webHidden/>
              </w:rPr>
              <w:fldChar w:fldCharType="end"/>
            </w:r>
          </w:hyperlink>
        </w:p>
        <w:p w14:paraId="03DDA041" w14:textId="30E41D2D" w:rsidR="006F282B" w:rsidRDefault="00CB00BE" w:rsidP="006F282B">
          <w:pPr>
            <w:pStyle w:val="TOCHeading"/>
            <w:ind w:left="0" w:firstLine="0"/>
            <w:rPr>
              <w:noProof/>
            </w:rPr>
          </w:pPr>
          <w:r>
            <w:rPr>
              <w:b w:val="0"/>
              <w:bCs w:val="0"/>
              <w:noProof/>
            </w:rPr>
            <w:fldChar w:fldCharType="end"/>
          </w:r>
        </w:p>
      </w:sdtContent>
    </w:sdt>
    <w:bookmarkEnd w:id="2" w:displacedByCustomXml="prev"/>
    <w:bookmarkEnd w:id="1" w:displacedByCustomXml="prev"/>
    <w:p w14:paraId="32F77292" w14:textId="77777777" w:rsidR="000128B7" w:rsidRDefault="000128B7" w:rsidP="006F282B">
      <w:pPr>
        <w:pStyle w:val="TOCHeading"/>
        <w:ind w:left="0" w:firstLine="0"/>
        <w:rPr>
          <w:caps w:val="0"/>
        </w:rPr>
        <w:sectPr w:rsidR="000128B7" w:rsidSect="000128B7">
          <w:pgSz w:w="12240" w:h="15840"/>
          <w:pgMar w:top="1440" w:right="1440" w:bottom="1440" w:left="1440" w:header="720" w:footer="720" w:gutter="0"/>
          <w:pgNumType w:fmt="lowerRoman" w:start="1"/>
          <w:cols w:space="720"/>
          <w:docGrid w:linePitch="360"/>
        </w:sectPr>
      </w:pPr>
      <w:bookmarkStart w:id="5" w:name="_Toc379798516"/>
      <w:bookmarkStart w:id="6" w:name="_Toc453621869"/>
    </w:p>
    <w:p w14:paraId="5F52B84F" w14:textId="08B23883" w:rsidR="007010BC" w:rsidRDefault="007010BC" w:rsidP="006F282B">
      <w:pPr>
        <w:pStyle w:val="TOCHeading"/>
        <w:ind w:left="0" w:firstLine="0"/>
        <w:rPr>
          <w:caps w:val="0"/>
        </w:rPr>
      </w:pPr>
      <w:r w:rsidRPr="006F282B">
        <w:rPr>
          <w:caps w:val="0"/>
        </w:rPr>
        <w:t>List of Acronyms</w:t>
      </w:r>
      <w:bookmarkEnd w:id="5"/>
      <w:bookmarkEnd w:id="6"/>
    </w:p>
    <w:p w14:paraId="666CBBFC" w14:textId="77777777" w:rsidR="004A080A" w:rsidRPr="00B20EB3" w:rsidRDefault="004A080A" w:rsidP="006F282B"/>
    <w:tbl>
      <w:tblPr>
        <w:tblW w:w="0" w:type="auto"/>
        <w:tblLook w:val="04A0" w:firstRow="1" w:lastRow="0" w:firstColumn="1" w:lastColumn="0" w:noHBand="0" w:noVBand="1"/>
      </w:tblPr>
      <w:tblGrid>
        <w:gridCol w:w="1705"/>
        <w:gridCol w:w="7645"/>
      </w:tblGrid>
      <w:tr w:rsidR="006929B6" w14:paraId="5EB82D77" w14:textId="77777777" w:rsidTr="006929B6">
        <w:tc>
          <w:tcPr>
            <w:tcW w:w="1705" w:type="dxa"/>
            <w:shd w:val="clear" w:color="auto" w:fill="auto"/>
          </w:tcPr>
          <w:p w14:paraId="2D76B0AE" w14:textId="77777777" w:rsidR="006929B6" w:rsidRPr="00B2162D" w:rsidRDefault="006929B6" w:rsidP="006929B6">
            <w:pPr>
              <w:suppressAutoHyphens/>
              <w:rPr>
                <w:rFonts w:ascii="Times New Roman" w:hAnsi="Times New Roman"/>
              </w:rPr>
            </w:pPr>
            <w:r w:rsidRPr="00B2162D">
              <w:rPr>
                <w:rFonts w:ascii="Times New Roman" w:hAnsi="Times New Roman"/>
              </w:rPr>
              <w:t>AARs</w:t>
            </w:r>
          </w:p>
        </w:tc>
        <w:tc>
          <w:tcPr>
            <w:tcW w:w="7645" w:type="dxa"/>
            <w:shd w:val="clear" w:color="auto" w:fill="auto"/>
          </w:tcPr>
          <w:p w14:paraId="3D64CA78" w14:textId="77777777" w:rsidR="006929B6" w:rsidRPr="00B2162D" w:rsidRDefault="006929B6" w:rsidP="006929B6">
            <w:pPr>
              <w:suppressAutoHyphens/>
              <w:rPr>
                <w:rFonts w:ascii="Times New Roman" w:hAnsi="Times New Roman"/>
              </w:rPr>
            </w:pPr>
            <w:r w:rsidRPr="00B2162D">
              <w:rPr>
                <w:rFonts w:ascii="Times New Roman" w:hAnsi="Times New Roman"/>
              </w:rPr>
              <w:t>After Action Reviews</w:t>
            </w:r>
          </w:p>
        </w:tc>
      </w:tr>
      <w:tr w:rsidR="006929B6" w14:paraId="48EC5DCD" w14:textId="77777777" w:rsidTr="006929B6">
        <w:tc>
          <w:tcPr>
            <w:tcW w:w="1705" w:type="dxa"/>
            <w:shd w:val="clear" w:color="auto" w:fill="auto"/>
          </w:tcPr>
          <w:p w14:paraId="5AB52032" w14:textId="77777777" w:rsidR="006929B6" w:rsidRPr="00B2162D" w:rsidRDefault="006929B6" w:rsidP="006929B6">
            <w:pPr>
              <w:suppressAutoHyphens/>
              <w:rPr>
                <w:rFonts w:ascii="Times New Roman" w:hAnsi="Times New Roman"/>
              </w:rPr>
            </w:pPr>
            <w:r w:rsidRPr="00B2162D">
              <w:rPr>
                <w:rFonts w:ascii="Times New Roman" w:hAnsi="Times New Roman"/>
              </w:rPr>
              <w:t>ADS</w:t>
            </w:r>
          </w:p>
        </w:tc>
        <w:tc>
          <w:tcPr>
            <w:tcW w:w="7645" w:type="dxa"/>
            <w:shd w:val="clear" w:color="auto" w:fill="auto"/>
          </w:tcPr>
          <w:p w14:paraId="71A10291" w14:textId="77777777" w:rsidR="006929B6" w:rsidRPr="00B2162D" w:rsidRDefault="006929B6" w:rsidP="006929B6">
            <w:pPr>
              <w:suppressAutoHyphens/>
              <w:rPr>
                <w:rFonts w:ascii="Times New Roman" w:hAnsi="Times New Roman"/>
              </w:rPr>
            </w:pPr>
            <w:r w:rsidRPr="00B2162D">
              <w:rPr>
                <w:rFonts w:ascii="Times New Roman" w:hAnsi="Times New Roman"/>
              </w:rPr>
              <w:t>Automated Directives System</w:t>
            </w:r>
          </w:p>
        </w:tc>
      </w:tr>
      <w:tr w:rsidR="006929B6" w14:paraId="5604376F" w14:textId="77777777" w:rsidTr="006929B6">
        <w:tc>
          <w:tcPr>
            <w:tcW w:w="1705" w:type="dxa"/>
            <w:shd w:val="clear" w:color="auto" w:fill="auto"/>
          </w:tcPr>
          <w:p w14:paraId="2ED75552" w14:textId="77777777" w:rsidR="006929B6" w:rsidRPr="00B2162D" w:rsidRDefault="006929B6" w:rsidP="006929B6">
            <w:pPr>
              <w:suppressAutoHyphens/>
              <w:rPr>
                <w:rFonts w:ascii="Times New Roman" w:hAnsi="Times New Roman"/>
              </w:rPr>
            </w:pPr>
            <w:r w:rsidRPr="00B2162D">
              <w:rPr>
                <w:rFonts w:ascii="Times New Roman" w:hAnsi="Times New Roman"/>
              </w:rPr>
              <w:t>AOR</w:t>
            </w:r>
          </w:p>
        </w:tc>
        <w:tc>
          <w:tcPr>
            <w:tcW w:w="7645" w:type="dxa"/>
            <w:shd w:val="clear" w:color="auto" w:fill="auto"/>
          </w:tcPr>
          <w:p w14:paraId="15F0E815" w14:textId="77777777" w:rsidR="006929B6" w:rsidRPr="00B2162D" w:rsidRDefault="006929B6" w:rsidP="006929B6">
            <w:pPr>
              <w:suppressAutoHyphens/>
              <w:rPr>
                <w:rFonts w:ascii="Times New Roman" w:hAnsi="Times New Roman"/>
              </w:rPr>
            </w:pPr>
            <w:r w:rsidRPr="00B2162D">
              <w:rPr>
                <w:rFonts w:ascii="Times New Roman" w:hAnsi="Times New Roman"/>
              </w:rPr>
              <w:t>Agreement Officer Representative</w:t>
            </w:r>
          </w:p>
        </w:tc>
      </w:tr>
      <w:tr w:rsidR="006929B6" w14:paraId="223555A1" w14:textId="77777777" w:rsidTr="006929B6">
        <w:tc>
          <w:tcPr>
            <w:tcW w:w="1705" w:type="dxa"/>
            <w:shd w:val="clear" w:color="auto" w:fill="auto"/>
          </w:tcPr>
          <w:p w14:paraId="7ACF73F0" w14:textId="77777777" w:rsidR="006929B6" w:rsidRPr="00B2162D" w:rsidRDefault="006929B6" w:rsidP="006929B6">
            <w:pPr>
              <w:suppressAutoHyphens/>
              <w:rPr>
                <w:rFonts w:ascii="Times New Roman" w:hAnsi="Times New Roman"/>
              </w:rPr>
            </w:pPr>
            <w:r w:rsidRPr="00B2162D">
              <w:rPr>
                <w:rFonts w:ascii="Times New Roman" w:hAnsi="Times New Roman"/>
              </w:rPr>
              <w:t>AWP</w:t>
            </w:r>
          </w:p>
        </w:tc>
        <w:tc>
          <w:tcPr>
            <w:tcW w:w="7645" w:type="dxa"/>
            <w:shd w:val="clear" w:color="auto" w:fill="auto"/>
          </w:tcPr>
          <w:p w14:paraId="039FBD7F" w14:textId="77777777" w:rsidR="006929B6" w:rsidRPr="00B2162D" w:rsidRDefault="006929B6" w:rsidP="006929B6">
            <w:pPr>
              <w:suppressAutoHyphens/>
              <w:rPr>
                <w:rFonts w:ascii="Times New Roman" w:hAnsi="Times New Roman"/>
              </w:rPr>
            </w:pPr>
            <w:r w:rsidRPr="00B2162D">
              <w:rPr>
                <w:rFonts w:ascii="Times New Roman" w:hAnsi="Times New Roman"/>
              </w:rPr>
              <w:t>Annual Work Plan</w:t>
            </w:r>
          </w:p>
        </w:tc>
      </w:tr>
      <w:tr w:rsidR="006929B6" w14:paraId="21709CF7" w14:textId="77777777" w:rsidTr="006929B6">
        <w:tc>
          <w:tcPr>
            <w:tcW w:w="1705" w:type="dxa"/>
            <w:shd w:val="clear" w:color="auto" w:fill="auto"/>
          </w:tcPr>
          <w:p w14:paraId="75E13BF1" w14:textId="77777777" w:rsidR="006929B6" w:rsidRPr="00B2162D" w:rsidRDefault="006929B6" w:rsidP="006929B6">
            <w:pPr>
              <w:suppressAutoHyphens/>
              <w:rPr>
                <w:rFonts w:ascii="Times New Roman" w:hAnsi="Times New Roman"/>
              </w:rPr>
            </w:pPr>
            <w:r w:rsidRPr="00B2162D">
              <w:rPr>
                <w:rFonts w:ascii="Times New Roman" w:hAnsi="Times New Roman"/>
              </w:rPr>
              <w:t>CBOs</w:t>
            </w:r>
          </w:p>
        </w:tc>
        <w:tc>
          <w:tcPr>
            <w:tcW w:w="7645" w:type="dxa"/>
            <w:shd w:val="clear" w:color="auto" w:fill="auto"/>
          </w:tcPr>
          <w:p w14:paraId="5CC58AF4" w14:textId="77777777" w:rsidR="006929B6" w:rsidRPr="00B2162D" w:rsidRDefault="006929B6" w:rsidP="006929B6">
            <w:pPr>
              <w:suppressAutoHyphens/>
              <w:rPr>
                <w:rFonts w:ascii="Times New Roman" w:hAnsi="Times New Roman"/>
              </w:rPr>
            </w:pPr>
            <w:r w:rsidRPr="00B2162D">
              <w:rPr>
                <w:rFonts w:ascii="Times New Roman" w:hAnsi="Times New Roman"/>
              </w:rPr>
              <w:t>Community Based Organization</w:t>
            </w:r>
          </w:p>
        </w:tc>
      </w:tr>
      <w:tr w:rsidR="00CF33A4" w14:paraId="33F6020A" w14:textId="77777777" w:rsidTr="006929B6">
        <w:tc>
          <w:tcPr>
            <w:tcW w:w="1705" w:type="dxa"/>
            <w:shd w:val="clear" w:color="auto" w:fill="auto"/>
          </w:tcPr>
          <w:p w14:paraId="49DE2616" w14:textId="6780B989" w:rsidR="00CF33A4" w:rsidRPr="00B2162D" w:rsidRDefault="00CF33A4" w:rsidP="006929B6">
            <w:pPr>
              <w:suppressAutoHyphens/>
              <w:rPr>
                <w:rFonts w:ascii="Times New Roman" w:hAnsi="Times New Roman"/>
              </w:rPr>
            </w:pPr>
            <w:r>
              <w:rPr>
                <w:rFonts w:ascii="Times New Roman" w:hAnsi="Times New Roman"/>
              </w:rPr>
              <w:t>CENI</w:t>
            </w:r>
          </w:p>
        </w:tc>
        <w:tc>
          <w:tcPr>
            <w:tcW w:w="7645" w:type="dxa"/>
            <w:shd w:val="clear" w:color="auto" w:fill="auto"/>
          </w:tcPr>
          <w:p w14:paraId="6A680789" w14:textId="1B48FB4C" w:rsidR="00CF33A4" w:rsidRPr="00B2162D" w:rsidRDefault="00CF33A4" w:rsidP="006929B6">
            <w:pPr>
              <w:suppressAutoHyphens/>
              <w:rPr>
                <w:rFonts w:ascii="Times New Roman" w:hAnsi="Times New Roman"/>
              </w:rPr>
            </w:pPr>
            <w:r>
              <w:rPr>
                <w:rFonts w:ascii="Times New Roman" w:hAnsi="Times New Roman"/>
              </w:rPr>
              <w:t>Independent National Electoral Commission</w:t>
            </w:r>
          </w:p>
        </w:tc>
      </w:tr>
      <w:tr w:rsidR="00C36F65" w14:paraId="7F4373C3" w14:textId="77777777" w:rsidTr="006929B6">
        <w:tc>
          <w:tcPr>
            <w:tcW w:w="1705" w:type="dxa"/>
            <w:shd w:val="clear" w:color="auto" w:fill="auto"/>
          </w:tcPr>
          <w:p w14:paraId="5EC1F09C" w14:textId="19CB4A3D" w:rsidR="00C36F65" w:rsidRDefault="00C36F65" w:rsidP="006929B6">
            <w:pPr>
              <w:suppressAutoHyphens/>
              <w:rPr>
                <w:rFonts w:ascii="Times New Roman" w:hAnsi="Times New Roman"/>
              </w:rPr>
            </w:pPr>
            <w:r w:rsidRPr="00DD122D">
              <w:rPr>
                <w:rFonts w:ascii="Times New Roman" w:eastAsia="Times New Roman" w:hAnsi="Times New Roman"/>
                <w:color w:val="000000" w:themeColor="text1"/>
              </w:rPr>
              <w:t>CEPPS</w:t>
            </w:r>
          </w:p>
        </w:tc>
        <w:tc>
          <w:tcPr>
            <w:tcW w:w="7645" w:type="dxa"/>
            <w:shd w:val="clear" w:color="auto" w:fill="auto"/>
          </w:tcPr>
          <w:p w14:paraId="51387DEB" w14:textId="30D7DD38" w:rsidR="00C36F65" w:rsidRDefault="00C36F65" w:rsidP="006929B6">
            <w:pPr>
              <w:suppressAutoHyphens/>
              <w:rPr>
                <w:rFonts w:ascii="Times New Roman" w:hAnsi="Times New Roman"/>
              </w:rPr>
            </w:pPr>
            <w:r w:rsidRPr="00DD122D">
              <w:rPr>
                <w:rFonts w:ascii="Times New Roman" w:eastAsia="Times New Roman" w:hAnsi="Times New Roman"/>
                <w:color w:val="000000" w:themeColor="text1"/>
              </w:rPr>
              <w:t>Consortium for Elections and Political Party Strengthening</w:t>
            </w:r>
          </w:p>
        </w:tc>
      </w:tr>
      <w:tr w:rsidR="006929B6" w14:paraId="4E15FEAF" w14:textId="77777777" w:rsidTr="006929B6">
        <w:tc>
          <w:tcPr>
            <w:tcW w:w="1705" w:type="dxa"/>
            <w:shd w:val="clear" w:color="auto" w:fill="auto"/>
          </w:tcPr>
          <w:p w14:paraId="78427FE7" w14:textId="77777777" w:rsidR="006929B6" w:rsidRPr="00B2162D" w:rsidRDefault="006929B6" w:rsidP="006929B6">
            <w:pPr>
              <w:suppressAutoHyphens/>
              <w:rPr>
                <w:rFonts w:ascii="Times New Roman" w:hAnsi="Times New Roman"/>
              </w:rPr>
            </w:pPr>
            <w:r w:rsidRPr="00B2162D">
              <w:rPr>
                <w:rFonts w:ascii="Times New Roman" w:hAnsi="Times New Roman"/>
              </w:rPr>
              <w:t>COP</w:t>
            </w:r>
          </w:p>
        </w:tc>
        <w:tc>
          <w:tcPr>
            <w:tcW w:w="7645" w:type="dxa"/>
            <w:shd w:val="clear" w:color="auto" w:fill="auto"/>
          </w:tcPr>
          <w:p w14:paraId="2A31A865" w14:textId="77777777" w:rsidR="006929B6" w:rsidRPr="00B2162D" w:rsidRDefault="006929B6" w:rsidP="006929B6">
            <w:pPr>
              <w:suppressAutoHyphens/>
              <w:rPr>
                <w:rFonts w:ascii="Times New Roman" w:hAnsi="Times New Roman"/>
              </w:rPr>
            </w:pPr>
            <w:r w:rsidRPr="00B2162D">
              <w:rPr>
                <w:rFonts w:ascii="Times New Roman" w:hAnsi="Times New Roman"/>
              </w:rPr>
              <w:t>Chief of Party</w:t>
            </w:r>
          </w:p>
        </w:tc>
      </w:tr>
      <w:tr w:rsidR="006929B6" w14:paraId="69FD6D7A" w14:textId="77777777" w:rsidTr="006929B6">
        <w:tc>
          <w:tcPr>
            <w:tcW w:w="1705" w:type="dxa"/>
            <w:shd w:val="clear" w:color="auto" w:fill="auto"/>
          </w:tcPr>
          <w:p w14:paraId="4C1F1AF2" w14:textId="1C88411E" w:rsidR="006929B6" w:rsidRPr="00B2162D" w:rsidRDefault="00CF33A4" w:rsidP="006929B6">
            <w:pPr>
              <w:suppressAutoHyphens/>
              <w:rPr>
                <w:rFonts w:ascii="Times New Roman" w:hAnsi="Times New Roman"/>
              </w:rPr>
            </w:pPr>
            <w:r>
              <w:rPr>
                <w:rFonts w:ascii="Times New Roman" w:hAnsi="Times New Roman"/>
              </w:rPr>
              <w:t>CSO</w:t>
            </w:r>
          </w:p>
        </w:tc>
        <w:tc>
          <w:tcPr>
            <w:tcW w:w="7645" w:type="dxa"/>
            <w:shd w:val="clear" w:color="auto" w:fill="auto"/>
          </w:tcPr>
          <w:p w14:paraId="6059A435" w14:textId="77777777" w:rsidR="006929B6" w:rsidRPr="00B2162D" w:rsidRDefault="006929B6" w:rsidP="006929B6">
            <w:pPr>
              <w:suppressAutoHyphens/>
              <w:rPr>
                <w:rFonts w:ascii="Times New Roman" w:hAnsi="Times New Roman"/>
              </w:rPr>
            </w:pPr>
            <w:r w:rsidRPr="00B2162D">
              <w:rPr>
                <w:rFonts w:ascii="Times New Roman" w:hAnsi="Times New Roman"/>
              </w:rPr>
              <w:t>Civil Society Organization</w:t>
            </w:r>
          </w:p>
        </w:tc>
      </w:tr>
      <w:tr w:rsidR="00132496" w14:paraId="289FCFAD" w14:textId="77777777" w:rsidTr="006929B6">
        <w:tc>
          <w:tcPr>
            <w:tcW w:w="1705" w:type="dxa"/>
            <w:shd w:val="clear" w:color="auto" w:fill="auto"/>
          </w:tcPr>
          <w:p w14:paraId="69C0F517" w14:textId="4BEC8085" w:rsidR="00132496" w:rsidRDefault="00132496" w:rsidP="006929B6">
            <w:pPr>
              <w:suppressAutoHyphens/>
              <w:rPr>
                <w:rFonts w:ascii="Times New Roman" w:hAnsi="Times New Roman"/>
              </w:rPr>
            </w:pPr>
            <w:r w:rsidRPr="00DD122D">
              <w:rPr>
                <w:rFonts w:ascii="Times New Roman" w:eastAsia="Times New Roman" w:hAnsi="Times New Roman"/>
                <w:color w:val="000000" w:themeColor="text1"/>
              </w:rPr>
              <w:t>DFAP</w:t>
            </w:r>
          </w:p>
        </w:tc>
        <w:tc>
          <w:tcPr>
            <w:tcW w:w="7645" w:type="dxa"/>
            <w:shd w:val="clear" w:color="auto" w:fill="auto"/>
          </w:tcPr>
          <w:p w14:paraId="2A876E50" w14:textId="29CD4B9E" w:rsidR="00132496" w:rsidRPr="00B2162D" w:rsidRDefault="00132496" w:rsidP="006929B6">
            <w:pPr>
              <w:suppressAutoHyphens/>
              <w:rPr>
                <w:rFonts w:ascii="Times New Roman" w:hAnsi="Times New Roman"/>
              </w:rPr>
            </w:pPr>
            <w:r w:rsidRPr="00DD122D">
              <w:rPr>
                <w:rFonts w:ascii="Times New Roman" w:eastAsia="Times New Roman" w:hAnsi="Times New Roman"/>
                <w:color w:val="000000" w:themeColor="text1"/>
              </w:rPr>
              <w:t>Development Food Assistance Program</w:t>
            </w:r>
          </w:p>
        </w:tc>
      </w:tr>
      <w:tr w:rsidR="006929B6" w14:paraId="0C490C30" w14:textId="77777777" w:rsidTr="006929B6">
        <w:tc>
          <w:tcPr>
            <w:tcW w:w="1705" w:type="dxa"/>
            <w:shd w:val="clear" w:color="auto" w:fill="auto"/>
          </w:tcPr>
          <w:p w14:paraId="3700FF71" w14:textId="301C8D40" w:rsidR="006929B6" w:rsidRPr="00B2162D" w:rsidRDefault="00F519C3" w:rsidP="006929B6">
            <w:pPr>
              <w:suppressAutoHyphens/>
              <w:rPr>
                <w:rFonts w:ascii="Times New Roman" w:hAnsi="Times New Roman"/>
              </w:rPr>
            </w:pPr>
            <w:r>
              <w:rPr>
                <w:rFonts w:ascii="Times New Roman" w:hAnsi="Times New Roman"/>
              </w:rPr>
              <w:t>GON</w:t>
            </w:r>
          </w:p>
        </w:tc>
        <w:tc>
          <w:tcPr>
            <w:tcW w:w="7645" w:type="dxa"/>
            <w:shd w:val="clear" w:color="auto" w:fill="auto"/>
          </w:tcPr>
          <w:p w14:paraId="3C546239" w14:textId="04FF3D25" w:rsidR="006929B6" w:rsidRPr="00B2162D" w:rsidRDefault="00F519C3" w:rsidP="006929B6">
            <w:pPr>
              <w:suppressAutoHyphens/>
              <w:rPr>
                <w:rFonts w:ascii="Times New Roman" w:hAnsi="Times New Roman"/>
              </w:rPr>
            </w:pPr>
            <w:r>
              <w:rPr>
                <w:rFonts w:ascii="Times New Roman" w:hAnsi="Times New Roman"/>
              </w:rPr>
              <w:t>Government of Niger</w:t>
            </w:r>
          </w:p>
        </w:tc>
      </w:tr>
      <w:tr w:rsidR="00132496" w14:paraId="11D00D0C" w14:textId="77777777" w:rsidTr="006929B6">
        <w:tc>
          <w:tcPr>
            <w:tcW w:w="1705" w:type="dxa"/>
            <w:shd w:val="clear" w:color="auto" w:fill="auto"/>
          </w:tcPr>
          <w:p w14:paraId="34AB2CFD" w14:textId="7A8DD739" w:rsidR="00132496" w:rsidRDefault="00132496" w:rsidP="006929B6">
            <w:pPr>
              <w:suppressAutoHyphens/>
              <w:rPr>
                <w:rFonts w:ascii="Times New Roman" w:hAnsi="Times New Roman"/>
              </w:rPr>
            </w:pPr>
            <w:r>
              <w:rPr>
                <w:rFonts w:ascii="Times New Roman" w:hAnsi="Times New Roman"/>
              </w:rPr>
              <w:t>GFP</w:t>
            </w:r>
          </w:p>
        </w:tc>
        <w:tc>
          <w:tcPr>
            <w:tcW w:w="7645" w:type="dxa"/>
            <w:shd w:val="clear" w:color="auto" w:fill="auto"/>
          </w:tcPr>
          <w:p w14:paraId="25E9B4F6" w14:textId="75914A5E" w:rsidR="00132496" w:rsidRDefault="00132496" w:rsidP="006929B6">
            <w:pPr>
              <w:suppressAutoHyphens/>
              <w:rPr>
                <w:rFonts w:ascii="Times New Roman" w:hAnsi="Times New Roman"/>
              </w:rPr>
            </w:pPr>
            <w:r w:rsidRPr="00D0478B">
              <w:rPr>
                <w:rFonts w:asciiTheme="majorBidi" w:hAnsiTheme="majorBidi" w:cstheme="majorBidi"/>
                <w:lang w:eastAsia="en-GB"/>
              </w:rPr>
              <w:t>Grants Focal Point</w:t>
            </w:r>
          </w:p>
        </w:tc>
      </w:tr>
      <w:tr w:rsidR="00CF33A4" w14:paraId="7FB265D3" w14:textId="77777777" w:rsidTr="006929B6">
        <w:tc>
          <w:tcPr>
            <w:tcW w:w="1705" w:type="dxa"/>
            <w:shd w:val="clear" w:color="auto" w:fill="auto"/>
          </w:tcPr>
          <w:p w14:paraId="09DCF2EA" w14:textId="10E80EBA" w:rsidR="00CF33A4" w:rsidRPr="006F282B" w:rsidRDefault="00A35AA4" w:rsidP="006929B6">
            <w:pPr>
              <w:suppressAutoHyphens/>
              <w:rPr>
                <w:rFonts w:ascii="Times New Roman" w:hAnsi="Times New Roman"/>
              </w:rPr>
            </w:pPr>
            <w:r w:rsidRPr="006F282B">
              <w:rPr>
                <w:rFonts w:ascii="Times New Roman" w:hAnsi="Times New Roman"/>
              </w:rPr>
              <w:t>ICS</w:t>
            </w:r>
          </w:p>
        </w:tc>
        <w:tc>
          <w:tcPr>
            <w:tcW w:w="7645" w:type="dxa"/>
            <w:shd w:val="clear" w:color="auto" w:fill="auto"/>
          </w:tcPr>
          <w:p w14:paraId="7C5FBBBE" w14:textId="16EB1F08" w:rsidR="00CF33A4" w:rsidRPr="006F282B" w:rsidRDefault="00A35AA4" w:rsidP="006929B6">
            <w:pPr>
              <w:suppressAutoHyphens/>
              <w:rPr>
                <w:rFonts w:ascii="Times New Roman" w:hAnsi="Times New Roman"/>
              </w:rPr>
            </w:pPr>
            <w:r w:rsidRPr="00A35AA4">
              <w:rPr>
                <w:rFonts w:ascii="Times New Roman" w:eastAsia="Times New Roman" w:hAnsi="Times New Roman"/>
                <w:color w:val="000000" w:themeColor="text1"/>
              </w:rPr>
              <w:t>Integrated Country Strategy</w:t>
            </w:r>
          </w:p>
        </w:tc>
      </w:tr>
      <w:tr w:rsidR="00132496" w14:paraId="14DBDE5C" w14:textId="77777777" w:rsidTr="006929B6">
        <w:tc>
          <w:tcPr>
            <w:tcW w:w="1705" w:type="dxa"/>
            <w:shd w:val="clear" w:color="auto" w:fill="auto"/>
          </w:tcPr>
          <w:p w14:paraId="2C9E26A1" w14:textId="3EF32B6E" w:rsidR="00132496" w:rsidRPr="00CF33A4" w:rsidRDefault="00132496" w:rsidP="006929B6">
            <w:pPr>
              <w:suppressAutoHyphens/>
              <w:rPr>
                <w:rFonts w:ascii="Times New Roman" w:hAnsi="Times New Roman"/>
                <w:highlight w:val="yellow"/>
              </w:rPr>
            </w:pPr>
            <w:r w:rsidRPr="006F282B">
              <w:rPr>
                <w:rFonts w:ascii="Times New Roman" w:hAnsi="Times New Roman"/>
              </w:rPr>
              <w:t>IPEAAR</w:t>
            </w:r>
          </w:p>
        </w:tc>
        <w:tc>
          <w:tcPr>
            <w:tcW w:w="7645" w:type="dxa"/>
            <w:shd w:val="clear" w:color="auto" w:fill="auto"/>
          </w:tcPr>
          <w:p w14:paraId="4A3CAD94" w14:textId="51EE2FDC" w:rsidR="00132496" w:rsidRPr="00CF33A4" w:rsidRDefault="00132496" w:rsidP="006929B6">
            <w:pPr>
              <w:suppressAutoHyphens/>
              <w:rPr>
                <w:rFonts w:ascii="Times New Roman" w:hAnsi="Times New Roman"/>
                <w:highlight w:val="yellow"/>
              </w:rPr>
            </w:pPr>
            <w:r w:rsidRPr="00DD122D">
              <w:rPr>
                <w:rFonts w:ascii="Times New Roman" w:eastAsia="Times New Roman" w:hAnsi="Times New Roman"/>
                <w:color w:val="000000" w:themeColor="text1"/>
              </w:rPr>
              <w:t>Initial Political Economy Analysis Action Research Activity</w:t>
            </w:r>
          </w:p>
        </w:tc>
      </w:tr>
      <w:tr w:rsidR="006929B6" w14:paraId="0CD60B28" w14:textId="77777777" w:rsidTr="006929B6">
        <w:tc>
          <w:tcPr>
            <w:tcW w:w="1705" w:type="dxa"/>
            <w:shd w:val="clear" w:color="auto" w:fill="auto"/>
          </w:tcPr>
          <w:p w14:paraId="4EC4DBFB" w14:textId="77777777" w:rsidR="006929B6" w:rsidRPr="00B2162D" w:rsidRDefault="006929B6" w:rsidP="006929B6">
            <w:pPr>
              <w:suppressAutoHyphens/>
              <w:rPr>
                <w:rFonts w:ascii="Times New Roman" w:hAnsi="Times New Roman"/>
              </w:rPr>
            </w:pPr>
            <w:r w:rsidRPr="00B2162D">
              <w:rPr>
                <w:rFonts w:ascii="Times New Roman" w:hAnsi="Times New Roman"/>
              </w:rPr>
              <w:t>KM</w:t>
            </w:r>
          </w:p>
        </w:tc>
        <w:tc>
          <w:tcPr>
            <w:tcW w:w="7645" w:type="dxa"/>
            <w:shd w:val="clear" w:color="auto" w:fill="auto"/>
          </w:tcPr>
          <w:p w14:paraId="713802F3" w14:textId="77777777" w:rsidR="006929B6" w:rsidRPr="00B2162D" w:rsidRDefault="006929B6" w:rsidP="006929B6">
            <w:pPr>
              <w:suppressAutoHyphens/>
              <w:rPr>
                <w:rFonts w:ascii="Times New Roman" w:hAnsi="Times New Roman"/>
              </w:rPr>
            </w:pPr>
            <w:r w:rsidRPr="00B2162D">
              <w:rPr>
                <w:rFonts w:ascii="Times New Roman" w:hAnsi="Times New Roman"/>
              </w:rPr>
              <w:t>Knowledge Management</w:t>
            </w:r>
          </w:p>
        </w:tc>
      </w:tr>
      <w:tr w:rsidR="00132496" w14:paraId="2586B5F2" w14:textId="77777777" w:rsidTr="006929B6">
        <w:tc>
          <w:tcPr>
            <w:tcW w:w="1705" w:type="dxa"/>
            <w:shd w:val="clear" w:color="auto" w:fill="auto"/>
          </w:tcPr>
          <w:p w14:paraId="383B0DD9" w14:textId="6CEBA012" w:rsidR="00132496" w:rsidRPr="00B2162D" w:rsidRDefault="00132496" w:rsidP="006929B6">
            <w:pPr>
              <w:suppressAutoHyphens/>
              <w:rPr>
                <w:rFonts w:ascii="Times New Roman" w:hAnsi="Times New Roman"/>
              </w:rPr>
            </w:pPr>
            <w:r w:rsidRPr="00DD122D">
              <w:rPr>
                <w:rFonts w:ascii="Times New Roman" w:eastAsia="Times New Roman" w:hAnsi="Times New Roman"/>
                <w:color w:val="000000" w:themeColor="text1"/>
              </w:rPr>
              <w:t>LCSIA</w:t>
            </w:r>
          </w:p>
        </w:tc>
        <w:tc>
          <w:tcPr>
            <w:tcW w:w="7645" w:type="dxa"/>
            <w:shd w:val="clear" w:color="auto" w:fill="auto"/>
          </w:tcPr>
          <w:p w14:paraId="4C8F0384" w14:textId="282A87DD" w:rsidR="00132496" w:rsidRPr="00B2162D" w:rsidRDefault="00132496" w:rsidP="006929B6">
            <w:pPr>
              <w:suppressAutoHyphens/>
              <w:rPr>
                <w:rFonts w:ascii="Times New Roman" w:hAnsi="Times New Roman"/>
              </w:rPr>
            </w:pPr>
            <w:r w:rsidRPr="00DD122D">
              <w:rPr>
                <w:rFonts w:ascii="Times New Roman" w:eastAsia="Times New Roman" w:hAnsi="Times New Roman"/>
                <w:color w:val="000000" w:themeColor="text1"/>
              </w:rPr>
              <w:t>Local Capacity Strengthening Initial</w:t>
            </w:r>
            <w:r>
              <w:rPr>
                <w:rFonts w:ascii="Times New Roman" w:eastAsia="Times New Roman" w:hAnsi="Times New Roman"/>
                <w:color w:val="000000" w:themeColor="text1"/>
              </w:rPr>
              <w:t xml:space="preserve">   </w:t>
            </w:r>
          </w:p>
        </w:tc>
      </w:tr>
      <w:tr w:rsidR="006929B6" w14:paraId="4BC18F5C" w14:textId="77777777" w:rsidTr="006929B6">
        <w:tc>
          <w:tcPr>
            <w:tcW w:w="1705" w:type="dxa"/>
            <w:shd w:val="clear" w:color="auto" w:fill="auto"/>
          </w:tcPr>
          <w:p w14:paraId="0A76C025" w14:textId="77777777" w:rsidR="006929B6" w:rsidRPr="00B2162D" w:rsidRDefault="006929B6" w:rsidP="006929B6">
            <w:pPr>
              <w:suppressAutoHyphens/>
              <w:rPr>
                <w:rFonts w:ascii="Times New Roman" w:hAnsi="Times New Roman"/>
              </w:rPr>
            </w:pPr>
            <w:r w:rsidRPr="00B2162D">
              <w:rPr>
                <w:rFonts w:ascii="Times New Roman" w:hAnsi="Times New Roman"/>
              </w:rPr>
              <w:t>M&amp;E</w:t>
            </w:r>
          </w:p>
        </w:tc>
        <w:tc>
          <w:tcPr>
            <w:tcW w:w="7645" w:type="dxa"/>
            <w:shd w:val="clear" w:color="auto" w:fill="auto"/>
          </w:tcPr>
          <w:p w14:paraId="08B61147" w14:textId="77777777" w:rsidR="006929B6" w:rsidRPr="00B2162D" w:rsidRDefault="006929B6" w:rsidP="006929B6">
            <w:pPr>
              <w:suppressAutoHyphens/>
              <w:rPr>
                <w:rFonts w:ascii="Times New Roman" w:hAnsi="Times New Roman"/>
              </w:rPr>
            </w:pPr>
            <w:r w:rsidRPr="00B2162D">
              <w:rPr>
                <w:rFonts w:ascii="Times New Roman" w:hAnsi="Times New Roman"/>
              </w:rPr>
              <w:t>Monitoring and Evaluation</w:t>
            </w:r>
          </w:p>
        </w:tc>
      </w:tr>
      <w:tr w:rsidR="006929B6" w14:paraId="290919D8" w14:textId="77777777" w:rsidTr="006929B6">
        <w:tc>
          <w:tcPr>
            <w:tcW w:w="1705" w:type="dxa"/>
            <w:shd w:val="clear" w:color="auto" w:fill="auto"/>
          </w:tcPr>
          <w:p w14:paraId="4DA590A4" w14:textId="77777777" w:rsidR="006929B6" w:rsidRPr="00B2162D" w:rsidRDefault="006929B6" w:rsidP="006929B6">
            <w:pPr>
              <w:suppressAutoHyphens/>
              <w:rPr>
                <w:rFonts w:ascii="Times New Roman" w:hAnsi="Times New Roman"/>
              </w:rPr>
            </w:pPr>
            <w:r w:rsidRPr="00B2162D">
              <w:rPr>
                <w:rFonts w:ascii="Times New Roman" w:hAnsi="Times New Roman"/>
              </w:rPr>
              <w:t>MIS</w:t>
            </w:r>
          </w:p>
        </w:tc>
        <w:tc>
          <w:tcPr>
            <w:tcW w:w="7645" w:type="dxa"/>
            <w:shd w:val="clear" w:color="auto" w:fill="auto"/>
          </w:tcPr>
          <w:p w14:paraId="63AAC309" w14:textId="77777777" w:rsidR="006929B6" w:rsidRPr="00B2162D" w:rsidRDefault="006929B6" w:rsidP="006929B6">
            <w:pPr>
              <w:suppressAutoHyphens/>
              <w:rPr>
                <w:rFonts w:ascii="Times New Roman" w:hAnsi="Times New Roman"/>
              </w:rPr>
            </w:pPr>
            <w:r w:rsidRPr="00B2162D">
              <w:rPr>
                <w:rFonts w:ascii="Times New Roman" w:hAnsi="Times New Roman"/>
              </w:rPr>
              <w:t>Management Information System</w:t>
            </w:r>
          </w:p>
        </w:tc>
      </w:tr>
      <w:tr w:rsidR="006929B6" w14:paraId="0CEE18BB" w14:textId="77777777" w:rsidTr="006929B6">
        <w:tc>
          <w:tcPr>
            <w:tcW w:w="1705" w:type="dxa"/>
            <w:shd w:val="clear" w:color="auto" w:fill="auto"/>
          </w:tcPr>
          <w:p w14:paraId="5D314AAF" w14:textId="77777777" w:rsidR="006929B6" w:rsidRPr="00B2162D" w:rsidRDefault="006929B6" w:rsidP="006929B6">
            <w:pPr>
              <w:suppressAutoHyphens/>
              <w:rPr>
                <w:rFonts w:ascii="Times New Roman" w:hAnsi="Times New Roman"/>
              </w:rPr>
            </w:pPr>
            <w:r w:rsidRPr="00B2162D">
              <w:rPr>
                <w:rFonts w:ascii="Times New Roman" w:hAnsi="Times New Roman"/>
              </w:rPr>
              <w:t>MSC</w:t>
            </w:r>
          </w:p>
        </w:tc>
        <w:tc>
          <w:tcPr>
            <w:tcW w:w="7645" w:type="dxa"/>
            <w:shd w:val="clear" w:color="auto" w:fill="auto"/>
          </w:tcPr>
          <w:p w14:paraId="470B05E6" w14:textId="77777777" w:rsidR="006929B6" w:rsidRPr="00B2162D" w:rsidRDefault="006929B6" w:rsidP="006929B6">
            <w:pPr>
              <w:suppressAutoHyphens/>
              <w:rPr>
                <w:rFonts w:ascii="Times New Roman" w:hAnsi="Times New Roman"/>
              </w:rPr>
            </w:pPr>
            <w:r w:rsidRPr="00B2162D">
              <w:rPr>
                <w:rFonts w:ascii="Times New Roman" w:hAnsi="Times New Roman"/>
              </w:rPr>
              <w:t>Most Significant Change</w:t>
            </w:r>
          </w:p>
        </w:tc>
      </w:tr>
      <w:tr w:rsidR="006929B6" w14:paraId="14260ED1" w14:textId="77777777" w:rsidTr="006929B6">
        <w:tc>
          <w:tcPr>
            <w:tcW w:w="1705" w:type="dxa"/>
            <w:shd w:val="clear" w:color="auto" w:fill="auto"/>
          </w:tcPr>
          <w:p w14:paraId="72B0079C" w14:textId="77777777" w:rsidR="006929B6" w:rsidRPr="00B2162D" w:rsidRDefault="006929B6" w:rsidP="006929B6">
            <w:pPr>
              <w:suppressAutoHyphens/>
              <w:rPr>
                <w:rFonts w:ascii="Times New Roman" w:hAnsi="Times New Roman"/>
              </w:rPr>
            </w:pPr>
            <w:r w:rsidRPr="00B2162D">
              <w:rPr>
                <w:rFonts w:ascii="Times New Roman" w:hAnsi="Times New Roman"/>
              </w:rPr>
              <w:t>OD</w:t>
            </w:r>
          </w:p>
        </w:tc>
        <w:tc>
          <w:tcPr>
            <w:tcW w:w="7645" w:type="dxa"/>
            <w:shd w:val="clear" w:color="auto" w:fill="auto"/>
          </w:tcPr>
          <w:p w14:paraId="6620D206" w14:textId="77777777" w:rsidR="006929B6" w:rsidRPr="00B2162D" w:rsidRDefault="006929B6" w:rsidP="006929B6">
            <w:pPr>
              <w:suppressAutoHyphens/>
              <w:rPr>
                <w:rFonts w:ascii="Times New Roman" w:hAnsi="Times New Roman"/>
              </w:rPr>
            </w:pPr>
            <w:r w:rsidRPr="00B2162D">
              <w:rPr>
                <w:rFonts w:ascii="Times New Roman" w:hAnsi="Times New Roman"/>
              </w:rPr>
              <w:t>Organizational Development</w:t>
            </w:r>
          </w:p>
        </w:tc>
      </w:tr>
      <w:tr w:rsidR="00147893" w14:paraId="120007A5" w14:textId="77777777" w:rsidTr="006929B6">
        <w:tc>
          <w:tcPr>
            <w:tcW w:w="1705" w:type="dxa"/>
            <w:shd w:val="clear" w:color="auto" w:fill="auto"/>
          </w:tcPr>
          <w:p w14:paraId="264B0FB5" w14:textId="23CA224A" w:rsidR="00147893" w:rsidRPr="00B2162D" w:rsidRDefault="00147893" w:rsidP="006929B6">
            <w:pPr>
              <w:suppressAutoHyphens/>
              <w:rPr>
                <w:rFonts w:ascii="Times New Roman" w:hAnsi="Times New Roman"/>
              </w:rPr>
            </w:pPr>
            <w:r>
              <w:rPr>
                <w:rFonts w:ascii="Times New Roman" w:hAnsi="Times New Roman"/>
              </w:rPr>
              <w:t>PEA</w:t>
            </w:r>
          </w:p>
        </w:tc>
        <w:tc>
          <w:tcPr>
            <w:tcW w:w="7645" w:type="dxa"/>
            <w:shd w:val="clear" w:color="auto" w:fill="auto"/>
          </w:tcPr>
          <w:p w14:paraId="28A661BB" w14:textId="05A83B6A" w:rsidR="00147893" w:rsidRPr="00B2162D" w:rsidRDefault="00147893" w:rsidP="006929B6">
            <w:pPr>
              <w:suppressAutoHyphens/>
              <w:rPr>
                <w:rFonts w:ascii="Times New Roman" w:hAnsi="Times New Roman"/>
              </w:rPr>
            </w:pPr>
            <w:r>
              <w:rPr>
                <w:rFonts w:ascii="Times New Roman" w:hAnsi="Times New Roman"/>
              </w:rPr>
              <w:t>Political Economic Analysis</w:t>
            </w:r>
          </w:p>
        </w:tc>
      </w:tr>
      <w:tr w:rsidR="006929B6" w14:paraId="01771CA0" w14:textId="77777777" w:rsidTr="006929B6">
        <w:tc>
          <w:tcPr>
            <w:tcW w:w="1705" w:type="dxa"/>
            <w:shd w:val="clear" w:color="auto" w:fill="auto"/>
          </w:tcPr>
          <w:p w14:paraId="44C05765" w14:textId="77777777" w:rsidR="006929B6" w:rsidRPr="00B2162D" w:rsidRDefault="006929B6" w:rsidP="006929B6">
            <w:pPr>
              <w:suppressAutoHyphens/>
              <w:rPr>
                <w:rFonts w:ascii="Times New Roman" w:hAnsi="Times New Roman"/>
              </w:rPr>
            </w:pPr>
            <w:r w:rsidRPr="00B2162D">
              <w:rPr>
                <w:rFonts w:ascii="Times New Roman" w:hAnsi="Times New Roman"/>
              </w:rPr>
              <w:t>PMP</w:t>
            </w:r>
          </w:p>
        </w:tc>
        <w:tc>
          <w:tcPr>
            <w:tcW w:w="7645" w:type="dxa"/>
            <w:shd w:val="clear" w:color="auto" w:fill="auto"/>
          </w:tcPr>
          <w:p w14:paraId="21E5A1A6" w14:textId="77777777" w:rsidR="006929B6" w:rsidRPr="00B2162D" w:rsidRDefault="006929B6" w:rsidP="006929B6">
            <w:pPr>
              <w:suppressAutoHyphens/>
              <w:rPr>
                <w:rFonts w:ascii="Times New Roman" w:hAnsi="Times New Roman"/>
              </w:rPr>
            </w:pPr>
            <w:r w:rsidRPr="00B2162D">
              <w:rPr>
                <w:rFonts w:ascii="Times New Roman" w:hAnsi="Times New Roman"/>
              </w:rPr>
              <w:t>Performance Monitoring Plan</w:t>
            </w:r>
          </w:p>
        </w:tc>
      </w:tr>
      <w:tr w:rsidR="00132496" w14:paraId="06D0532D" w14:textId="77777777" w:rsidTr="006929B6">
        <w:tc>
          <w:tcPr>
            <w:tcW w:w="1705" w:type="dxa"/>
            <w:shd w:val="clear" w:color="auto" w:fill="auto"/>
          </w:tcPr>
          <w:p w14:paraId="5B6A352A" w14:textId="567D3B76" w:rsidR="00132496" w:rsidRPr="00B2162D" w:rsidRDefault="00132496" w:rsidP="006929B6">
            <w:pPr>
              <w:suppressAutoHyphens/>
              <w:rPr>
                <w:rFonts w:ascii="Times New Roman" w:hAnsi="Times New Roman"/>
              </w:rPr>
            </w:pPr>
            <w:r w:rsidRPr="00D0478B">
              <w:rPr>
                <w:rFonts w:asciiTheme="majorBidi" w:hAnsiTheme="majorBidi" w:cstheme="majorBidi"/>
                <w:lang w:eastAsia="en-GB"/>
              </w:rPr>
              <w:t>PFP</w:t>
            </w:r>
          </w:p>
        </w:tc>
        <w:tc>
          <w:tcPr>
            <w:tcW w:w="7645" w:type="dxa"/>
            <w:shd w:val="clear" w:color="auto" w:fill="auto"/>
          </w:tcPr>
          <w:p w14:paraId="14867F5A" w14:textId="47B030D0" w:rsidR="00132496" w:rsidRPr="00B2162D" w:rsidRDefault="00132496" w:rsidP="006929B6">
            <w:pPr>
              <w:suppressAutoHyphens/>
              <w:rPr>
                <w:rFonts w:ascii="Times New Roman" w:hAnsi="Times New Roman"/>
              </w:rPr>
            </w:pPr>
            <w:r w:rsidRPr="00D0478B">
              <w:rPr>
                <w:rFonts w:asciiTheme="majorBidi" w:hAnsiTheme="majorBidi" w:cstheme="majorBidi"/>
                <w:lang w:eastAsia="en-GB"/>
              </w:rPr>
              <w:t>Program Focal Point</w:t>
            </w:r>
          </w:p>
        </w:tc>
      </w:tr>
      <w:tr w:rsidR="006929B6" w14:paraId="208E5B02" w14:textId="77777777" w:rsidTr="006929B6">
        <w:tc>
          <w:tcPr>
            <w:tcW w:w="1705" w:type="dxa"/>
            <w:shd w:val="clear" w:color="auto" w:fill="auto"/>
          </w:tcPr>
          <w:p w14:paraId="5191C5E5" w14:textId="77777777" w:rsidR="006929B6" w:rsidRPr="00B2162D" w:rsidRDefault="006929B6" w:rsidP="006929B6">
            <w:pPr>
              <w:suppressAutoHyphens/>
              <w:rPr>
                <w:rFonts w:ascii="Times New Roman" w:hAnsi="Times New Roman"/>
              </w:rPr>
            </w:pPr>
            <w:r w:rsidRPr="00B2162D">
              <w:rPr>
                <w:rFonts w:ascii="Times New Roman" w:hAnsi="Times New Roman"/>
              </w:rPr>
              <w:t>PQL</w:t>
            </w:r>
          </w:p>
        </w:tc>
        <w:tc>
          <w:tcPr>
            <w:tcW w:w="7645" w:type="dxa"/>
            <w:shd w:val="clear" w:color="auto" w:fill="auto"/>
          </w:tcPr>
          <w:p w14:paraId="6061BCA1" w14:textId="77777777" w:rsidR="006929B6" w:rsidRPr="00B2162D" w:rsidRDefault="006929B6" w:rsidP="006929B6">
            <w:pPr>
              <w:suppressAutoHyphens/>
              <w:rPr>
                <w:rFonts w:ascii="Times New Roman" w:hAnsi="Times New Roman"/>
              </w:rPr>
            </w:pPr>
            <w:r w:rsidRPr="00B2162D">
              <w:rPr>
                <w:rFonts w:ascii="Times New Roman" w:hAnsi="Times New Roman"/>
              </w:rPr>
              <w:t>Program Quality and Learning</w:t>
            </w:r>
          </w:p>
        </w:tc>
      </w:tr>
      <w:tr w:rsidR="00C36F65" w14:paraId="14181E79" w14:textId="77777777" w:rsidTr="006929B6">
        <w:tc>
          <w:tcPr>
            <w:tcW w:w="1705" w:type="dxa"/>
            <w:shd w:val="clear" w:color="auto" w:fill="auto"/>
          </w:tcPr>
          <w:p w14:paraId="0DFA6C94" w14:textId="5EBD731F" w:rsidR="00C36F65" w:rsidRPr="00B2162D" w:rsidRDefault="00C36F65" w:rsidP="006929B6">
            <w:pPr>
              <w:suppressAutoHyphens/>
              <w:rPr>
                <w:rFonts w:ascii="Times New Roman" w:hAnsi="Times New Roman"/>
              </w:rPr>
            </w:pPr>
            <w:r>
              <w:rPr>
                <w:rFonts w:ascii="Times New Roman" w:hAnsi="Times New Roman"/>
              </w:rPr>
              <w:t>REGIS-ER</w:t>
            </w:r>
          </w:p>
        </w:tc>
        <w:tc>
          <w:tcPr>
            <w:tcW w:w="7645" w:type="dxa"/>
            <w:shd w:val="clear" w:color="auto" w:fill="auto"/>
          </w:tcPr>
          <w:p w14:paraId="5B242123" w14:textId="1930CAFF" w:rsidR="00C36F65" w:rsidRPr="00B2162D" w:rsidRDefault="00C36F65" w:rsidP="006929B6">
            <w:pPr>
              <w:suppressAutoHyphens/>
              <w:rPr>
                <w:rFonts w:ascii="Times New Roman" w:hAnsi="Times New Roman"/>
              </w:rPr>
            </w:pPr>
            <w:r w:rsidRPr="00DD122D">
              <w:rPr>
                <w:rFonts w:ascii="Times New Roman" w:eastAsia="Times New Roman" w:hAnsi="Times New Roman"/>
                <w:color w:val="000000" w:themeColor="text1"/>
              </w:rPr>
              <w:t>Resilience and Economic Growth in Sahel-Enhanced Resilience</w:t>
            </w:r>
          </w:p>
        </w:tc>
      </w:tr>
      <w:tr w:rsidR="006929B6" w14:paraId="4B0CCED0" w14:textId="77777777" w:rsidTr="006929B6">
        <w:tc>
          <w:tcPr>
            <w:tcW w:w="1705" w:type="dxa"/>
            <w:shd w:val="clear" w:color="auto" w:fill="auto"/>
          </w:tcPr>
          <w:p w14:paraId="62406397" w14:textId="77777777" w:rsidR="006929B6" w:rsidRPr="00B2162D" w:rsidRDefault="006929B6" w:rsidP="006929B6">
            <w:pPr>
              <w:suppressAutoHyphens/>
              <w:rPr>
                <w:rFonts w:ascii="Times New Roman" w:hAnsi="Times New Roman"/>
              </w:rPr>
            </w:pPr>
            <w:r w:rsidRPr="00B2162D">
              <w:rPr>
                <w:rFonts w:ascii="Times New Roman" w:hAnsi="Times New Roman"/>
              </w:rPr>
              <w:t>TOT</w:t>
            </w:r>
          </w:p>
        </w:tc>
        <w:tc>
          <w:tcPr>
            <w:tcW w:w="7645" w:type="dxa"/>
            <w:shd w:val="clear" w:color="auto" w:fill="auto"/>
          </w:tcPr>
          <w:p w14:paraId="5B3994C2" w14:textId="77777777" w:rsidR="006929B6" w:rsidRPr="00B2162D" w:rsidRDefault="006929B6" w:rsidP="006929B6">
            <w:pPr>
              <w:suppressAutoHyphens/>
              <w:rPr>
                <w:rFonts w:ascii="Times New Roman" w:hAnsi="Times New Roman"/>
              </w:rPr>
            </w:pPr>
            <w:r w:rsidRPr="00B2162D">
              <w:rPr>
                <w:rFonts w:ascii="Times New Roman" w:hAnsi="Times New Roman"/>
              </w:rPr>
              <w:t>Training of Trainers</w:t>
            </w:r>
          </w:p>
        </w:tc>
      </w:tr>
      <w:tr w:rsidR="006929B6" w14:paraId="144277B6" w14:textId="77777777" w:rsidTr="006929B6">
        <w:tc>
          <w:tcPr>
            <w:tcW w:w="1705" w:type="dxa"/>
            <w:shd w:val="clear" w:color="auto" w:fill="auto"/>
          </w:tcPr>
          <w:p w14:paraId="4566D076" w14:textId="77777777" w:rsidR="006929B6" w:rsidRPr="00B2162D" w:rsidRDefault="006929B6" w:rsidP="006929B6">
            <w:pPr>
              <w:suppressAutoHyphens/>
              <w:rPr>
                <w:rFonts w:ascii="Times New Roman" w:hAnsi="Times New Roman"/>
              </w:rPr>
            </w:pPr>
            <w:r w:rsidRPr="00B2162D">
              <w:rPr>
                <w:rFonts w:ascii="Times New Roman" w:hAnsi="Times New Roman"/>
              </w:rPr>
              <w:t>USAID</w:t>
            </w:r>
          </w:p>
        </w:tc>
        <w:tc>
          <w:tcPr>
            <w:tcW w:w="7645" w:type="dxa"/>
            <w:shd w:val="clear" w:color="auto" w:fill="auto"/>
          </w:tcPr>
          <w:p w14:paraId="145822F9" w14:textId="77777777" w:rsidR="006929B6" w:rsidRPr="00B2162D" w:rsidRDefault="006929B6" w:rsidP="006929B6">
            <w:pPr>
              <w:suppressAutoHyphens/>
              <w:rPr>
                <w:rFonts w:ascii="Times New Roman" w:hAnsi="Times New Roman"/>
              </w:rPr>
            </w:pPr>
            <w:r w:rsidRPr="00B2162D">
              <w:rPr>
                <w:rFonts w:ascii="Times New Roman" w:hAnsi="Times New Roman"/>
              </w:rPr>
              <w:t>United States Agency for International Development</w:t>
            </w:r>
          </w:p>
        </w:tc>
      </w:tr>
      <w:tr w:rsidR="006929B6" w14:paraId="23648F06" w14:textId="77777777" w:rsidTr="006929B6">
        <w:tc>
          <w:tcPr>
            <w:tcW w:w="1705" w:type="dxa"/>
            <w:shd w:val="clear" w:color="auto" w:fill="auto"/>
          </w:tcPr>
          <w:p w14:paraId="54F73F02" w14:textId="77777777" w:rsidR="006929B6" w:rsidRPr="00B2162D" w:rsidRDefault="006929B6" w:rsidP="006929B6">
            <w:pPr>
              <w:suppressAutoHyphens/>
              <w:rPr>
                <w:rFonts w:ascii="Times New Roman" w:hAnsi="Times New Roman"/>
              </w:rPr>
            </w:pPr>
            <w:r w:rsidRPr="00B2162D">
              <w:rPr>
                <w:rFonts w:ascii="Times New Roman" w:hAnsi="Times New Roman"/>
              </w:rPr>
              <w:t>USG</w:t>
            </w:r>
          </w:p>
        </w:tc>
        <w:tc>
          <w:tcPr>
            <w:tcW w:w="7645" w:type="dxa"/>
            <w:shd w:val="clear" w:color="auto" w:fill="auto"/>
          </w:tcPr>
          <w:p w14:paraId="2C390AEA" w14:textId="77777777" w:rsidR="006929B6" w:rsidRPr="00B2162D" w:rsidRDefault="006929B6" w:rsidP="006929B6">
            <w:pPr>
              <w:suppressAutoHyphens/>
              <w:rPr>
                <w:rFonts w:ascii="Times New Roman" w:hAnsi="Times New Roman"/>
              </w:rPr>
            </w:pPr>
            <w:r w:rsidRPr="00B2162D">
              <w:rPr>
                <w:rFonts w:ascii="Times New Roman" w:hAnsi="Times New Roman"/>
              </w:rPr>
              <w:t>United States Government</w:t>
            </w:r>
          </w:p>
        </w:tc>
      </w:tr>
      <w:tr w:rsidR="00132496" w14:paraId="19A419FE" w14:textId="77777777" w:rsidTr="006929B6">
        <w:tc>
          <w:tcPr>
            <w:tcW w:w="1705" w:type="dxa"/>
            <w:shd w:val="clear" w:color="auto" w:fill="auto"/>
          </w:tcPr>
          <w:p w14:paraId="334C2E6C" w14:textId="6DBD4862" w:rsidR="00132496" w:rsidRPr="00B2162D" w:rsidRDefault="00132496" w:rsidP="006929B6">
            <w:pPr>
              <w:suppressAutoHyphens/>
              <w:rPr>
                <w:rFonts w:ascii="Times New Roman" w:hAnsi="Times New Roman"/>
              </w:rPr>
            </w:pPr>
            <w:r w:rsidRPr="00DD122D">
              <w:rPr>
                <w:rFonts w:ascii="Times New Roman" w:eastAsia="Times New Roman" w:hAnsi="Times New Roman"/>
                <w:color w:val="000000" w:themeColor="text1"/>
              </w:rPr>
              <w:t>YAWWA</w:t>
            </w:r>
          </w:p>
        </w:tc>
        <w:tc>
          <w:tcPr>
            <w:tcW w:w="7645" w:type="dxa"/>
            <w:shd w:val="clear" w:color="auto" w:fill="auto"/>
          </w:tcPr>
          <w:p w14:paraId="0C9DB7E2" w14:textId="1C8D2ECA" w:rsidR="00132496" w:rsidRPr="00B2162D" w:rsidRDefault="00132496" w:rsidP="006929B6">
            <w:pPr>
              <w:suppressAutoHyphens/>
              <w:rPr>
                <w:rFonts w:ascii="Times New Roman" w:hAnsi="Times New Roman"/>
              </w:rPr>
            </w:pPr>
            <w:r w:rsidRPr="00DD122D">
              <w:rPr>
                <w:rFonts w:ascii="Times New Roman" w:eastAsia="Times New Roman" w:hAnsi="Times New Roman"/>
                <w:color w:val="000000" w:themeColor="text1"/>
              </w:rPr>
              <w:t>National Assembly Strengthening, Youth, Advocacy, Women, Work and Alliances</w:t>
            </w:r>
          </w:p>
        </w:tc>
      </w:tr>
    </w:tbl>
    <w:p w14:paraId="1C824E6E" w14:textId="4224BF69" w:rsidR="000128B7" w:rsidRDefault="000128B7" w:rsidP="00C83B2C">
      <w:pPr>
        <w:pStyle w:val="Heading1"/>
        <w:tabs>
          <w:tab w:val="left" w:pos="450"/>
        </w:tabs>
        <w:ind w:left="0" w:firstLine="0"/>
        <w:rPr>
          <w:sz w:val="8"/>
        </w:rPr>
        <w:sectPr w:rsidR="000128B7" w:rsidSect="000128B7">
          <w:footerReference w:type="default" r:id="rId12"/>
          <w:pgSz w:w="12240" w:h="15840"/>
          <w:pgMar w:top="1440" w:right="1440" w:bottom="1440" w:left="1440" w:header="720" w:footer="720" w:gutter="0"/>
          <w:pgNumType w:fmt="lowerRoman"/>
          <w:cols w:space="720"/>
          <w:docGrid w:linePitch="360"/>
        </w:sectPr>
      </w:pPr>
      <w:bookmarkStart w:id="7" w:name="_Toc379798517"/>
    </w:p>
    <w:p w14:paraId="6AD2C830" w14:textId="0057B144" w:rsidR="00E769A5" w:rsidRPr="00CB00BE" w:rsidRDefault="000564C0" w:rsidP="006F282B">
      <w:pPr>
        <w:pStyle w:val="Heading1"/>
        <w:numPr>
          <w:ilvl w:val="0"/>
          <w:numId w:val="14"/>
        </w:numPr>
        <w:tabs>
          <w:tab w:val="left" w:pos="450"/>
        </w:tabs>
        <w:ind w:left="630" w:hanging="720"/>
      </w:pPr>
      <w:bookmarkStart w:id="8" w:name="_Toc453621870"/>
      <w:r w:rsidRPr="00CB00BE">
        <w:t>Introduction</w:t>
      </w:r>
      <w:bookmarkEnd w:id="8"/>
    </w:p>
    <w:p w14:paraId="62541884" w14:textId="22E7F7AC" w:rsidR="007010BC" w:rsidRPr="00CB00BE" w:rsidRDefault="00CF5422" w:rsidP="0017151D">
      <w:pPr>
        <w:pStyle w:val="Heading2"/>
        <w:numPr>
          <w:ilvl w:val="1"/>
          <w:numId w:val="19"/>
        </w:numPr>
        <w:tabs>
          <w:tab w:val="left" w:pos="540"/>
          <w:tab w:val="left" w:pos="1890"/>
        </w:tabs>
      </w:pPr>
      <w:r>
        <w:t xml:space="preserve"> </w:t>
      </w:r>
      <w:bookmarkStart w:id="9" w:name="_Toc453087818"/>
      <w:bookmarkStart w:id="10" w:name="_Toc453087897"/>
      <w:bookmarkStart w:id="11" w:name="_Toc453087962"/>
      <w:bookmarkStart w:id="12" w:name="_Toc453088044"/>
      <w:bookmarkStart w:id="13" w:name="_Toc453088093"/>
      <w:bookmarkStart w:id="14" w:name="_Toc453088143"/>
      <w:bookmarkStart w:id="15" w:name="_Toc453088284"/>
      <w:bookmarkStart w:id="16" w:name="_Toc453088334"/>
      <w:bookmarkStart w:id="17" w:name="_Toc453088425"/>
      <w:bookmarkStart w:id="18" w:name="_Toc453088467"/>
      <w:bookmarkStart w:id="19" w:name="_Toc453088590"/>
      <w:bookmarkStart w:id="20" w:name="_Toc453087819"/>
      <w:bookmarkStart w:id="21" w:name="_Toc453087898"/>
      <w:bookmarkStart w:id="22" w:name="_Toc453087963"/>
      <w:bookmarkStart w:id="23" w:name="_Toc453088045"/>
      <w:bookmarkStart w:id="24" w:name="_Toc453088094"/>
      <w:bookmarkStart w:id="25" w:name="_Toc453088144"/>
      <w:bookmarkStart w:id="26" w:name="_Toc453088285"/>
      <w:bookmarkStart w:id="27" w:name="_Toc453088335"/>
      <w:bookmarkStart w:id="28" w:name="_Toc453088426"/>
      <w:bookmarkStart w:id="29" w:name="_Toc453088468"/>
      <w:bookmarkStart w:id="30" w:name="_Toc453088591"/>
      <w:bookmarkStart w:id="31" w:name="_Toc375997510"/>
      <w:bookmarkStart w:id="32" w:name="_Toc379798518"/>
      <w:bookmarkStart w:id="33" w:name="_Toc453621871"/>
      <w:bookmarkEnd w:id="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007010BC" w:rsidRPr="00CB00BE">
        <w:t>Purpose of the PMEP</w:t>
      </w:r>
      <w:bookmarkEnd w:id="31"/>
      <w:bookmarkEnd w:id="32"/>
      <w:bookmarkEnd w:id="33"/>
    </w:p>
    <w:p w14:paraId="0187BCF4" w14:textId="75E322E1" w:rsidR="007010BC" w:rsidRPr="003B7F57" w:rsidRDefault="007010BC" w:rsidP="00DD122D">
      <w:pPr>
        <w:keepNext/>
        <w:spacing w:before="120" w:after="120"/>
        <w:rPr>
          <w:rFonts w:ascii="Times New Roman" w:hAnsi="Times New Roman"/>
        </w:rPr>
      </w:pPr>
      <w:r w:rsidRPr="003B7F57">
        <w:rPr>
          <w:rFonts w:ascii="Times New Roman" w:hAnsi="Times New Roman"/>
        </w:rPr>
        <w:t xml:space="preserve">Program monitoring and evaluation is an integral part of Counterpart International’s management strategy. In the </w:t>
      </w:r>
      <w:r w:rsidR="00FD02AF" w:rsidRPr="00395ED5">
        <w:rPr>
          <w:rFonts w:ascii="Times New Roman" w:hAnsi="Times New Roman"/>
        </w:rPr>
        <w:t>Participatory Responsive Governance-Principal Activity</w:t>
      </w:r>
      <w:r w:rsidRPr="00395ED5">
        <w:rPr>
          <w:rFonts w:ascii="Times New Roman" w:hAnsi="Times New Roman"/>
        </w:rPr>
        <w:t xml:space="preserve"> </w:t>
      </w:r>
      <w:r w:rsidR="00FD02AF">
        <w:rPr>
          <w:rFonts w:ascii="Times New Roman" w:hAnsi="Times New Roman"/>
        </w:rPr>
        <w:t xml:space="preserve">(PRG-PA) </w:t>
      </w:r>
      <w:r w:rsidRPr="003B7F57">
        <w:rPr>
          <w:rFonts w:ascii="Times New Roman" w:hAnsi="Times New Roman"/>
        </w:rPr>
        <w:t>program Counterpart Monitoring and Evaluation (M&amp;E) systems will be integrated with program implementation to measure the impacts and effectiveness of the program interventions as well as provide feedback about the progress towards stated goals and objectives. Our M&amp;E systems are also a key mechanism to ensure compliance with donor regulations and requirements.</w:t>
      </w:r>
    </w:p>
    <w:p w14:paraId="7A539639" w14:textId="0883B3B6" w:rsidR="007010BC" w:rsidRPr="003B7F57" w:rsidRDefault="007010BC" w:rsidP="00DD122D">
      <w:pPr>
        <w:keepNext/>
        <w:spacing w:before="120" w:after="120"/>
        <w:rPr>
          <w:rFonts w:ascii="Times New Roman" w:hAnsi="Times New Roman"/>
        </w:rPr>
      </w:pPr>
      <w:r w:rsidRPr="003B7F57">
        <w:rPr>
          <w:rFonts w:ascii="Times New Roman" w:hAnsi="Times New Roman"/>
        </w:rPr>
        <w:t xml:space="preserve">The M&amp;E strategy will generate and utilize systems that are practical, effective, and adaptable to the needs of the program which will provide timely information to program staff that will further assist in measuring program progress, identifying potential obstacles at an early stage, and make programmatic adjustments as needed based upon clear and robust data. Monitoring and </w:t>
      </w:r>
      <w:r w:rsidR="00273555">
        <w:rPr>
          <w:rFonts w:ascii="Times New Roman" w:hAnsi="Times New Roman"/>
        </w:rPr>
        <w:t>e</w:t>
      </w:r>
      <w:r w:rsidRPr="003B7F57">
        <w:rPr>
          <w:rFonts w:ascii="Times New Roman" w:hAnsi="Times New Roman"/>
        </w:rPr>
        <w:t xml:space="preserve">valuation is an on-going process that evolves as the program takes shape. In managing information, it is critical that a balance be maintained between the anticipated results of the program and information culled from all levels of Counterpart International. Changes in circumstances on the ground and the overall environment of </w:t>
      </w:r>
      <w:r w:rsidR="00FD02AF" w:rsidRPr="00395ED5">
        <w:rPr>
          <w:rFonts w:ascii="Times New Roman" w:hAnsi="Times New Roman"/>
        </w:rPr>
        <w:t xml:space="preserve">democracy and governance </w:t>
      </w:r>
      <w:r w:rsidR="0050681B" w:rsidRPr="00395ED5">
        <w:rPr>
          <w:rFonts w:ascii="Times New Roman" w:hAnsi="Times New Roman"/>
        </w:rPr>
        <w:t xml:space="preserve"> </w:t>
      </w:r>
      <w:r w:rsidRPr="00395ED5">
        <w:rPr>
          <w:rFonts w:ascii="Times New Roman" w:hAnsi="Times New Roman"/>
        </w:rPr>
        <w:t xml:space="preserve"> </w:t>
      </w:r>
      <w:r w:rsidRPr="003B7F57">
        <w:rPr>
          <w:rFonts w:ascii="Times New Roman" w:hAnsi="Times New Roman"/>
        </w:rPr>
        <w:t xml:space="preserve">programs </w:t>
      </w:r>
      <w:r w:rsidR="00004565" w:rsidRPr="003B7F57">
        <w:rPr>
          <w:rFonts w:ascii="Times New Roman" w:hAnsi="Times New Roman"/>
        </w:rPr>
        <w:t>necessitate</w:t>
      </w:r>
      <w:r w:rsidRPr="003B7F57">
        <w:rPr>
          <w:rFonts w:ascii="Times New Roman" w:hAnsi="Times New Roman"/>
        </w:rPr>
        <w:t xml:space="preserve"> a flexible and integrated M&amp;E strategy that involves local partners, a focus on capacity building, and a continuous exchange of information between field staff and HQ.</w:t>
      </w:r>
    </w:p>
    <w:p w14:paraId="73B6FD25" w14:textId="77777777" w:rsidR="007010BC" w:rsidRPr="003B7F57" w:rsidRDefault="00FD02AF" w:rsidP="00DD122D">
      <w:pPr>
        <w:keepNext/>
        <w:spacing w:before="120" w:after="120"/>
        <w:rPr>
          <w:rFonts w:ascii="Times New Roman" w:hAnsi="Times New Roman"/>
        </w:rPr>
      </w:pPr>
      <w:r w:rsidRPr="00395ED5">
        <w:rPr>
          <w:rFonts w:ascii="Times New Roman" w:hAnsi="Times New Roman"/>
        </w:rPr>
        <w:t>PRG-PA</w:t>
      </w:r>
      <w:r w:rsidR="007010BC" w:rsidRPr="00395ED5">
        <w:rPr>
          <w:rFonts w:ascii="Times New Roman" w:hAnsi="Times New Roman"/>
        </w:rPr>
        <w:t xml:space="preserve">’s </w:t>
      </w:r>
      <w:r w:rsidR="007010BC" w:rsidRPr="003B7F57">
        <w:rPr>
          <w:rFonts w:ascii="Times New Roman" w:hAnsi="Times New Roman"/>
        </w:rPr>
        <w:t>comprehensive M&amp;E system is designed to:</w:t>
      </w:r>
    </w:p>
    <w:p w14:paraId="4E1A58C5" w14:textId="77777777" w:rsidR="007010BC" w:rsidRPr="003B7F57" w:rsidRDefault="007010BC" w:rsidP="006F282B">
      <w:pPr>
        <w:keepNext/>
        <w:numPr>
          <w:ilvl w:val="0"/>
          <w:numId w:val="2"/>
        </w:numPr>
        <w:rPr>
          <w:rFonts w:ascii="Times New Roman" w:hAnsi="Times New Roman"/>
        </w:rPr>
      </w:pPr>
      <w:r w:rsidRPr="003B7F57">
        <w:rPr>
          <w:rFonts w:ascii="Times New Roman" w:hAnsi="Times New Roman"/>
        </w:rPr>
        <w:t xml:space="preserve">Provide a system of data collection and ensure data efficacy and accuracy for meeting </w:t>
      </w:r>
      <w:r w:rsidR="00FD02AF" w:rsidRPr="00395ED5">
        <w:rPr>
          <w:rFonts w:ascii="Times New Roman" w:hAnsi="Times New Roman"/>
        </w:rPr>
        <w:t xml:space="preserve">Participatory Responsive Governance-Principal Activity </w:t>
      </w:r>
      <w:r w:rsidRPr="003B7F57">
        <w:rPr>
          <w:rFonts w:ascii="Times New Roman" w:hAnsi="Times New Roman"/>
        </w:rPr>
        <w:t>indicator targets;</w:t>
      </w:r>
    </w:p>
    <w:p w14:paraId="63CC5FCC" w14:textId="5A5F58CB" w:rsidR="007010BC" w:rsidRPr="003B7F57" w:rsidRDefault="007010BC" w:rsidP="006F282B">
      <w:pPr>
        <w:keepNext/>
        <w:numPr>
          <w:ilvl w:val="0"/>
          <w:numId w:val="2"/>
        </w:numPr>
        <w:rPr>
          <w:rFonts w:ascii="Times New Roman" w:hAnsi="Times New Roman"/>
        </w:rPr>
      </w:pPr>
      <w:r w:rsidRPr="003B7F57">
        <w:rPr>
          <w:rFonts w:ascii="Times New Roman" w:hAnsi="Times New Roman"/>
        </w:rPr>
        <w:t xml:space="preserve">Help the </w:t>
      </w:r>
      <w:r w:rsidR="00FD02AF" w:rsidRPr="00395ED5">
        <w:rPr>
          <w:rFonts w:ascii="Times New Roman" w:hAnsi="Times New Roman"/>
        </w:rPr>
        <w:t xml:space="preserve">PRG-PA </w:t>
      </w:r>
      <w:r w:rsidRPr="003B7F57">
        <w:rPr>
          <w:rFonts w:ascii="Times New Roman" w:hAnsi="Times New Roman"/>
        </w:rPr>
        <w:t xml:space="preserve">program team collect and organize information to measure progress and to make programmatic adjustments </w:t>
      </w:r>
      <w:r w:rsidR="00273555">
        <w:rPr>
          <w:rFonts w:ascii="Times New Roman" w:hAnsi="Times New Roman"/>
        </w:rPr>
        <w:t>in response</w:t>
      </w:r>
      <w:r w:rsidRPr="003B7F57">
        <w:rPr>
          <w:rFonts w:ascii="Times New Roman" w:hAnsi="Times New Roman"/>
        </w:rPr>
        <w:t xml:space="preserve"> to shifting needs;</w:t>
      </w:r>
      <w:r>
        <w:rPr>
          <w:rFonts w:ascii="Times New Roman" w:hAnsi="Times New Roman"/>
        </w:rPr>
        <w:t xml:space="preserve"> and</w:t>
      </w:r>
    </w:p>
    <w:p w14:paraId="3EDD6687" w14:textId="7CED8716" w:rsidR="0012199A" w:rsidRPr="00FE0AD9" w:rsidRDefault="007010BC" w:rsidP="006F282B">
      <w:pPr>
        <w:keepNext/>
        <w:numPr>
          <w:ilvl w:val="0"/>
          <w:numId w:val="2"/>
        </w:numPr>
        <w:rPr>
          <w:rFonts w:ascii="Times New Roman" w:hAnsi="Times New Roman"/>
        </w:rPr>
      </w:pPr>
      <w:r w:rsidRPr="003B7F57">
        <w:rPr>
          <w:rFonts w:ascii="Times New Roman" w:hAnsi="Times New Roman"/>
        </w:rPr>
        <w:t>Provide guidance to the program management team for program planning</w:t>
      </w:r>
      <w:r>
        <w:rPr>
          <w:rFonts w:ascii="Times New Roman" w:hAnsi="Times New Roman"/>
        </w:rPr>
        <w:t>.</w:t>
      </w:r>
    </w:p>
    <w:p w14:paraId="0B33494A" w14:textId="0871AD0D" w:rsidR="007010BC" w:rsidRDefault="007010BC" w:rsidP="0017151D">
      <w:pPr>
        <w:pStyle w:val="Heading2"/>
        <w:numPr>
          <w:ilvl w:val="1"/>
          <w:numId w:val="19"/>
        </w:numPr>
        <w:tabs>
          <w:tab w:val="left" w:pos="540"/>
          <w:tab w:val="left" w:pos="1890"/>
        </w:tabs>
      </w:pPr>
      <w:bookmarkStart w:id="34" w:name="_Toc453087821"/>
      <w:bookmarkStart w:id="35" w:name="_Toc453087900"/>
      <w:bookmarkStart w:id="36" w:name="_Toc453087965"/>
      <w:bookmarkStart w:id="37" w:name="_Toc453088047"/>
      <w:bookmarkStart w:id="38" w:name="_Toc453088096"/>
      <w:bookmarkStart w:id="39" w:name="_Toc453088146"/>
      <w:bookmarkStart w:id="40" w:name="_Toc453088287"/>
      <w:bookmarkStart w:id="41" w:name="_Toc453088337"/>
      <w:bookmarkStart w:id="42" w:name="_Toc453088428"/>
      <w:bookmarkStart w:id="43" w:name="_Toc453088470"/>
      <w:bookmarkStart w:id="44" w:name="_Toc375997511"/>
      <w:bookmarkStart w:id="45" w:name="_Toc379798519"/>
      <w:bookmarkStart w:id="46" w:name="_Toc453621872"/>
      <w:bookmarkEnd w:id="34"/>
      <w:bookmarkEnd w:id="35"/>
      <w:bookmarkEnd w:id="36"/>
      <w:bookmarkEnd w:id="37"/>
      <w:bookmarkEnd w:id="38"/>
      <w:bookmarkEnd w:id="39"/>
      <w:bookmarkEnd w:id="40"/>
      <w:bookmarkEnd w:id="41"/>
      <w:bookmarkEnd w:id="42"/>
      <w:bookmarkEnd w:id="43"/>
      <w:r w:rsidRPr="00525877">
        <w:t>The Development Context</w:t>
      </w:r>
      <w:bookmarkEnd w:id="44"/>
      <w:bookmarkEnd w:id="45"/>
      <w:bookmarkEnd w:id="46"/>
    </w:p>
    <w:p w14:paraId="439EBF22" w14:textId="27E667A0" w:rsidR="00FE0AD9" w:rsidRPr="006F282B" w:rsidRDefault="00BB5B4C" w:rsidP="006F282B">
      <w:pPr>
        <w:spacing w:before="120" w:after="120"/>
        <w:rPr>
          <w:rFonts w:ascii="Times New Roman" w:eastAsia="Times New Roman" w:hAnsi="Times New Roman"/>
          <w:color w:val="000000" w:themeColor="text1"/>
        </w:rPr>
      </w:pPr>
      <w:r>
        <w:rPr>
          <w:rFonts w:ascii="Times New Roman" w:eastAsia="Times New Roman" w:hAnsi="Times New Roman"/>
          <w:color w:val="000000" w:themeColor="text1"/>
        </w:rPr>
        <w:t xml:space="preserve">Niger, </w:t>
      </w:r>
      <w:r w:rsidRPr="006F282B">
        <w:rPr>
          <w:rFonts w:ascii="Times New Roman" w:eastAsia="Times New Roman" w:hAnsi="Times New Roman"/>
          <w:color w:val="000000" w:themeColor="text1"/>
        </w:rPr>
        <w:t>wi</w:t>
      </w:r>
      <w:r>
        <w:rPr>
          <w:rFonts w:ascii="Times New Roman" w:eastAsia="Times New Roman" w:hAnsi="Times New Roman"/>
          <w:color w:val="000000" w:themeColor="text1"/>
        </w:rPr>
        <w:t>th an estimated population of 18</w:t>
      </w:r>
      <w:r w:rsidRPr="006F282B">
        <w:rPr>
          <w:rFonts w:ascii="Times New Roman" w:eastAsia="Times New Roman" w:hAnsi="Times New Roman"/>
          <w:color w:val="000000" w:themeColor="text1"/>
        </w:rPr>
        <w:t xml:space="preserve"> million, is </w:t>
      </w:r>
      <w:r>
        <w:rPr>
          <w:rFonts w:ascii="Times New Roman" w:eastAsia="Times New Roman" w:hAnsi="Times New Roman"/>
          <w:color w:val="000000" w:themeColor="text1"/>
        </w:rPr>
        <w:t xml:space="preserve">a landlocked country </w:t>
      </w:r>
      <w:r w:rsidRPr="006F282B">
        <w:rPr>
          <w:rFonts w:ascii="Times New Roman" w:eastAsia="Times New Roman" w:hAnsi="Times New Roman"/>
          <w:color w:val="000000" w:themeColor="text1"/>
        </w:rPr>
        <w:t xml:space="preserve">characterized by a high population growth rate, </w:t>
      </w:r>
      <w:r w:rsidR="00FE0AD9">
        <w:rPr>
          <w:rFonts w:ascii="Times New Roman" w:eastAsia="Times New Roman" w:hAnsi="Times New Roman"/>
          <w:color w:val="000000" w:themeColor="text1"/>
        </w:rPr>
        <w:t xml:space="preserve">environmental challenges due to desertification, </w:t>
      </w:r>
      <w:r w:rsidRPr="006F282B">
        <w:rPr>
          <w:rFonts w:ascii="Times New Roman" w:eastAsia="Times New Roman" w:hAnsi="Times New Roman"/>
          <w:color w:val="000000" w:themeColor="text1"/>
        </w:rPr>
        <w:t>a vulnerable economy lacking in diversification, and a high depend</w:t>
      </w:r>
      <w:r>
        <w:rPr>
          <w:rFonts w:ascii="Times New Roman" w:eastAsia="Times New Roman" w:hAnsi="Times New Roman"/>
          <w:color w:val="000000" w:themeColor="text1"/>
        </w:rPr>
        <w:t>ence on devel</w:t>
      </w:r>
      <w:r w:rsidR="00FE0AD9">
        <w:rPr>
          <w:rFonts w:ascii="Times New Roman" w:eastAsia="Times New Roman" w:hAnsi="Times New Roman"/>
          <w:color w:val="000000" w:themeColor="text1"/>
        </w:rPr>
        <w:t>opment assistance.</w:t>
      </w:r>
      <w:r w:rsidR="00FE0AD9" w:rsidRPr="006F282B">
        <w:rPr>
          <w:rFonts w:ascii="Times New Roman" w:eastAsia="Times New Roman" w:hAnsi="Times New Roman"/>
          <w:color w:val="000000" w:themeColor="text1"/>
        </w:rPr>
        <w:t xml:space="preserve"> Niger consistently ranks at the bottom of the United Natio</w:t>
      </w:r>
      <w:r w:rsidR="00FE0AD9">
        <w:rPr>
          <w:rFonts w:ascii="Times New Roman" w:eastAsia="Times New Roman" w:hAnsi="Times New Roman"/>
          <w:color w:val="000000" w:themeColor="text1"/>
        </w:rPr>
        <w:t xml:space="preserve">ns (UN) Human Development Index and </w:t>
      </w:r>
    </w:p>
    <w:p w14:paraId="30EE33EB" w14:textId="4D12C92C" w:rsidR="00FE0AD9" w:rsidRDefault="00B20EB3" w:rsidP="006F282B">
      <w:pPr>
        <w:spacing w:before="120" w:after="120"/>
      </w:pPr>
      <w:r>
        <w:rPr>
          <w:rFonts w:ascii="Times New Roman" w:eastAsia="Times New Roman" w:hAnsi="Times New Roman"/>
          <w:color w:val="000000" w:themeColor="text1"/>
        </w:rPr>
        <w:t>t</w:t>
      </w:r>
      <w:r w:rsidR="00FE0AD9" w:rsidRPr="006F282B">
        <w:rPr>
          <w:rFonts w:ascii="Times New Roman" w:eastAsia="Times New Roman" w:hAnsi="Times New Roman"/>
          <w:color w:val="000000" w:themeColor="text1"/>
        </w:rPr>
        <w:t>he government of Niger’s (GON) inability to meet the basic needs of its citizens and to decentralize governance has diminished public confidence and caused citizens to question democracy as a credible system of governance</w:t>
      </w:r>
      <w:r w:rsidR="00FE0AD9">
        <w:rPr>
          <w:rFonts w:ascii="Times New Roman" w:eastAsia="Times New Roman" w:hAnsi="Times New Roman"/>
          <w:color w:val="000000" w:themeColor="text1"/>
        </w:rPr>
        <w:t xml:space="preserve">. Niger’s departments and municipalities, are largely dependent on the central government, </w:t>
      </w:r>
      <w:r w:rsidR="00FE0AD9" w:rsidRPr="006F282B">
        <w:rPr>
          <w:rFonts w:ascii="Times New Roman" w:eastAsia="Times New Roman" w:hAnsi="Times New Roman"/>
          <w:color w:val="000000" w:themeColor="text1"/>
        </w:rPr>
        <w:t>its leaders often lack connections to communities. Instead, these communities often rely on traditional leaders, including sultans and chiefs, to advise them and negotiate through informal structures to address local needs. Exacerbating Niger’s governance crisis are challenges related to both internal and external security threats, as regional conflicts in Libya and Mali, as well as Boko Haram along Niger’s border with Nigeria, have increased trafficking and criminal activity in Niger, diverting the state’s already limited financial resources to security.</w:t>
      </w:r>
      <w:r w:rsidR="00FE0AD9">
        <w:t xml:space="preserve">  </w:t>
      </w:r>
    </w:p>
    <w:p w14:paraId="7E791B36" w14:textId="2D18EEF9" w:rsidR="00B20EB3" w:rsidRDefault="00FE0AD9" w:rsidP="006F282B">
      <w:pPr>
        <w:spacing w:before="120" w:after="120"/>
        <w:rPr>
          <w:rFonts w:ascii="Times New Roman" w:eastAsia="Times New Roman" w:hAnsi="Times New Roman"/>
          <w:color w:val="000000" w:themeColor="text1"/>
        </w:rPr>
      </w:pPr>
      <w:r w:rsidRPr="006F282B">
        <w:rPr>
          <w:rFonts w:ascii="Times New Roman" w:eastAsia="Times New Roman" w:hAnsi="Times New Roman"/>
          <w:color w:val="000000" w:themeColor="text1"/>
        </w:rPr>
        <w:t xml:space="preserve">Nigerien women and youth are among the most alienated groups. Youth constitute more than half the population in Niger. Frequently unemployed and politically voiceless, they are vulnerable to recruitment into violent extremist and gang-like groups. Niger ranks last in the UN Development Program (UNDP) Gender Inequality Index due to the lack of decision-making power and status afforded to women, and high rates of sexual and gender-based violence (SGBV) and early marriage. Men are often charged with decisions related to women’s and girls’ education and healthcare and regulate their participation in public life.  </w:t>
      </w:r>
    </w:p>
    <w:p w14:paraId="450047E0" w14:textId="77777777" w:rsidR="00B20EB3" w:rsidRPr="006F282B" w:rsidRDefault="00B20EB3" w:rsidP="00B20EB3">
      <w:pPr>
        <w:pStyle w:val="NoSpacing"/>
        <w:spacing w:before="120" w:after="120"/>
        <w:jc w:val="both"/>
        <w:rPr>
          <w:rFonts w:ascii="Times New Roman" w:hAnsi="Times New Roman" w:cs="Times New Roman"/>
          <w:sz w:val="24"/>
          <w:szCs w:val="24"/>
          <w:lang w:val="en-US"/>
        </w:rPr>
      </w:pPr>
      <w:r w:rsidRPr="006F282B">
        <w:rPr>
          <w:rFonts w:ascii="Times New Roman" w:hAnsi="Times New Roman" w:cs="Times New Roman"/>
          <w:sz w:val="24"/>
          <w:szCs w:val="24"/>
          <w:lang w:val="en-US"/>
        </w:rPr>
        <w:t xml:space="preserve">Having recently completed the first round of legislative and presidential elections in February and a second round presidential run-off election in March, Niger is preparing to hold local elections currently scheduled for January 2017. </w:t>
      </w:r>
    </w:p>
    <w:p w14:paraId="127EED26" w14:textId="05FDAED8" w:rsidR="00004565" w:rsidRPr="00842724" w:rsidRDefault="00B20EB3" w:rsidP="00842724">
      <w:pPr>
        <w:pStyle w:val="NoSpacing"/>
        <w:spacing w:before="120" w:after="120"/>
        <w:jc w:val="both"/>
        <w:rPr>
          <w:rFonts w:ascii="Times New Roman" w:hAnsi="Times New Roman" w:cs="Times New Roman"/>
          <w:sz w:val="24"/>
          <w:szCs w:val="24"/>
          <w:lang w:val="en-US"/>
        </w:rPr>
      </w:pPr>
      <w:r w:rsidRPr="006F282B">
        <w:rPr>
          <w:rFonts w:ascii="Times New Roman" w:hAnsi="Times New Roman" w:cs="Times New Roman"/>
          <w:sz w:val="24"/>
          <w:szCs w:val="24"/>
          <w:lang w:val="en-US"/>
        </w:rPr>
        <w:t xml:space="preserve">The level of voter participation for the legislative and presidential election was the highest since independence recorded at over 67%. The participation level for the presidential run-off election is disputed. The opposition called for a boycott of the vote and claims there was very low voter turn-out while the Independent National Electoral Commission (CENI) reported a participation rate of nearly 60%. </w:t>
      </w:r>
    </w:p>
    <w:p w14:paraId="498F4757" w14:textId="06399D49" w:rsidR="007010BC" w:rsidRDefault="007010BC" w:rsidP="0017151D">
      <w:pPr>
        <w:pStyle w:val="Heading2"/>
        <w:numPr>
          <w:ilvl w:val="1"/>
          <w:numId w:val="19"/>
        </w:numPr>
        <w:tabs>
          <w:tab w:val="left" w:pos="540"/>
          <w:tab w:val="left" w:pos="1890"/>
        </w:tabs>
      </w:pPr>
      <w:bookmarkStart w:id="47" w:name="_Toc375997512"/>
      <w:bookmarkStart w:id="48" w:name="_Toc379798520"/>
      <w:bookmarkStart w:id="49" w:name="_Toc453621873"/>
      <w:r w:rsidRPr="00525877">
        <w:t>The USAID</w:t>
      </w:r>
      <w:r>
        <w:t>/</w:t>
      </w:r>
      <w:r w:rsidR="00FD02AF" w:rsidRPr="00931E65">
        <w:t>Niger</w:t>
      </w:r>
      <w:r w:rsidR="00FD02AF" w:rsidRPr="00395ED5">
        <w:rPr>
          <w:color w:val="auto"/>
        </w:rPr>
        <w:t xml:space="preserve"> </w:t>
      </w:r>
      <w:r w:rsidRPr="00525877">
        <w:t>S</w:t>
      </w:r>
      <w:bookmarkEnd w:id="47"/>
      <w:bookmarkEnd w:id="48"/>
      <w:r>
        <w:t>trategy</w:t>
      </w:r>
      <w:bookmarkEnd w:id="49"/>
    </w:p>
    <w:p w14:paraId="18B0BBEF" w14:textId="77777777" w:rsidR="00B5319E" w:rsidRPr="00DD122D" w:rsidRDefault="00B5319E" w:rsidP="00DD122D">
      <w:pPr>
        <w:spacing w:before="120" w:after="120"/>
        <w:rPr>
          <w:color w:val="000000" w:themeColor="text1"/>
        </w:rPr>
      </w:pPr>
      <w:r w:rsidRPr="00DD122D">
        <w:rPr>
          <w:rFonts w:ascii="Times New Roman" w:eastAsia="Times New Roman" w:hAnsi="Times New Roman"/>
          <w:color w:val="000000" w:themeColor="text1"/>
        </w:rPr>
        <w:t xml:space="preserve">The PRG-PA program contributes to Mission Goal number one of the United States Government Integrated Country Strategy for Niger 2015-2017 (ICS) that </w:t>
      </w:r>
      <w:r w:rsidRPr="00DD122D">
        <w:rPr>
          <w:rFonts w:ascii="Times New Roman" w:eastAsia="Times New Roman" w:hAnsi="Times New Roman"/>
          <w:i/>
          <w:color w:val="000000" w:themeColor="text1"/>
        </w:rPr>
        <w:t>Niger is a friendly, stable democracy with increasingly accountable governance and respect for human rights</w:t>
      </w:r>
      <w:r w:rsidRPr="00DD122D">
        <w:rPr>
          <w:rFonts w:ascii="Times New Roman" w:eastAsia="Times New Roman" w:hAnsi="Times New Roman"/>
          <w:color w:val="000000" w:themeColor="text1"/>
        </w:rPr>
        <w:t xml:space="preserve">, by aiming to render the electoral processes more responsive, participatory, and focused on citizen priorities, and by following up on elections with efforts to hold politicians accountable for their campaign promises but also by assisting these elected  leaders through collective action together with civil society, private sector, thought leaders and other actors. In alignment with the mission of the ICS, PRG-PA activities support the consolidation of democratic advances in Niger in ways that aim to lead to effective democratic institutions and increased national and regional stability providing greater well-being for more Nigeriens.  </w:t>
      </w:r>
    </w:p>
    <w:p w14:paraId="4F2685CF" w14:textId="77777777" w:rsidR="00B5319E" w:rsidRPr="00DD122D" w:rsidRDefault="00B5319E" w:rsidP="00DD122D">
      <w:pPr>
        <w:spacing w:before="120" w:after="120"/>
        <w:rPr>
          <w:rFonts w:ascii="Times New Roman" w:eastAsia="Times New Roman" w:hAnsi="Times New Roman"/>
          <w:color w:val="000000" w:themeColor="text1"/>
        </w:rPr>
      </w:pPr>
      <w:bookmarkStart w:id="50" w:name="h.1xakstyhmpyp" w:colFirst="0" w:colLast="0"/>
      <w:bookmarkEnd w:id="50"/>
      <w:r w:rsidRPr="00DD122D">
        <w:rPr>
          <w:rFonts w:ascii="Times New Roman" w:eastAsia="Times New Roman" w:hAnsi="Times New Roman"/>
          <w:color w:val="000000" w:themeColor="text1"/>
        </w:rPr>
        <w:t xml:space="preserve">The PRG-PA program is a principal contributor to the achievement of Development Objective 2 under the Niger Operational Framework: </w:t>
      </w:r>
      <w:r w:rsidRPr="00DD122D">
        <w:rPr>
          <w:rFonts w:ascii="Times New Roman" w:eastAsia="Times New Roman" w:hAnsi="Times New Roman"/>
          <w:i/>
          <w:color w:val="000000" w:themeColor="text1"/>
        </w:rPr>
        <w:t>Citizen Confidence in the state increased among target populations.</w:t>
      </w:r>
      <w:r w:rsidRPr="00DD122D">
        <w:rPr>
          <w:rFonts w:ascii="Times New Roman" w:eastAsia="Times New Roman" w:hAnsi="Times New Roman"/>
          <w:color w:val="000000" w:themeColor="text1"/>
        </w:rPr>
        <w:t xml:space="preserve"> Activities under the electoral Phase 1 of the program will help achieve this goal through major contributions to IR 2.1: </w:t>
      </w:r>
      <w:r w:rsidRPr="00DD122D">
        <w:rPr>
          <w:rFonts w:ascii="Times New Roman" w:eastAsia="Times New Roman" w:hAnsi="Times New Roman"/>
          <w:i/>
          <w:color w:val="000000" w:themeColor="text1"/>
        </w:rPr>
        <w:t>Participatory governance improved</w:t>
      </w:r>
      <w:r w:rsidRPr="00DD122D">
        <w:rPr>
          <w:rFonts w:ascii="Times New Roman" w:eastAsia="Times New Roman" w:hAnsi="Times New Roman"/>
          <w:color w:val="000000" w:themeColor="text1"/>
        </w:rPr>
        <w:t xml:space="preserve">, particularly by working to make the elections more responsive to citizen priorities. Post-electoral activities focused on targeted citizen priorities under Phase 1 will provide initial contributions to results under IR 2.2: </w:t>
      </w:r>
      <w:r w:rsidRPr="00DD122D">
        <w:rPr>
          <w:rFonts w:ascii="Times New Roman" w:eastAsia="Times New Roman" w:hAnsi="Times New Roman"/>
          <w:i/>
          <w:color w:val="000000" w:themeColor="text1"/>
        </w:rPr>
        <w:t>Equitable access to public sector services increased in target areas</w:t>
      </w:r>
      <w:r w:rsidRPr="00DD122D">
        <w:rPr>
          <w:rFonts w:ascii="Times New Roman" w:eastAsia="Times New Roman" w:hAnsi="Times New Roman"/>
          <w:color w:val="000000" w:themeColor="text1"/>
        </w:rPr>
        <w:t xml:space="preserve"> while continuing to contribute to the participatory processes under IR 2.2, including civic engagement in governance.  </w:t>
      </w:r>
    </w:p>
    <w:p w14:paraId="232E8399" w14:textId="7B9FD63D" w:rsidR="00C83B2C" w:rsidRPr="00842724" w:rsidRDefault="00B5319E" w:rsidP="00DD122D">
      <w:pPr>
        <w:spacing w:before="120" w:after="120"/>
        <w:rPr>
          <w:rFonts w:ascii="Times New Roman" w:eastAsia="Times New Roman" w:hAnsi="Times New Roman"/>
          <w:b/>
          <w:color w:val="000000" w:themeColor="text1"/>
        </w:rPr>
      </w:pPr>
      <w:r w:rsidRPr="00DD122D">
        <w:rPr>
          <w:rFonts w:ascii="Times New Roman" w:eastAsia="Times New Roman" w:hAnsi="Times New Roman"/>
          <w:color w:val="000000" w:themeColor="text1"/>
        </w:rPr>
        <w:t xml:space="preserve">Together with current USAID programming under the Resilience and Economic Growth in Sahel-Enhanced Resilience (REGIS-ER), Peace Through Development II, Consortium for Elections and Political Party Strengthening (CEPPS) National Assembly Strengthening, Youth, Advocacy, Women, Work and Alliances (YAWWA) Social Entrepreneurship, Niger Education and Community Strengthening program, Development Food Assistance Program (DFAP);  and USAID’s Office of Transition Initiative activities in Agadez and Diffa, </w:t>
      </w:r>
      <w:r w:rsidR="001C1C04" w:rsidRPr="00DD122D">
        <w:rPr>
          <w:rFonts w:ascii="Times New Roman" w:eastAsia="Times New Roman" w:hAnsi="Times New Roman"/>
          <w:color w:val="000000" w:themeColor="text1"/>
        </w:rPr>
        <w:t>PRG-PA</w:t>
      </w:r>
      <w:r w:rsidRPr="00DD122D">
        <w:rPr>
          <w:rFonts w:ascii="Times New Roman" w:eastAsia="Times New Roman" w:hAnsi="Times New Roman"/>
          <w:color w:val="000000" w:themeColor="text1"/>
        </w:rPr>
        <w:t xml:space="preserve"> will </w:t>
      </w:r>
      <w:r w:rsidR="001C1C04" w:rsidRPr="00DD122D">
        <w:rPr>
          <w:rFonts w:ascii="Times New Roman" w:eastAsia="Times New Roman" w:hAnsi="Times New Roman"/>
          <w:color w:val="000000" w:themeColor="text1"/>
        </w:rPr>
        <w:t>work</w:t>
      </w:r>
      <w:r w:rsidRPr="00DD122D">
        <w:rPr>
          <w:rFonts w:ascii="Times New Roman" w:eastAsia="Times New Roman" w:hAnsi="Times New Roman"/>
          <w:color w:val="000000" w:themeColor="text1"/>
        </w:rPr>
        <w:t xml:space="preserve"> to achieve the DO2 goal of increased citizen confidence in the state and as such contribute to the country development goal of </w:t>
      </w:r>
      <w:r w:rsidRPr="00DD122D">
        <w:rPr>
          <w:rFonts w:ascii="Times New Roman" w:eastAsia="Times New Roman" w:hAnsi="Times New Roman"/>
          <w:i/>
          <w:color w:val="000000" w:themeColor="text1"/>
        </w:rPr>
        <w:t>Increased resilience and stability for Nigeriens to build a more prosperous society</w:t>
      </w:r>
      <w:r w:rsidRPr="00DD122D">
        <w:rPr>
          <w:rFonts w:ascii="Times New Roman" w:eastAsia="Times New Roman" w:hAnsi="Times New Roman"/>
          <w:b/>
          <w:color w:val="000000" w:themeColor="text1"/>
        </w:rPr>
        <w:t>.</w:t>
      </w:r>
    </w:p>
    <w:p w14:paraId="3F1A0630" w14:textId="6A1979EA" w:rsidR="007010BC" w:rsidRDefault="007010BC" w:rsidP="0017151D">
      <w:pPr>
        <w:pStyle w:val="Heading2"/>
        <w:numPr>
          <w:ilvl w:val="1"/>
          <w:numId w:val="19"/>
        </w:numPr>
        <w:tabs>
          <w:tab w:val="left" w:pos="540"/>
          <w:tab w:val="left" w:pos="1890"/>
        </w:tabs>
      </w:pPr>
      <w:bookmarkStart w:id="51" w:name="_Toc453621874"/>
      <w:bookmarkStart w:id="52" w:name="_Toc375997513"/>
      <w:bookmarkStart w:id="53" w:name="_Toc379798521"/>
      <w:bookmarkStart w:id="54" w:name="OLE_LINK1"/>
      <w:r w:rsidRPr="00525877">
        <w:t>Theory of Change</w:t>
      </w:r>
      <w:r>
        <w:t xml:space="preserve"> </w:t>
      </w:r>
      <w:r w:rsidR="00E769A5">
        <w:t>&amp; Program Strategy</w:t>
      </w:r>
      <w:bookmarkEnd w:id="51"/>
    </w:p>
    <w:p w14:paraId="75A16813" w14:textId="2C200522" w:rsidR="00B20EB3" w:rsidRPr="006F282B" w:rsidRDefault="009345E9" w:rsidP="00B20EB3">
      <w:pPr>
        <w:pStyle w:val="NoSpacing"/>
        <w:jc w:val="both"/>
        <w:rPr>
          <w:rFonts w:ascii="Times New Roman" w:hAnsi="Times New Roman" w:cs="Times New Roman"/>
          <w:sz w:val="24"/>
          <w:szCs w:val="24"/>
          <w:lang w:val="en-US"/>
        </w:rPr>
      </w:pPr>
      <w:r w:rsidRPr="006F282B">
        <w:rPr>
          <w:rFonts w:ascii="Times New Roman" w:hAnsi="Times New Roman"/>
          <w:lang w:val="en-US"/>
        </w:rPr>
        <w:t>Counterpart</w:t>
      </w:r>
      <w:r w:rsidR="001C1C04" w:rsidRPr="006F282B">
        <w:rPr>
          <w:rFonts w:ascii="Times New Roman" w:hAnsi="Times New Roman"/>
          <w:lang w:val="en-US"/>
        </w:rPr>
        <w:t xml:space="preserve"> International</w:t>
      </w:r>
      <w:r w:rsidRPr="006F282B">
        <w:rPr>
          <w:rFonts w:ascii="Times New Roman" w:hAnsi="Times New Roman"/>
          <w:lang w:val="en-US"/>
        </w:rPr>
        <w:t xml:space="preserve">’s strategic approach to improving collective responsiveness to priority public needs is </w:t>
      </w:r>
      <w:r w:rsidR="00B20EB3" w:rsidRPr="006F282B">
        <w:rPr>
          <w:rFonts w:ascii="Times New Roman" w:hAnsi="Times New Roman"/>
          <w:sz w:val="24"/>
          <w:szCs w:val="24"/>
          <w:lang w:val="en-US"/>
        </w:rPr>
        <w:t xml:space="preserve">guided by the program’s theory of change </w:t>
      </w:r>
      <w:r w:rsidR="00B20EB3" w:rsidRPr="006F282B">
        <w:rPr>
          <w:rFonts w:ascii="Times New Roman" w:hAnsi="Times New Roman" w:cs="Times New Roman"/>
          <w:sz w:val="24"/>
          <w:szCs w:val="24"/>
          <w:lang w:val="en-US"/>
        </w:rPr>
        <w:t>that increased understanding of local dynamics hindering or promoting reform (research) and increased positive and constructive public discourse (dialogue), combined with the improved ability of civil society, government, and political parties to form alliances and partnerships to achieve reform (collective action), will ultimately bolster local solutions that promote the public good and shift incentives away from behaviors that undermine this good.</w:t>
      </w:r>
    </w:p>
    <w:p w14:paraId="1D4C3DBB" w14:textId="4F77F803" w:rsidR="007010BC" w:rsidRPr="00CB00BE" w:rsidRDefault="00FD02AF" w:rsidP="00DD122D">
      <w:pPr>
        <w:pStyle w:val="Heading3"/>
      </w:pPr>
      <w:bookmarkStart w:id="55" w:name="_Toc453621875"/>
      <w:r w:rsidRPr="00CB00BE">
        <w:t>PRG-PA</w:t>
      </w:r>
      <w:r w:rsidR="007010BC" w:rsidRPr="00CB00BE">
        <w:t xml:space="preserve"> Strategy</w:t>
      </w:r>
      <w:bookmarkEnd w:id="52"/>
      <w:bookmarkEnd w:id="53"/>
      <w:bookmarkEnd w:id="55"/>
    </w:p>
    <w:p w14:paraId="547BA2B3" w14:textId="5950D508" w:rsidR="009345E9" w:rsidRPr="00DD122D" w:rsidRDefault="009345E9" w:rsidP="00DD122D">
      <w:pPr>
        <w:spacing w:before="120" w:after="120"/>
        <w:rPr>
          <w:rFonts w:ascii="Times New Roman" w:eastAsia="Times New Roman" w:hAnsi="Times New Roman"/>
          <w:color w:val="000000" w:themeColor="text1"/>
        </w:rPr>
      </w:pPr>
      <w:r w:rsidRPr="00DD122D">
        <w:rPr>
          <w:rFonts w:ascii="Times New Roman" w:eastAsia="Times New Roman" w:hAnsi="Times New Roman"/>
          <w:color w:val="000000" w:themeColor="text1"/>
        </w:rPr>
        <w:t xml:space="preserve">PRG-PA will work with stakeholders to examine the interaction of these local dynamics, systems, and incentives and create opportunities for dialogue leading to collective actions that encourage government stakeholders to work with civil society and the media toward initiatives that benefit Nigerien society as a whole. PRG-PA will support this through capacity strengthening activities aimed to increase the ability of local actors to understand and carry out research-dialogue-action steps to reach shared public policy goals. </w:t>
      </w:r>
    </w:p>
    <w:p w14:paraId="56B499D8" w14:textId="7B6009C4" w:rsidR="009345E9" w:rsidRPr="00DD122D" w:rsidRDefault="009345E9" w:rsidP="00DD122D">
      <w:pPr>
        <w:spacing w:before="120" w:after="120"/>
        <w:rPr>
          <w:rFonts w:ascii="Times New Roman" w:eastAsia="Times New Roman" w:hAnsi="Times New Roman"/>
          <w:color w:val="000000" w:themeColor="text1"/>
        </w:rPr>
      </w:pPr>
      <w:r w:rsidRPr="00DD122D">
        <w:rPr>
          <w:rFonts w:ascii="Times New Roman" w:eastAsia="Times New Roman" w:hAnsi="Times New Roman"/>
          <w:color w:val="000000" w:themeColor="text1"/>
        </w:rPr>
        <w:t>PRG-PA activities will work with CSOs</w:t>
      </w:r>
      <w:r w:rsidR="00B20EB3">
        <w:rPr>
          <w:rFonts w:ascii="Times New Roman" w:eastAsia="Times New Roman" w:hAnsi="Times New Roman"/>
          <w:color w:val="000000" w:themeColor="text1"/>
        </w:rPr>
        <w:t xml:space="preserve"> and others</w:t>
      </w:r>
      <w:r w:rsidRPr="00DD122D">
        <w:rPr>
          <w:rFonts w:ascii="Times New Roman" w:eastAsia="Times New Roman" w:hAnsi="Times New Roman"/>
          <w:color w:val="000000" w:themeColor="text1"/>
        </w:rPr>
        <w:t xml:space="preserve"> to build on the results of the Initial Political Economy Analysis Action Research Activity (IPEAAR) to support citizen participation in dialogue with government, and to help multiple stakeholders take action around shared goals based on existing formal and informal ways of influencing the provision of public goods in Niger. </w:t>
      </w:r>
    </w:p>
    <w:p w14:paraId="423DAE5C" w14:textId="27F11A8F" w:rsidR="009345E9" w:rsidRPr="00395ED5" w:rsidRDefault="009345E9" w:rsidP="006F282B">
      <w:pPr>
        <w:spacing w:before="120" w:after="120"/>
      </w:pPr>
      <w:r w:rsidRPr="00DD122D">
        <w:rPr>
          <w:rFonts w:ascii="Times New Roman" w:eastAsia="Times New Roman" w:hAnsi="Times New Roman"/>
          <w:color w:val="000000" w:themeColor="text1"/>
        </w:rPr>
        <w:t>PRG-PA will collaborate with the PRG Political Parties Activity (PRG-PP) to complement this work by supporting political parties to better respond to citizens’ priorities and needs. The program will also coordinate with the Local Capacity Strengthening Initial Activity (LCSIA) in its support of select civil society organizations’ ability to engage effectively in issue-focused dialogues and collective action. Monthly meetings of the aforementioned PRG-PA partner organizations have begun already.</w:t>
      </w:r>
    </w:p>
    <w:bookmarkEnd w:id="54"/>
    <w:p w14:paraId="46FC03F3" w14:textId="22E2B865" w:rsidR="007010BC" w:rsidRPr="00256994" w:rsidRDefault="003A5B74" w:rsidP="00DD122D">
      <w:pPr>
        <w:pStyle w:val="Heading3"/>
        <w:rPr>
          <w:lang w:bidi="en-US"/>
        </w:rPr>
      </w:pPr>
      <w:r>
        <w:t xml:space="preserve">  </w:t>
      </w:r>
      <w:bookmarkStart w:id="56" w:name="_Toc453621876"/>
      <w:r w:rsidR="007010BC" w:rsidRPr="00DD122D">
        <w:t>Critical Assumptions</w:t>
      </w:r>
      <w:bookmarkEnd w:id="56"/>
      <w:r w:rsidR="007010BC" w:rsidRPr="00525877">
        <w:t xml:space="preserve"> </w:t>
      </w:r>
      <w:bookmarkStart w:id="57" w:name="_Toc453088102"/>
      <w:bookmarkStart w:id="58" w:name="_Toc453088599"/>
      <w:bookmarkEnd w:id="57"/>
      <w:bookmarkEnd w:id="58"/>
    </w:p>
    <w:p w14:paraId="4D306070" w14:textId="77777777" w:rsidR="009345E9" w:rsidRPr="003F2BA6" w:rsidRDefault="009345E9" w:rsidP="00C83B2C">
      <w:pPr>
        <w:numPr>
          <w:ilvl w:val="0"/>
          <w:numId w:val="13"/>
        </w:numPr>
        <w:spacing w:before="120" w:after="120"/>
        <w:rPr>
          <w:rFonts w:ascii="Times New Roman" w:hAnsi="Times New Roman"/>
          <w:color w:val="000000" w:themeColor="text1"/>
          <w:szCs w:val="22"/>
        </w:rPr>
      </w:pPr>
      <w:r w:rsidRPr="003F2BA6">
        <w:rPr>
          <w:rFonts w:ascii="Times New Roman" w:hAnsi="Times New Roman"/>
          <w:color w:val="000000" w:themeColor="text1"/>
          <w:szCs w:val="22"/>
        </w:rPr>
        <w:t>Existence of political will for adoption and implementation of social reforms in the Government of Niger</w:t>
      </w:r>
    </w:p>
    <w:p w14:paraId="53F07663" w14:textId="77777777" w:rsidR="009345E9" w:rsidRPr="003F2BA6" w:rsidRDefault="009345E9" w:rsidP="00C83B2C">
      <w:pPr>
        <w:numPr>
          <w:ilvl w:val="0"/>
          <w:numId w:val="13"/>
        </w:numPr>
        <w:spacing w:before="120" w:after="120"/>
        <w:rPr>
          <w:rFonts w:ascii="Times New Roman" w:hAnsi="Times New Roman"/>
          <w:color w:val="000000" w:themeColor="text1"/>
          <w:szCs w:val="22"/>
        </w:rPr>
      </w:pPr>
      <w:r w:rsidRPr="003F2BA6">
        <w:rPr>
          <w:rFonts w:ascii="Times New Roman" w:hAnsi="Times New Roman"/>
          <w:color w:val="000000" w:themeColor="text1"/>
          <w:szCs w:val="22"/>
        </w:rPr>
        <w:t xml:space="preserve">Political parties remain willing to engage on dialogue around citizen priorities despite electoral conflicts </w:t>
      </w:r>
    </w:p>
    <w:p w14:paraId="4AFA9BAA" w14:textId="77777777" w:rsidR="009345E9" w:rsidRPr="003F2BA6" w:rsidRDefault="009345E9" w:rsidP="00C83B2C">
      <w:pPr>
        <w:numPr>
          <w:ilvl w:val="0"/>
          <w:numId w:val="13"/>
        </w:numPr>
        <w:spacing w:before="120" w:after="120"/>
        <w:rPr>
          <w:rFonts w:ascii="Times New Roman" w:hAnsi="Times New Roman"/>
          <w:color w:val="000000" w:themeColor="text1"/>
          <w:szCs w:val="22"/>
        </w:rPr>
      </w:pPr>
      <w:r w:rsidRPr="003F2BA6">
        <w:rPr>
          <w:rFonts w:ascii="Times New Roman" w:hAnsi="Times New Roman"/>
          <w:color w:val="000000" w:themeColor="text1"/>
          <w:szCs w:val="22"/>
        </w:rPr>
        <w:t>Receptivity of public authorities and citizens for public dialogue on the targeted citizen priorities</w:t>
      </w:r>
    </w:p>
    <w:p w14:paraId="0B32B196" w14:textId="7E7B5675" w:rsidR="009345E9" w:rsidRPr="003F2BA6" w:rsidRDefault="009345E9" w:rsidP="00C83B2C">
      <w:pPr>
        <w:numPr>
          <w:ilvl w:val="0"/>
          <w:numId w:val="13"/>
        </w:numPr>
        <w:spacing w:before="120" w:after="120"/>
        <w:rPr>
          <w:rFonts w:ascii="Times New Roman" w:hAnsi="Times New Roman"/>
          <w:color w:val="000000" w:themeColor="text1"/>
          <w:szCs w:val="22"/>
        </w:rPr>
      </w:pPr>
      <w:r w:rsidRPr="003F2BA6">
        <w:rPr>
          <w:rFonts w:ascii="Times New Roman" w:hAnsi="Times New Roman"/>
          <w:color w:val="000000" w:themeColor="text1"/>
          <w:szCs w:val="22"/>
        </w:rPr>
        <w:t>Willingness of public authorities to engage with citizens/CSOs and other governmental actors</w:t>
      </w:r>
      <w:r w:rsidR="00B20EB3">
        <w:rPr>
          <w:rFonts w:ascii="Times New Roman" w:hAnsi="Times New Roman"/>
          <w:color w:val="000000" w:themeColor="text1"/>
          <w:szCs w:val="22"/>
        </w:rPr>
        <w:t>, private sector and traditional actors</w:t>
      </w:r>
      <w:r w:rsidRPr="003F2BA6">
        <w:rPr>
          <w:rFonts w:ascii="Times New Roman" w:hAnsi="Times New Roman"/>
          <w:color w:val="000000" w:themeColor="text1"/>
          <w:szCs w:val="22"/>
        </w:rPr>
        <w:t>, and vice-versa, to address and tackle key public services needs</w:t>
      </w:r>
    </w:p>
    <w:p w14:paraId="32D37F64" w14:textId="77777777" w:rsidR="009345E9" w:rsidRPr="003F2BA6" w:rsidRDefault="009345E9" w:rsidP="00C83B2C">
      <w:pPr>
        <w:numPr>
          <w:ilvl w:val="0"/>
          <w:numId w:val="13"/>
        </w:numPr>
        <w:spacing w:before="120" w:after="120"/>
        <w:rPr>
          <w:rFonts w:ascii="Times New Roman" w:hAnsi="Times New Roman"/>
          <w:color w:val="000000" w:themeColor="text1"/>
          <w:szCs w:val="22"/>
        </w:rPr>
      </w:pPr>
      <w:r w:rsidRPr="003F2BA6">
        <w:rPr>
          <w:rFonts w:ascii="Times New Roman" w:hAnsi="Times New Roman"/>
          <w:color w:val="000000" w:themeColor="text1"/>
          <w:szCs w:val="22"/>
        </w:rPr>
        <w:t>Interest and willingness of media to report on the targeted citizen priority issues</w:t>
      </w:r>
    </w:p>
    <w:p w14:paraId="76CAE622" w14:textId="5CB0C189" w:rsidR="009345E9" w:rsidRPr="003F2BA6" w:rsidRDefault="009345E9" w:rsidP="00C83B2C">
      <w:pPr>
        <w:numPr>
          <w:ilvl w:val="0"/>
          <w:numId w:val="13"/>
        </w:numPr>
        <w:spacing w:before="120" w:after="120"/>
        <w:rPr>
          <w:rFonts w:ascii="Times New Roman" w:hAnsi="Times New Roman"/>
          <w:color w:val="000000" w:themeColor="text1"/>
          <w:szCs w:val="22"/>
        </w:rPr>
      </w:pPr>
      <w:r w:rsidRPr="003F2BA6">
        <w:rPr>
          <w:rFonts w:ascii="Times New Roman" w:hAnsi="Times New Roman"/>
          <w:color w:val="000000" w:themeColor="text1"/>
          <w:szCs w:val="22"/>
        </w:rPr>
        <w:t xml:space="preserve">Project period is </w:t>
      </w:r>
      <w:r w:rsidR="00B20EB3">
        <w:rPr>
          <w:rFonts w:ascii="Times New Roman" w:hAnsi="Times New Roman"/>
          <w:color w:val="000000" w:themeColor="text1"/>
          <w:szCs w:val="22"/>
        </w:rPr>
        <w:t xml:space="preserve">a </w:t>
      </w:r>
      <w:r w:rsidRPr="003F2BA6">
        <w:rPr>
          <w:rFonts w:ascii="Times New Roman" w:hAnsi="Times New Roman"/>
          <w:color w:val="000000" w:themeColor="text1"/>
          <w:szCs w:val="22"/>
        </w:rPr>
        <w:t xml:space="preserve">long enough timeline for concrete government actions </w:t>
      </w:r>
    </w:p>
    <w:p w14:paraId="60EB9924" w14:textId="77777777" w:rsidR="009345E9" w:rsidRPr="003F2BA6" w:rsidRDefault="009345E9" w:rsidP="00C83B2C">
      <w:pPr>
        <w:numPr>
          <w:ilvl w:val="0"/>
          <w:numId w:val="13"/>
        </w:numPr>
        <w:spacing w:before="120" w:after="120"/>
        <w:rPr>
          <w:rFonts w:ascii="Times New Roman" w:hAnsi="Times New Roman"/>
          <w:color w:val="000000" w:themeColor="text1"/>
          <w:szCs w:val="22"/>
        </w:rPr>
      </w:pPr>
      <w:r w:rsidRPr="003F2BA6">
        <w:rPr>
          <w:rFonts w:ascii="Times New Roman" w:hAnsi="Times New Roman"/>
          <w:color w:val="000000" w:themeColor="text1"/>
          <w:szCs w:val="22"/>
        </w:rPr>
        <w:t>Non-governmental actor solutions are sufficiently coordinated with public sector solutions for the same targeted citizen priorities</w:t>
      </w:r>
    </w:p>
    <w:p w14:paraId="60E434C3" w14:textId="77777777" w:rsidR="00395ED5" w:rsidRDefault="009345E9" w:rsidP="00C83B2C">
      <w:pPr>
        <w:numPr>
          <w:ilvl w:val="0"/>
          <w:numId w:val="13"/>
        </w:numPr>
        <w:spacing w:before="120" w:after="120" w:line="276" w:lineRule="auto"/>
        <w:rPr>
          <w:rFonts w:ascii="Times New Roman" w:hAnsi="Times New Roman"/>
          <w:lang w:bidi="en-US"/>
        </w:rPr>
      </w:pPr>
      <w:r w:rsidRPr="00395ED5">
        <w:rPr>
          <w:rFonts w:ascii="Times New Roman" w:hAnsi="Times New Roman"/>
          <w:lang w:bidi="en-US"/>
        </w:rPr>
        <w:t>Country remains politic</w:t>
      </w:r>
      <w:r w:rsidR="00B5319E" w:rsidRPr="00395ED5">
        <w:rPr>
          <w:rFonts w:ascii="Times New Roman" w:hAnsi="Times New Roman"/>
          <w:lang w:bidi="en-US"/>
        </w:rPr>
        <w:t>ally stable</w:t>
      </w:r>
    </w:p>
    <w:p w14:paraId="57871DF0" w14:textId="3BD7CD1A" w:rsidR="00B5319E" w:rsidRPr="00395ED5" w:rsidRDefault="00B5319E" w:rsidP="0017151D">
      <w:pPr>
        <w:numPr>
          <w:ilvl w:val="0"/>
          <w:numId w:val="13"/>
        </w:numPr>
        <w:spacing w:before="120" w:after="120" w:line="276" w:lineRule="auto"/>
        <w:rPr>
          <w:rFonts w:ascii="Times New Roman" w:hAnsi="Times New Roman"/>
          <w:lang w:bidi="en-US"/>
        </w:rPr>
      </w:pPr>
      <w:r w:rsidRPr="00395ED5">
        <w:rPr>
          <w:rFonts w:ascii="Times New Roman" w:hAnsi="Times New Roman"/>
          <w:lang w:bidi="en-US"/>
        </w:rPr>
        <w:t>Security situation allows for movement and activity implementation in designated regions</w:t>
      </w:r>
    </w:p>
    <w:p w14:paraId="3CDDD0E0" w14:textId="77777777" w:rsidR="0017151D" w:rsidRDefault="00B5319E" w:rsidP="0017151D">
      <w:pPr>
        <w:pStyle w:val="ListParagraph"/>
        <w:numPr>
          <w:ilvl w:val="0"/>
          <w:numId w:val="13"/>
        </w:numPr>
        <w:spacing w:before="120" w:after="120" w:line="276" w:lineRule="auto"/>
        <w:contextualSpacing w:val="0"/>
        <w:rPr>
          <w:rFonts w:ascii="Times New Roman" w:hAnsi="Times New Roman"/>
          <w:lang w:bidi="en-US"/>
        </w:rPr>
      </w:pPr>
      <w:r w:rsidRPr="00B5319E">
        <w:rPr>
          <w:rFonts w:ascii="Times New Roman" w:hAnsi="Times New Roman"/>
          <w:lang w:bidi="en-US"/>
        </w:rPr>
        <w:t xml:space="preserve">Stakeholders participate in program activities </w:t>
      </w:r>
    </w:p>
    <w:p w14:paraId="27723D62" w14:textId="6FF4DF49" w:rsidR="0017151D" w:rsidRDefault="00B5319E" w:rsidP="0017151D">
      <w:pPr>
        <w:pStyle w:val="ListParagraph"/>
        <w:numPr>
          <w:ilvl w:val="0"/>
          <w:numId w:val="13"/>
        </w:numPr>
        <w:spacing w:before="120" w:after="120" w:line="276" w:lineRule="auto"/>
        <w:contextualSpacing w:val="0"/>
      </w:pPr>
      <w:r w:rsidRPr="0017151D">
        <w:rPr>
          <w:rFonts w:ascii="Times New Roman" w:hAnsi="Times New Roman"/>
          <w:lang w:bidi="en-US"/>
        </w:rPr>
        <w:t>Enough qualified (with capacity) civil society organizations</w:t>
      </w:r>
      <w:r w:rsidR="00B20EB3" w:rsidRPr="0017151D">
        <w:rPr>
          <w:rFonts w:ascii="Times New Roman" w:hAnsi="Times New Roman"/>
          <w:lang w:bidi="en-US"/>
        </w:rPr>
        <w:t xml:space="preserve"> and other entities</w:t>
      </w:r>
      <w:r w:rsidRPr="0017151D">
        <w:rPr>
          <w:rFonts w:ascii="Times New Roman" w:hAnsi="Times New Roman"/>
          <w:lang w:bidi="en-US"/>
        </w:rPr>
        <w:t xml:space="preserve"> apply for sub-grants</w:t>
      </w:r>
      <w:bookmarkStart w:id="59" w:name="_Toc375997514"/>
      <w:bookmarkStart w:id="60" w:name="_Toc379798522"/>
      <w:r w:rsidR="0017151D">
        <w:t xml:space="preserve"> </w:t>
      </w:r>
      <w:r w:rsidR="0017151D">
        <w:br w:type="page"/>
      </w:r>
    </w:p>
    <w:p w14:paraId="472FA5EB" w14:textId="67D95582" w:rsidR="007010BC" w:rsidRPr="0017151D" w:rsidRDefault="007010BC" w:rsidP="007010BC">
      <w:pPr>
        <w:pStyle w:val="Heading3"/>
      </w:pPr>
      <w:bookmarkStart w:id="61" w:name="_Toc453621877"/>
      <w:r w:rsidRPr="00525877">
        <w:t>Results Framework</w:t>
      </w:r>
      <w:bookmarkEnd w:id="59"/>
      <w:bookmarkEnd w:id="60"/>
      <w:bookmarkEnd w:id="61"/>
    </w:p>
    <w:tbl>
      <w:tblPr>
        <w:tblStyle w:val="GridTable1Ligh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8"/>
        <w:gridCol w:w="3009"/>
        <w:gridCol w:w="2929"/>
      </w:tblGrid>
      <w:tr w:rsidR="00842724" w:rsidRPr="0017151D" w14:paraId="5BAC512D" w14:textId="77777777" w:rsidTr="00842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Borders>
              <w:bottom w:val="none" w:sz="0" w:space="0" w:color="auto"/>
            </w:tcBorders>
            <w:shd w:val="clear" w:color="auto" w:fill="205867" w:themeFill="accent5" w:themeFillShade="7F"/>
          </w:tcPr>
          <w:p w14:paraId="73C80673" w14:textId="77777777" w:rsidR="00842724" w:rsidRPr="0017151D" w:rsidRDefault="00842724" w:rsidP="00842724">
            <w:pPr>
              <w:spacing w:before="2" w:after="2"/>
              <w:jc w:val="center"/>
              <w:rPr>
                <w:rFonts w:ascii="Times New Roman" w:hAnsi="Times New Roman"/>
                <w:sz w:val="20"/>
              </w:rPr>
            </w:pPr>
            <w:r w:rsidRPr="0017151D">
              <w:rPr>
                <w:rFonts w:ascii="Times New Roman" w:eastAsia="Calibri" w:hAnsi="Times New Roman"/>
                <w:color w:val="FFFFFF" w:themeColor="background1"/>
                <w:sz w:val="20"/>
                <w:lang w:val="fr-FR"/>
              </w:rPr>
              <w:t>PRG-PA Results Framework</w:t>
            </w:r>
          </w:p>
        </w:tc>
      </w:tr>
      <w:tr w:rsidR="00842724" w:rsidRPr="0017151D" w14:paraId="7EAC2823" w14:textId="77777777" w:rsidTr="00842724">
        <w:trPr>
          <w:trHeight w:val="323"/>
        </w:trPr>
        <w:tc>
          <w:tcPr>
            <w:cnfStyle w:val="001000000000" w:firstRow="0" w:lastRow="0" w:firstColumn="1" w:lastColumn="0" w:oddVBand="0" w:evenVBand="0" w:oddHBand="0" w:evenHBand="0" w:firstRowFirstColumn="0" w:firstRowLastColumn="0" w:lastRowFirstColumn="0" w:lastRowLastColumn="0"/>
            <w:tcW w:w="8856" w:type="dxa"/>
            <w:gridSpan w:val="3"/>
            <w:shd w:val="clear" w:color="auto" w:fill="92CDDC" w:themeFill="accent5" w:themeFillTint="99"/>
          </w:tcPr>
          <w:p w14:paraId="7CB31EA9" w14:textId="77777777" w:rsidR="00842724" w:rsidRPr="0017151D" w:rsidRDefault="00842724" w:rsidP="00842724">
            <w:pPr>
              <w:spacing w:before="2" w:after="2"/>
              <w:rPr>
                <w:rFonts w:ascii="Times New Roman" w:hAnsi="Times New Roman"/>
                <w:sz w:val="20"/>
              </w:rPr>
            </w:pPr>
            <w:r w:rsidRPr="0017151D">
              <w:rPr>
                <w:rFonts w:ascii="Times New Roman" w:eastAsia="Calibri" w:hAnsi="Times New Roman"/>
                <w:sz w:val="20"/>
                <w:u w:val="single"/>
              </w:rPr>
              <w:t>Purpose</w:t>
            </w:r>
            <w:r w:rsidRPr="0017151D">
              <w:rPr>
                <w:rFonts w:ascii="Times New Roman" w:eastAsia="Calibri" w:hAnsi="Times New Roman"/>
                <w:sz w:val="20"/>
              </w:rPr>
              <w:t xml:space="preserve">: </w:t>
            </w:r>
            <w:r w:rsidRPr="0017151D">
              <w:rPr>
                <w:rFonts w:ascii="Times New Roman" w:eastAsiaTheme="minorEastAsia" w:hAnsi="Times New Roman"/>
                <w:sz w:val="20"/>
              </w:rPr>
              <w:t>Improve collective (government and citizen) responsiveness to priority public needs</w:t>
            </w:r>
          </w:p>
        </w:tc>
      </w:tr>
      <w:tr w:rsidR="00842724" w:rsidRPr="0017151D" w14:paraId="4792BD64" w14:textId="77777777" w:rsidTr="00842724">
        <w:tc>
          <w:tcPr>
            <w:cnfStyle w:val="001000000000" w:firstRow="0" w:lastRow="0" w:firstColumn="1" w:lastColumn="0" w:oddVBand="0" w:evenVBand="0" w:oddHBand="0" w:evenHBand="0" w:firstRowFirstColumn="0" w:firstRowLastColumn="0" w:lastRowFirstColumn="0" w:lastRowLastColumn="0"/>
            <w:tcW w:w="2918" w:type="dxa"/>
            <w:shd w:val="clear" w:color="auto" w:fill="DAEEF3" w:themeFill="accent5" w:themeFillTint="33"/>
          </w:tcPr>
          <w:p w14:paraId="2D8CB28A" w14:textId="77777777" w:rsidR="00842724" w:rsidRPr="0017151D" w:rsidRDefault="00842724" w:rsidP="00842724">
            <w:pPr>
              <w:spacing w:before="2" w:after="2"/>
              <w:jc w:val="center"/>
              <w:rPr>
                <w:rFonts w:ascii="Times New Roman" w:hAnsi="Times New Roman"/>
                <w:sz w:val="20"/>
              </w:rPr>
            </w:pPr>
            <w:r w:rsidRPr="0017151D">
              <w:rPr>
                <w:rFonts w:ascii="Times New Roman" w:eastAsia="Calibri" w:hAnsi="Times New Roman"/>
                <w:sz w:val="20"/>
              </w:rPr>
              <w:t>Outcome 1: Elections are more responsive to priority public needs</w:t>
            </w:r>
          </w:p>
        </w:tc>
        <w:tc>
          <w:tcPr>
            <w:tcW w:w="3009" w:type="dxa"/>
          </w:tcPr>
          <w:p w14:paraId="09AA1A4C" w14:textId="77777777" w:rsidR="00842724" w:rsidRPr="0017151D" w:rsidRDefault="00842724" w:rsidP="00842724">
            <w:pPr>
              <w:spacing w:before="2" w:after="2"/>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sz w:val="20"/>
              </w:rPr>
            </w:pPr>
            <w:r w:rsidRPr="0017151D">
              <w:rPr>
                <w:rFonts w:ascii="Times New Roman" w:eastAsia="Calibri" w:hAnsi="Times New Roman"/>
                <w:b/>
                <w:bCs/>
                <w:sz w:val="20"/>
              </w:rPr>
              <w:t>Outcome 2: Informed multi-stakeholder (government and non-government) contribution to specific elements of reform implementation for targeted citizen priorities</w:t>
            </w:r>
          </w:p>
        </w:tc>
        <w:tc>
          <w:tcPr>
            <w:tcW w:w="2929" w:type="dxa"/>
            <w:shd w:val="clear" w:color="auto" w:fill="DAEEF3" w:themeFill="accent5" w:themeFillTint="33"/>
          </w:tcPr>
          <w:p w14:paraId="5DBF97FF" w14:textId="77777777" w:rsidR="00842724" w:rsidRPr="0017151D" w:rsidRDefault="00842724" w:rsidP="00842724">
            <w:pPr>
              <w:spacing w:before="2" w:after="2"/>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bCs/>
                <w:sz w:val="20"/>
              </w:rPr>
            </w:pPr>
            <w:r w:rsidRPr="0017151D">
              <w:rPr>
                <w:rFonts w:ascii="Times New Roman" w:eastAsia="Calibri" w:hAnsi="Times New Roman"/>
                <w:b/>
                <w:bCs/>
                <w:sz w:val="20"/>
              </w:rPr>
              <w:t>Outcome 3: Increased capacity of key actors to promote collective action</w:t>
            </w:r>
          </w:p>
          <w:p w14:paraId="1A36E8EE" w14:textId="77777777" w:rsidR="00842724" w:rsidRPr="0017151D" w:rsidRDefault="00842724" w:rsidP="00842724">
            <w:pPr>
              <w:spacing w:before="2" w:after="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p>
        </w:tc>
      </w:tr>
      <w:tr w:rsidR="00842724" w:rsidRPr="0017151D" w14:paraId="4B066E50" w14:textId="77777777" w:rsidTr="0017151D">
        <w:trPr>
          <w:trHeight w:val="5948"/>
        </w:trPr>
        <w:tc>
          <w:tcPr>
            <w:cnfStyle w:val="001000000000" w:firstRow="0" w:lastRow="0" w:firstColumn="1" w:lastColumn="0" w:oddVBand="0" w:evenVBand="0" w:oddHBand="0" w:evenHBand="0" w:firstRowFirstColumn="0" w:firstRowLastColumn="0" w:lastRowFirstColumn="0" w:lastRowLastColumn="0"/>
            <w:tcW w:w="2918" w:type="dxa"/>
            <w:shd w:val="clear" w:color="auto" w:fill="DAEEF3" w:themeFill="accent5" w:themeFillTint="33"/>
          </w:tcPr>
          <w:p w14:paraId="63787161" w14:textId="77777777" w:rsidR="00842724" w:rsidRPr="0017151D" w:rsidRDefault="00842724" w:rsidP="00842724">
            <w:pPr>
              <w:spacing w:before="2" w:after="2"/>
              <w:rPr>
                <w:rFonts w:ascii="Times New Roman" w:hAnsi="Times New Roman"/>
                <w:sz w:val="20"/>
              </w:rPr>
            </w:pPr>
            <w:r w:rsidRPr="0017151D">
              <w:rPr>
                <w:rFonts w:ascii="Times New Roman" w:eastAsia="Calibri" w:hAnsi="Times New Roman"/>
                <w:i/>
                <w:iCs/>
                <w:sz w:val="20"/>
              </w:rPr>
              <w:t>Results</w:t>
            </w:r>
          </w:p>
          <w:p w14:paraId="1EA27E17" w14:textId="77777777" w:rsidR="00842724" w:rsidRPr="0017151D" w:rsidRDefault="00842724" w:rsidP="00842724">
            <w:pPr>
              <w:spacing w:before="2" w:after="2"/>
              <w:ind w:left="-15"/>
              <w:rPr>
                <w:rFonts w:ascii="Times New Roman" w:eastAsia="Calibri" w:hAnsi="Times New Roman"/>
                <w:b w:val="0"/>
                <w:sz w:val="20"/>
              </w:rPr>
            </w:pPr>
            <w:r w:rsidRPr="0017151D">
              <w:rPr>
                <w:rFonts w:ascii="Times New Roman" w:eastAsia="Calibri" w:hAnsi="Times New Roman"/>
                <w:b w:val="0"/>
                <w:sz w:val="20"/>
              </w:rPr>
              <w:t xml:space="preserve">1.1.1: Increased non-governmental actor advocacy and support to increase political actor responsiveness to citizen priorities </w:t>
            </w:r>
          </w:p>
          <w:p w14:paraId="5ACC08C1" w14:textId="77777777" w:rsidR="00842724" w:rsidRPr="0017151D" w:rsidRDefault="00842724" w:rsidP="00842724">
            <w:pPr>
              <w:spacing w:before="2" w:after="2"/>
              <w:ind w:left="-15"/>
              <w:rPr>
                <w:rFonts w:ascii="Times New Roman" w:eastAsia="Calibri" w:hAnsi="Times New Roman"/>
                <w:b w:val="0"/>
                <w:sz w:val="20"/>
              </w:rPr>
            </w:pPr>
            <w:r w:rsidRPr="0017151D">
              <w:rPr>
                <w:rFonts w:ascii="Times New Roman" w:eastAsia="Calibri" w:hAnsi="Times New Roman"/>
                <w:b w:val="0"/>
                <w:sz w:val="20"/>
              </w:rPr>
              <w:t>1.1.2: Increased multi-stakeholder dialogue to increase political actor responsiveness to citizen priorities</w:t>
            </w:r>
          </w:p>
          <w:p w14:paraId="6078AA21" w14:textId="77777777" w:rsidR="00842724" w:rsidRPr="0017151D" w:rsidRDefault="00842724" w:rsidP="00842724">
            <w:pPr>
              <w:spacing w:before="2" w:after="2"/>
              <w:ind w:left="-15"/>
              <w:rPr>
                <w:rFonts w:ascii="Times New Roman" w:eastAsia="Calibri" w:hAnsi="Times New Roman"/>
                <w:b w:val="0"/>
                <w:sz w:val="20"/>
              </w:rPr>
            </w:pPr>
            <w:r w:rsidRPr="0017151D">
              <w:rPr>
                <w:rFonts w:ascii="Times New Roman" w:eastAsia="Calibri" w:hAnsi="Times New Roman"/>
                <w:b w:val="0"/>
                <w:sz w:val="20"/>
              </w:rPr>
              <w:t>1.2: Improved multi-stakeholder promotion of youth and women’s active participation in political platforms and electoral campaigns</w:t>
            </w:r>
          </w:p>
          <w:p w14:paraId="1023A1E9" w14:textId="77777777" w:rsidR="00842724" w:rsidRPr="0017151D" w:rsidRDefault="00842724" w:rsidP="00842724">
            <w:pPr>
              <w:spacing w:before="2" w:after="2"/>
              <w:ind w:left="-15"/>
              <w:rPr>
                <w:rFonts w:ascii="Times New Roman" w:eastAsia="Calibri" w:hAnsi="Times New Roman"/>
                <w:b w:val="0"/>
                <w:sz w:val="20"/>
              </w:rPr>
            </w:pPr>
            <w:r w:rsidRPr="0017151D">
              <w:rPr>
                <w:rFonts w:ascii="Times New Roman" w:eastAsia="Calibri" w:hAnsi="Times New Roman"/>
                <w:b w:val="0"/>
                <w:sz w:val="20"/>
              </w:rPr>
              <w:t>1.3: Improved multi-stakeholder support to the application of electoral “rules of the game” particularly regarding electoral integrity and conflict mitigation</w:t>
            </w:r>
          </w:p>
          <w:p w14:paraId="42072D07" w14:textId="77777777" w:rsidR="00842724" w:rsidRPr="0017151D" w:rsidRDefault="00842724" w:rsidP="00842724">
            <w:pPr>
              <w:spacing w:before="2" w:after="2"/>
              <w:ind w:left="-15"/>
              <w:rPr>
                <w:rFonts w:ascii="Times New Roman" w:eastAsia="Calibri" w:hAnsi="Times New Roman"/>
                <w:sz w:val="20"/>
              </w:rPr>
            </w:pPr>
            <w:r w:rsidRPr="0017151D">
              <w:rPr>
                <w:rFonts w:ascii="Times New Roman" w:eastAsia="Calibri" w:hAnsi="Times New Roman"/>
                <w:b w:val="0"/>
                <w:sz w:val="20"/>
              </w:rPr>
              <w:t>1.4: Improved media coverage of citizen public priorities and political processes</w:t>
            </w:r>
          </w:p>
        </w:tc>
        <w:tc>
          <w:tcPr>
            <w:tcW w:w="3009" w:type="dxa"/>
          </w:tcPr>
          <w:p w14:paraId="28574707"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17151D">
              <w:rPr>
                <w:rFonts w:ascii="Times New Roman" w:eastAsia="Calibri" w:hAnsi="Times New Roman"/>
                <w:b/>
                <w:bCs/>
                <w:i/>
                <w:iCs/>
                <w:sz w:val="20"/>
              </w:rPr>
              <w:t>Results</w:t>
            </w:r>
          </w:p>
          <w:p w14:paraId="374C9715"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20"/>
              </w:rPr>
            </w:pPr>
            <w:r w:rsidRPr="0017151D">
              <w:rPr>
                <w:rFonts w:ascii="Times New Roman" w:eastAsia="Calibri" w:hAnsi="Times New Roman"/>
                <w:sz w:val="20"/>
              </w:rPr>
              <w:t xml:space="preserve">2.1: Public dialogue on targeted citizen priorities increased </w:t>
            </w:r>
          </w:p>
          <w:p w14:paraId="104CDBAC"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20"/>
              </w:rPr>
            </w:pPr>
            <w:r w:rsidRPr="0017151D">
              <w:rPr>
                <w:rFonts w:ascii="Times New Roman" w:eastAsia="Calibri" w:hAnsi="Times New Roman"/>
                <w:sz w:val="20"/>
              </w:rPr>
              <w:t>2.2: Increased stated commitment of targeted actors to take collective action on targeted citizen priorities</w:t>
            </w:r>
          </w:p>
          <w:p w14:paraId="6F93FD32"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20"/>
              </w:rPr>
            </w:pPr>
            <w:r w:rsidRPr="0017151D">
              <w:rPr>
                <w:rFonts w:ascii="Times New Roman" w:eastAsia="Calibri" w:hAnsi="Times New Roman"/>
                <w:sz w:val="20"/>
              </w:rPr>
              <w:t>2.3: Increased availability of reliable information on targeted citizen priorities</w:t>
            </w:r>
          </w:p>
          <w:p w14:paraId="1B654B59"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20"/>
              </w:rPr>
            </w:pPr>
            <w:r w:rsidRPr="0017151D">
              <w:rPr>
                <w:rFonts w:ascii="Times New Roman" w:eastAsia="Calibri" w:hAnsi="Times New Roman"/>
                <w:sz w:val="20"/>
              </w:rPr>
              <w:t>2.4: CSO/citizen advocacy for action on targeted citizen priorities improved</w:t>
            </w:r>
          </w:p>
          <w:p w14:paraId="18084344"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20"/>
              </w:rPr>
            </w:pPr>
            <w:r w:rsidRPr="0017151D">
              <w:rPr>
                <w:rFonts w:ascii="Times New Roman" w:eastAsia="Calibri" w:hAnsi="Times New Roman"/>
                <w:sz w:val="20"/>
              </w:rPr>
              <w:t>2.5: Increased contributions to public sector actor (legislature, central government, judicial, local government) measures to improve targeted citizen priorities</w:t>
            </w:r>
          </w:p>
          <w:p w14:paraId="10094872"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20"/>
              </w:rPr>
            </w:pPr>
            <w:r w:rsidRPr="0017151D">
              <w:rPr>
                <w:rFonts w:ascii="Times New Roman" w:eastAsia="Calibri" w:hAnsi="Times New Roman"/>
                <w:sz w:val="20"/>
              </w:rPr>
              <w:t>2.6: Increased non-governmental (NGO/CSO, citizen, traditional leader or private sector, etc.) measures enacted to improve the targeted citizen priorities</w:t>
            </w:r>
          </w:p>
          <w:p w14:paraId="4F2CEE7E"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20"/>
              </w:rPr>
            </w:pPr>
            <w:r w:rsidRPr="0017151D">
              <w:rPr>
                <w:rFonts w:ascii="Times New Roman" w:eastAsia="Calibri" w:hAnsi="Times New Roman"/>
                <w:sz w:val="20"/>
              </w:rPr>
              <w:t>2.7: Accountability mechanisms strengthened or established on targeted citizen priorities in targeted geographical areas</w:t>
            </w:r>
          </w:p>
        </w:tc>
        <w:tc>
          <w:tcPr>
            <w:tcW w:w="2929" w:type="dxa"/>
            <w:shd w:val="clear" w:color="auto" w:fill="DAEEF3" w:themeFill="accent5" w:themeFillTint="33"/>
          </w:tcPr>
          <w:p w14:paraId="09C630A4"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17151D">
              <w:rPr>
                <w:rFonts w:ascii="Times New Roman" w:eastAsia="Calibri" w:hAnsi="Times New Roman"/>
                <w:b/>
                <w:bCs/>
                <w:i/>
                <w:iCs/>
                <w:sz w:val="20"/>
              </w:rPr>
              <w:t>Results</w:t>
            </w:r>
          </w:p>
          <w:p w14:paraId="1344C764" w14:textId="77777777" w:rsidR="00842724" w:rsidRPr="0017151D" w:rsidRDefault="00842724" w:rsidP="00842724">
            <w:pPr>
              <w:spacing w:before="2" w:after="2"/>
              <w:ind w:left="-15"/>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20"/>
              </w:rPr>
            </w:pPr>
            <w:r w:rsidRPr="0017151D">
              <w:rPr>
                <w:rFonts w:ascii="Times New Roman" w:eastAsia="Calibri" w:hAnsi="Times New Roman"/>
                <w:sz w:val="20"/>
              </w:rPr>
              <w:t xml:space="preserve">3.1: Local Resource Entities are able to conduct PEA based-action research to inform public sector </w:t>
            </w:r>
          </w:p>
          <w:p w14:paraId="7355C907" w14:textId="0DCDBA94" w:rsidR="00842724" w:rsidRPr="0017151D" w:rsidRDefault="00842724" w:rsidP="00842724">
            <w:pPr>
              <w:spacing w:before="2" w:after="2"/>
              <w:ind w:left="-15"/>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20"/>
              </w:rPr>
            </w:pPr>
            <w:r w:rsidRPr="0017151D">
              <w:rPr>
                <w:rFonts w:ascii="Times New Roman" w:eastAsia="Calibri" w:hAnsi="Times New Roman"/>
                <w:sz w:val="20"/>
              </w:rPr>
              <w:t>3.2: Media are more effective in facilitating public dialogue and providing reliable information on governance/civic engagement issues</w:t>
            </w:r>
          </w:p>
          <w:p w14:paraId="3D0E0B14" w14:textId="2AB00085" w:rsidR="00842724" w:rsidRPr="0017151D" w:rsidRDefault="00842724" w:rsidP="00842724">
            <w:pPr>
              <w:spacing w:before="2" w:after="2"/>
              <w:ind w:left="-15"/>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17151D">
              <w:rPr>
                <w:rFonts w:ascii="Times New Roman" w:eastAsia="Calibri" w:hAnsi="Times New Roman"/>
                <w:sz w:val="20"/>
              </w:rPr>
              <w:t xml:space="preserve">3.3: Increased organizational capacity of targeted non-governmental entities </w:t>
            </w:r>
          </w:p>
          <w:p w14:paraId="5ECBC9B8"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p>
        </w:tc>
      </w:tr>
      <w:tr w:rsidR="00842724" w:rsidRPr="0017151D" w14:paraId="75126369" w14:textId="77777777" w:rsidTr="00842724">
        <w:trPr>
          <w:trHeight w:val="1277"/>
        </w:trPr>
        <w:tc>
          <w:tcPr>
            <w:cnfStyle w:val="001000000000" w:firstRow="0" w:lastRow="0" w:firstColumn="1" w:lastColumn="0" w:oddVBand="0" w:evenVBand="0" w:oddHBand="0" w:evenHBand="0" w:firstRowFirstColumn="0" w:firstRowLastColumn="0" w:lastRowFirstColumn="0" w:lastRowLastColumn="0"/>
            <w:tcW w:w="2918" w:type="dxa"/>
            <w:shd w:val="clear" w:color="auto" w:fill="DAEEF3" w:themeFill="accent5" w:themeFillTint="33"/>
          </w:tcPr>
          <w:p w14:paraId="50C2BE11" w14:textId="77777777" w:rsidR="00842724" w:rsidRPr="0017151D" w:rsidRDefault="00842724" w:rsidP="00842724">
            <w:pPr>
              <w:spacing w:before="2" w:after="2"/>
              <w:rPr>
                <w:rFonts w:ascii="Times New Roman" w:eastAsia="Calibri" w:hAnsi="Times New Roman"/>
                <w:b w:val="0"/>
                <w:i/>
                <w:iCs/>
                <w:sz w:val="20"/>
              </w:rPr>
            </w:pPr>
            <w:r w:rsidRPr="0017151D">
              <w:rPr>
                <w:rFonts w:ascii="Times New Roman" w:eastAsia="Calibri" w:hAnsi="Times New Roman"/>
                <w:bCs w:val="0"/>
                <w:i/>
                <w:iCs/>
                <w:sz w:val="20"/>
              </w:rPr>
              <w:t>PRG Project Coordination</w:t>
            </w:r>
          </w:p>
          <w:p w14:paraId="5A026532" w14:textId="77777777" w:rsidR="00842724" w:rsidRPr="0017151D" w:rsidRDefault="00842724" w:rsidP="0017151D">
            <w:pPr>
              <w:pStyle w:val="ListParagraph"/>
              <w:numPr>
                <w:ilvl w:val="0"/>
                <w:numId w:val="18"/>
              </w:numPr>
              <w:spacing w:before="2" w:after="2"/>
              <w:ind w:left="180" w:hanging="180"/>
              <w:rPr>
                <w:rFonts w:ascii="Times New Roman" w:eastAsia="Calibri" w:hAnsi="Times New Roman"/>
                <w:b w:val="0"/>
                <w:i/>
                <w:iCs/>
                <w:sz w:val="20"/>
              </w:rPr>
            </w:pPr>
            <w:r w:rsidRPr="0017151D">
              <w:rPr>
                <w:rFonts w:ascii="Times New Roman" w:eastAsia="Calibri" w:hAnsi="Times New Roman"/>
                <w:b w:val="0"/>
                <w:i/>
                <w:iCs/>
                <w:sz w:val="20"/>
              </w:rPr>
              <w:t>Initial Political Economy Analysis Action Research Activity</w:t>
            </w:r>
          </w:p>
          <w:p w14:paraId="28F112E5" w14:textId="77777777" w:rsidR="00842724" w:rsidRPr="0017151D" w:rsidRDefault="00842724" w:rsidP="0017151D">
            <w:pPr>
              <w:pStyle w:val="ListParagraph"/>
              <w:numPr>
                <w:ilvl w:val="0"/>
                <w:numId w:val="18"/>
              </w:numPr>
              <w:spacing w:before="2" w:after="2"/>
              <w:ind w:left="180" w:hanging="180"/>
              <w:rPr>
                <w:rFonts w:ascii="Times New Roman" w:eastAsia="Calibri" w:hAnsi="Times New Roman"/>
                <w:i/>
                <w:iCs/>
                <w:sz w:val="20"/>
              </w:rPr>
            </w:pPr>
            <w:r w:rsidRPr="0017151D">
              <w:rPr>
                <w:rFonts w:ascii="Times New Roman" w:eastAsia="Calibri" w:hAnsi="Times New Roman"/>
                <w:b w:val="0"/>
                <w:i/>
                <w:iCs/>
                <w:sz w:val="20"/>
              </w:rPr>
              <w:t>PRG Political Parties Activity</w:t>
            </w:r>
          </w:p>
        </w:tc>
        <w:tc>
          <w:tcPr>
            <w:tcW w:w="3009" w:type="dxa"/>
          </w:tcPr>
          <w:p w14:paraId="436EABF7"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i/>
                <w:iCs/>
                <w:sz w:val="20"/>
              </w:rPr>
            </w:pPr>
            <w:r w:rsidRPr="0017151D">
              <w:rPr>
                <w:rFonts w:ascii="Times New Roman" w:eastAsia="Calibri" w:hAnsi="Times New Roman"/>
                <w:b/>
                <w:bCs/>
                <w:i/>
                <w:iCs/>
                <w:sz w:val="20"/>
              </w:rPr>
              <w:t>PRG Project Coordination</w:t>
            </w:r>
          </w:p>
          <w:p w14:paraId="07C7F53B" w14:textId="77777777" w:rsidR="00842724" w:rsidRPr="0017151D" w:rsidRDefault="00842724" w:rsidP="0017151D">
            <w:pPr>
              <w:pStyle w:val="ListParagraph"/>
              <w:numPr>
                <w:ilvl w:val="0"/>
                <w:numId w:val="18"/>
              </w:numPr>
              <w:spacing w:before="2" w:after="2"/>
              <w:ind w:left="180" w:hanging="18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i/>
                <w:iCs/>
                <w:sz w:val="20"/>
              </w:rPr>
            </w:pPr>
            <w:r w:rsidRPr="0017151D">
              <w:rPr>
                <w:rFonts w:ascii="Times New Roman" w:eastAsia="Calibri" w:hAnsi="Times New Roman"/>
                <w:i/>
                <w:iCs/>
                <w:sz w:val="20"/>
              </w:rPr>
              <w:t>Initial Political Economy Analysis Action Research Activity</w:t>
            </w:r>
          </w:p>
          <w:p w14:paraId="1D178B63"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i/>
                <w:iCs/>
                <w:sz w:val="20"/>
              </w:rPr>
            </w:pPr>
          </w:p>
        </w:tc>
        <w:tc>
          <w:tcPr>
            <w:tcW w:w="2929" w:type="dxa"/>
            <w:shd w:val="clear" w:color="auto" w:fill="DAEEF3" w:themeFill="accent5" w:themeFillTint="33"/>
          </w:tcPr>
          <w:p w14:paraId="2B4B1C39" w14:textId="77777777" w:rsidR="00842724" w:rsidRPr="0017151D" w:rsidRDefault="00842724" w:rsidP="00842724">
            <w:pPr>
              <w:spacing w:before="2" w:after="2"/>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
                <w:i/>
                <w:iCs/>
                <w:sz w:val="20"/>
              </w:rPr>
            </w:pPr>
            <w:r w:rsidRPr="0017151D">
              <w:rPr>
                <w:rFonts w:ascii="Times New Roman" w:eastAsia="Calibri" w:hAnsi="Times New Roman"/>
                <w:b/>
                <w:bCs/>
                <w:i/>
                <w:iCs/>
                <w:sz w:val="20"/>
              </w:rPr>
              <w:t>PRG Project Coordination</w:t>
            </w:r>
          </w:p>
          <w:p w14:paraId="7B868694" w14:textId="77777777" w:rsidR="00842724" w:rsidRPr="0017151D" w:rsidRDefault="00842724" w:rsidP="0017151D">
            <w:pPr>
              <w:pStyle w:val="ListParagraph"/>
              <w:numPr>
                <w:ilvl w:val="0"/>
                <w:numId w:val="18"/>
              </w:numPr>
              <w:spacing w:before="2" w:after="2"/>
              <w:ind w:left="180" w:hanging="18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i/>
                <w:iCs/>
                <w:sz w:val="20"/>
              </w:rPr>
            </w:pPr>
            <w:r w:rsidRPr="0017151D">
              <w:rPr>
                <w:rFonts w:ascii="Times New Roman" w:eastAsia="Calibri" w:hAnsi="Times New Roman"/>
                <w:i/>
                <w:iCs/>
                <w:sz w:val="20"/>
              </w:rPr>
              <w:t>Initial Political Economy Analysis Action Research Activity</w:t>
            </w:r>
          </w:p>
          <w:p w14:paraId="72E5CDBB" w14:textId="77777777" w:rsidR="00842724" w:rsidRPr="0017151D" w:rsidRDefault="00842724" w:rsidP="0017151D">
            <w:pPr>
              <w:pStyle w:val="ListParagraph"/>
              <w:numPr>
                <w:ilvl w:val="0"/>
                <w:numId w:val="18"/>
              </w:numPr>
              <w:spacing w:before="2" w:after="2"/>
              <w:ind w:left="180" w:hanging="18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bCs/>
                <w:i/>
                <w:iCs/>
                <w:sz w:val="20"/>
              </w:rPr>
            </w:pPr>
            <w:r w:rsidRPr="0017151D">
              <w:rPr>
                <w:rFonts w:ascii="Times New Roman" w:eastAsia="Calibri" w:hAnsi="Times New Roman"/>
                <w:i/>
                <w:iCs/>
                <w:sz w:val="20"/>
              </w:rPr>
              <w:t>Local Capacity Strengthening Initial Activity</w:t>
            </w:r>
          </w:p>
        </w:tc>
      </w:tr>
    </w:tbl>
    <w:p w14:paraId="697A9A08" w14:textId="7D9CDBEC" w:rsidR="00CF5422" w:rsidRPr="00CB00BE" w:rsidRDefault="00DF6FDA" w:rsidP="0017151D">
      <w:pPr>
        <w:pStyle w:val="Heading1"/>
        <w:numPr>
          <w:ilvl w:val="0"/>
          <w:numId w:val="19"/>
        </w:numPr>
        <w:tabs>
          <w:tab w:val="left" w:pos="450"/>
        </w:tabs>
        <w:ind w:left="630" w:hanging="720"/>
      </w:pPr>
      <w:bookmarkStart w:id="62" w:name="_Toc453621878"/>
      <w:r>
        <w:t>Management and M</w:t>
      </w:r>
      <w:r w:rsidR="000564C0">
        <w:t xml:space="preserve">onitoring and Evaluation </w:t>
      </w:r>
      <w:r>
        <w:t>Plan</w:t>
      </w:r>
      <w:bookmarkEnd w:id="62"/>
    </w:p>
    <w:p w14:paraId="3EBF829C" w14:textId="434693CE" w:rsidR="00DF6FDA" w:rsidRDefault="00DF6FDA" w:rsidP="0017151D">
      <w:pPr>
        <w:pStyle w:val="Heading2"/>
        <w:numPr>
          <w:ilvl w:val="1"/>
          <w:numId w:val="19"/>
        </w:numPr>
      </w:pPr>
      <w:bookmarkStart w:id="63" w:name="_Toc453087832"/>
      <w:bookmarkStart w:id="64" w:name="_Toc453087910"/>
      <w:bookmarkStart w:id="65" w:name="_Toc453087975"/>
      <w:bookmarkStart w:id="66" w:name="_Toc453088057"/>
      <w:bookmarkStart w:id="67" w:name="_Toc453088106"/>
      <w:bookmarkStart w:id="68" w:name="_Toc453088156"/>
      <w:bookmarkStart w:id="69" w:name="_Toc453088297"/>
      <w:bookmarkStart w:id="70" w:name="_Toc453088347"/>
      <w:bookmarkStart w:id="71" w:name="_Toc453088438"/>
      <w:bookmarkStart w:id="72" w:name="_Toc453088480"/>
      <w:bookmarkStart w:id="73" w:name="_Toc453088603"/>
      <w:bookmarkStart w:id="74" w:name="_Toc453621879"/>
      <w:bookmarkEnd w:id="63"/>
      <w:bookmarkEnd w:id="64"/>
      <w:bookmarkEnd w:id="65"/>
      <w:bookmarkEnd w:id="66"/>
      <w:bookmarkEnd w:id="67"/>
      <w:bookmarkEnd w:id="68"/>
      <w:bookmarkEnd w:id="69"/>
      <w:bookmarkEnd w:id="70"/>
      <w:bookmarkEnd w:id="71"/>
      <w:bookmarkEnd w:id="72"/>
      <w:bookmarkEnd w:id="73"/>
      <w:r>
        <w:t xml:space="preserve">Roles and </w:t>
      </w:r>
      <w:r w:rsidRPr="00CB00BE">
        <w:t>Resp</w:t>
      </w:r>
      <w:r w:rsidRPr="00CF5422">
        <w:t>onsi</w:t>
      </w:r>
      <w:r w:rsidRPr="00E769A5">
        <w:t>bilities</w:t>
      </w:r>
      <w:bookmarkEnd w:id="74"/>
      <w:r>
        <w:t xml:space="preserve"> </w:t>
      </w:r>
    </w:p>
    <w:p w14:paraId="1E386AEC" w14:textId="3E22345E" w:rsidR="00DF6FDA" w:rsidRPr="00DF6FDA" w:rsidRDefault="00DF6FDA" w:rsidP="00C83B2C">
      <w:pPr>
        <w:autoSpaceDE w:val="0"/>
        <w:autoSpaceDN w:val="0"/>
        <w:adjustRightInd w:val="0"/>
        <w:spacing w:before="120" w:after="120"/>
        <w:rPr>
          <w:rFonts w:ascii="Times New Roman" w:hAnsi="Times New Roman"/>
          <w:lang w:eastAsia="en-GB"/>
        </w:rPr>
      </w:pPr>
      <w:r w:rsidRPr="00DF6FDA">
        <w:rPr>
          <w:rFonts w:ascii="Times New Roman" w:hAnsi="Times New Roman"/>
          <w:lang w:eastAsia="en-GB"/>
        </w:rPr>
        <w:t>The M&amp;E Team will be responsible for enhancing systems in support of the new program</w:t>
      </w:r>
      <w:r w:rsidR="00586461">
        <w:rPr>
          <w:rFonts w:ascii="Times New Roman" w:hAnsi="Times New Roman"/>
          <w:lang w:eastAsia="en-GB"/>
        </w:rPr>
        <w:t>, including</w:t>
      </w:r>
      <w:r w:rsidR="00586461" w:rsidRPr="00586461">
        <w:rPr>
          <w:rFonts w:ascii="Times New Roman" w:hAnsi="Times New Roman"/>
          <w:lang w:eastAsia="en-GB"/>
        </w:rPr>
        <w:t xml:space="preserve"> </w:t>
      </w:r>
      <w:r w:rsidR="00586461" w:rsidRPr="00DF6FDA">
        <w:rPr>
          <w:rFonts w:ascii="Times New Roman" w:hAnsi="Times New Roman"/>
          <w:lang w:eastAsia="en-GB"/>
        </w:rPr>
        <w:t>general monitoring and evaluation approaches, practices, and tools</w:t>
      </w:r>
      <w:r w:rsidR="00586461">
        <w:rPr>
          <w:rFonts w:ascii="Times New Roman" w:hAnsi="Times New Roman"/>
          <w:lang w:eastAsia="en-GB"/>
        </w:rPr>
        <w:t>.</w:t>
      </w:r>
      <w:r w:rsidRPr="00DF6FDA">
        <w:rPr>
          <w:rFonts w:ascii="Times New Roman" w:hAnsi="Times New Roman"/>
          <w:lang w:eastAsia="en-GB"/>
        </w:rPr>
        <w:t xml:space="preserve"> They will also be responsible for building the capacity of all program staff</w:t>
      </w:r>
      <w:r w:rsidR="00586461">
        <w:rPr>
          <w:rFonts w:ascii="Times New Roman" w:hAnsi="Times New Roman"/>
          <w:lang w:eastAsia="en-GB"/>
        </w:rPr>
        <w:t xml:space="preserve"> and</w:t>
      </w:r>
      <w:r w:rsidRPr="00DF6FDA">
        <w:rPr>
          <w:rFonts w:ascii="Times New Roman" w:hAnsi="Times New Roman"/>
          <w:lang w:eastAsia="en-GB"/>
        </w:rPr>
        <w:t xml:space="preserve"> reporting</w:t>
      </w:r>
      <w:r w:rsidR="00586461">
        <w:rPr>
          <w:rFonts w:ascii="Times New Roman" w:hAnsi="Times New Roman"/>
          <w:lang w:eastAsia="en-GB"/>
        </w:rPr>
        <w:t xml:space="preserve"> on program activities.</w:t>
      </w:r>
      <w:r w:rsidRPr="00DF6FDA">
        <w:rPr>
          <w:rFonts w:ascii="Times New Roman" w:hAnsi="Times New Roman"/>
          <w:lang w:eastAsia="en-GB"/>
        </w:rPr>
        <w:t xml:space="preserve">, </w:t>
      </w:r>
      <w:r w:rsidR="00586461">
        <w:rPr>
          <w:rFonts w:ascii="Times New Roman" w:hAnsi="Times New Roman"/>
          <w:lang w:eastAsia="en-GB"/>
        </w:rPr>
        <w:t xml:space="preserve">The Monitoring and Evaluation Officer </w:t>
      </w:r>
      <w:r w:rsidR="00586461" w:rsidRPr="00DD122D">
        <w:rPr>
          <w:rFonts w:ascii="Times New Roman" w:hAnsi="Times New Roman"/>
          <w:lang w:eastAsia="en-GB"/>
        </w:rPr>
        <w:t>will be responsible for developing, revising, implementing, and overseeing the program’s performance management and reporting system, including preparing and updating the Performance Monitoring Plan (PMP), ensuring the accuracy and effectiveness of calculation methodologies used in the PMP, establishing data collection and management systems, coordinating with organizations, ensuring data integrity, verifying data, preparing and submitting all required performance reports to USAID in a timely manner. The Monitoring and Evaluation Officer will also be responsible for providing technical assistance to the program’s local sub-grantees as required. The Monitoring and Evaluation Assistant is responsible for assisting in the implementation of the performance management and reporting systems, including assisting in updating the PMP and verifying the accuracy of data and methodologies used in the PMP</w:t>
      </w:r>
    </w:p>
    <w:p w14:paraId="18F3DE5F" w14:textId="7B3AAB2B" w:rsidR="00DF6FDA" w:rsidRPr="00842724" w:rsidRDefault="00DF6FDA" w:rsidP="00842724">
      <w:pPr>
        <w:autoSpaceDE w:val="0"/>
        <w:autoSpaceDN w:val="0"/>
        <w:adjustRightInd w:val="0"/>
        <w:spacing w:before="120" w:after="120"/>
        <w:rPr>
          <w:rFonts w:ascii="Times New Roman" w:hAnsi="Times New Roman"/>
          <w:lang w:eastAsia="en-GB"/>
        </w:rPr>
      </w:pPr>
      <w:r w:rsidRPr="00DF6FDA">
        <w:rPr>
          <w:rFonts w:ascii="Times New Roman" w:hAnsi="Times New Roman"/>
          <w:lang w:eastAsia="en-GB"/>
        </w:rPr>
        <w:t xml:space="preserve">In addition to </w:t>
      </w:r>
      <w:r w:rsidR="00586461">
        <w:rPr>
          <w:rFonts w:ascii="Times New Roman" w:hAnsi="Times New Roman"/>
          <w:lang w:eastAsia="en-GB"/>
        </w:rPr>
        <w:t>the Monitoring and Evaluation Officer and Assistant</w:t>
      </w:r>
      <w:r w:rsidRPr="00DF6FDA">
        <w:rPr>
          <w:rFonts w:ascii="Times New Roman" w:hAnsi="Times New Roman"/>
          <w:lang w:eastAsia="en-GB"/>
        </w:rPr>
        <w:t xml:space="preserve"> all </w:t>
      </w:r>
      <w:r w:rsidR="00D909BB" w:rsidRPr="00395ED5">
        <w:rPr>
          <w:rFonts w:ascii="Times New Roman" w:hAnsi="Times New Roman"/>
          <w:lang w:eastAsia="en-GB"/>
        </w:rPr>
        <w:t xml:space="preserve">Participatory Responsive Governance-Principal Activity </w:t>
      </w:r>
      <w:r w:rsidRPr="00DF6FDA">
        <w:rPr>
          <w:rFonts w:ascii="Times New Roman" w:hAnsi="Times New Roman"/>
          <w:lang w:eastAsia="en-GB"/>
        </w:rPr>
        <w:t xml:space="preserve">program staff will </w:t>
      </w:r>
      <w:r w:rsidR="00586461">
        <w:rPr>
          <w:rFonts w:ascii="Times New Roman" w:hAnsi="Times New Roman"/>
          <w:lang w:eastAsia="en-GB"/>
        </w:rPr>
        <w:t xml:space="preserve">play a role in </w:t>
      </w:r>
      <w:r w:rsidRPr="00DF6FDA">
        <w:rPr>
          <w:rFonts w:ascii="Times New Roman" w:hAnsi="Times New Roman"/>
          <w:lang w:eastAsia="en-GB"/>
        </w:rPr>
        <w:t>monitoring of program activities, targets and accomplishments and ensuring quality of performance and reporting.</w:t>
      </w:r>
    </w:p>
    <w:p w14:paraId="6687DC90" w14:textId="546405C3" w:rsidR="00AE4AF8" w:rsidRDefault="00AE4AF8" w:rsidP="0017151D">
      <w:pPr>
        <w:pStyle w:val="Heading2"/>
        <w:numPr>
          <w:ilvl w:val="1"/>
          <w:numId w:val="19"/>
        </w:numPr>
      </w:pPr>
      <w:bookmarkStart w:id="75" w:name="_Toc453087834"/>
      <w:bookmarkStart w:id="76" w:name="_Toc453087912"/>
      <w:bookmarkStart w:id="77" w:name="_Toc453087977"/>
      <w:bookmarkStart w:id="78" w:name="_Toc453088059"/>
      <w:bookmarkStart w:id="79" w:name="_Toc453088108"/>
      <w:bookmarkStart w:id="80" w:name="_Toc453088158"/>
      <w:bookmarkStart w:id="81" w:name="_Toc453088299"/>
      <w:bookmarkStart w:id="82" w:name="_Toc453088349"/>
      <w:bookmarkStart w:id="83" w:name="_Toc453088440"/>
      <w:bookmarkStart w:id="84" w:name="_Toc453088482"/>
      <w:bookmarkStart w:id="85" w:name="_Toc453087835"/>
      <w:bookmarkStart w:id="86" w:name="_Toc453087913"/>
      <w:bookmarkStart w:id="87" w:name="_Toc453087978"/>
      <w:bookmarkStart w:id="88" w:name="_Toc453088060"/>
      <w:bookmarkStart w:id="89" w:name="_Toc453088109"/>
      <w:bookmarkStart w:id="90" w:name="_Toc453088159"/>
      <w:bookmarkStart w:id="91" w:name="_Toc453088300"/>
      <w:bookmarkStart w:id="92" w:name="_Toc453088350"/>
      <w:bookmarkStart w:id="93" w:name="_Toc453088441"/>
      <w:bookmarkStart w:id="94" w:name="_Toc453088483"/>
      <w:bookmarkStart w:id="95" w:name="_Toc453087836"/>
      <w:bookmarkStart w:id="96" w:name="_Toc453087914"/>
      <w:bookmarkStart w:id="97" w:name="_Toc453087979"/>
      <w:bookmarkStart w:id="98" w:name="_Toc453088061"/>
      <w:bookmarkStart w:id="99" w:name="_Toc453088110"/>
      <w:bookmarkStart w:id="100" w:name="_Toc453088160"/>
      <w:bookmarkStart w:id="101" w:name="_Toc453088301"/>
      <w:bookmarkStart w:id="102" w:name="_Toc453088351"/>
      <w:bookmarkStart w:id="103" w:name="_Toc453088442"/>
      <w:bookmarkStart w:id="104" w:name="_Toc453088484"/>
      <w:bookmarkStart w:id="105" w:name="_Toc453621880"/>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t>Knowledge Management Portal</w:t>
      </w:r>
      <w:bookmarkEnd w:id="105"/>
    </w:p>
    <w:p w14:paraId="4229789D" w14:textId="77777777" w:rsidR="00AE4AF8" w:rsidRPr="00CB00BE" w:rsidRDefault="00AE4AF8" w:rsidP="00DD122D"/>
    <w:p w14:paraId="532F0423" w14:textId="77777777" w:rsidR="00252FDD" w:rsidRDefault="00D37A43" w:rsidP="00252FDD">
      <w:pPr>
        <w:rPr>
          <w:rFonts w:ascii="Times New Roman" w:hAnsi="Times New Roman"/>
          <w:bCs/>
          <w:lang w:bidi="en-US"/>
        </w:rPr>
      </w:pPr>
      <w:r w:rsidRPr="00931E65">
        <w:rPr>
          <w:rFonts w:ascii="Times New Roman" w:hAnsi="Times New Roman"/>
          <w:bCs/>
          <w:lang w:bidi="en-US"/>
        </w:rPr>
        <w:t>PRG-PA</w:t>
      </w:r>
      <w:r w:rsidR="00252FDD" w:rsidRPr="00395ED5">
        <w:rPr>
          <w:rFonts w:ascii="Times New Roman" w:hAnsi="Times New Roman"/>
          <w:bCs/>
          <w:lang w:bidi="en-US"/>
        </w:rPr>
        <w:t xml:space="preserve"> </w:t>
      </w:r>
      <w:r w:rsidR="00252FDD" w:rsidRPr="007D57D2">
        <w:rPr>
          <w:rFonts w:ascii="Times New Roman" w:hAnsi="Times New Roman"/>
          <w:bCs/>
          <w:lang w:bidi="en-US"/>
        </w:rPr>
        <w:t>will use Counterpart’s K</w:t>
      </w:r>
      <w:r w:rsidR="00252FDD" w:rsidRPr="007D57D2">
        <w:rPr>
          <w:rFonts w:ascii="Times New Roman" w:hAnsi="Times New Roman"/>
          <w:lang w:bidi="en-US"/>
        </w:rPr>
        <w:t xml:space="preserve">nowledge Management Portal for its program monitoring, evaluation and reporting purposes. The Portal will </w:t>
      </w:r>
      <w:r w:rsidR="00252FDD" w:rsidRPr="007D57D2">
        <w:rPr>
          <w:rFonts w:ascii="Times New Roman" w:hAnsi="Times New Roman"/>
          <w:bCs/>
          <w:lang w:bidi="en-US"/>
        </w:rPr>
        <w:t xml:space="preserve">capture </w:t>
      </w:r>
      <w:r w:rsidRPr="00931E65">
        <w:rPr>
          <w:rFonts w:ascii="Times New Roman" w:hAnsi="Times New Roman"/>
          <w:bCs/>
          <w:lang w:bidi="en-US"/>
        </w:rPr>
        <w:t>PRG-PA</w:t>
      </w:r>
      <w:r w:rsidR="00252FDD" w:rsidRPr="00395ED5">
        <w:rPr>
          <w:rFonts w:ascii="Times New Roman" w:hAnsi="Times New Roman"/>
          <w:bCs/>
          <w:lang w:bidi="en-US"/>
        </w:rPr>
        <w:t xml:space="preserve">’s </w:t>
      </w:r>
      <w:r w:rsidR="00252FDD" w:rsidRPr="007D57D2">
        <w:rPr>
          <w:rFonts w:ascii="Times New Roman" w:hAnsi="Times New Roman"/>
          <w:bCs/>
          <w:lang w:bidi="en-US"/>
        </w:rPr>
        <w:t>generated inputs, outcomes and impacts to enable effective monitoring of and reporting on all program activities. All related data and activity documentation will be entered in the three following components of the system:</w:t>
      </w:r>
    </w:p>
    <w:p w14:paraId="4DBEA727" w14:textId="77777777" w:rsidR="00252FDD" w:rsidRDefault="00252FDD" w:rsidP="00252FDD">
      <w:pPr>
        <w:rPr>
          <w:rFonts w:ascii="Times New Roman" w:hAnsi="Times New Roman"/>
          <w:bCs/>
          <w:lang w:bidi="en-US"/>
        </w:rPr>
      </w:pPr>
    </w:p>
    <w:p w14:paraId="261F6759" w14:textId="77777777" w:rsidR="00252FDD" w:rsidRDefault="00252FDD" w:rsidP="006F282B">
      <w:pPr>
        <w:pStyle w:val="ListParagraph"/>
        <w:numPr>
          <w:ilvl w:val="0"/>
          <w:numId w:val="3"/>
        </w:numPr>
        <w:rPr>
          <w:rFonts w:ascii="Times New Roman" w:hAnsi="Times New Roman"/>
          <w:bCs/>
          <w:lang w:bidi="en-US"/>
        </w:rPr>
      </w:pPr>
      <w:r>
        <w:rPr>
          <w:rFonts w:ascii="Times New Roman" w:hAnsi="Times New Roman"/>
          <w:bCs/>
          <w:lang w:bidi="en-US"/>
        </w:rPr>
        <w:t xml:space="preserve">Management Information System (MIS) – allows Counterpart and its implementing partners to enter and access program information in real time and run monitoring reports that inform management decisions; </w:t>
      </w:r>
    </w:p>
    <w:p w14:paraId="1DCC958E" w14:textId="77777777" w:rsidR="00252FDD" w:rsidRDefault="00252FDD" w:rsidP="006F282B">
      <w:pPr>
        <w:pStyle w:val="ListParagraph"/>
        <w:numPr>
          <w:ilvl w:val="0"/>
          <w:numId w:val="3"/>
        </w:numPr>
        <w:rPr>
          <w:rFonts w:ascii="Times New Roman" w:hAnsi="Times New Roman"/>
          <w:bCs/>
          <w:lang w:bidi="en-US"/>
        </w:rPr>
      </w:pPr>
      <w:r>
        <w:rPr>
          <w:rFonts w:ascii="Times New Roman" w:hAnsi="Times New Roman"/>
          <w:bCs/>
          <w:lang w:bidi="en-US"/>
        </w:rPr>
        <w:t xml:space="preserve">Local Contacts Database – provides a list of local contacts, including CSOs, media, and government agencies; and </w:t>
      </w:r>
    </w:p>
    <w:p w14:paraId="4C92225B" w14:textId="77777777" w:rsidR="00252FDD" w:rsidRDefault="00252FDD" w:rsidP="00C83B2C">
      <w:pPr>
        <w:pStyle w:val="ListParagraph"/>
        <w:numPr>
          <w:ilvl w:val="0"/>
          <w:numId w:val="3"/>
        </w:numPr>
        <w:spacing w:before="120" w:after="120"/>
        <w:rPr>
          <w:rFonts w:ascii="Times New Roman" w:hAnsi="Times New Roman"/>
          <w:bCs/>
          <w:lang w:bidi="en-US"/>
        </w:rPr>
      </w:pPr>
      <w:r>
        <w:rPr>
          <w:rFonts w:ascii="Times New Roman" w:hAnsi="Times New Roman"/>
          <w:bCs/>
          <w:lang w:bidi="en-US"/>
        </w:rPr>
        <w:t xml:space="preserve">Document Management System – enables users to share important programmatic, financial, marketing, reporting, and other documents with project staff, Counterpart, and USAID. </w:t>
      </w:r>
    </w:p>
    <w:p w14:paraId="1D3CD8A0" w14:textId="77777777" w:rsidR="00252FDD" w:rsidRPr="002D0A1E" w:rsidRDefault="00252FDD" w:rsidP="00252FDD">
      <w:pPr>
        <w:rPr>
          <w:rFonts w:ascii="Times New Roman" w:hAnsi="Times New Roman"/>
          <w:bCs/>
          <w:lang w:bidi="en-US"/>
        </w:rPr>
      </w:pPr>
      <w:r>
        <w:rPr>
          <w:rFonts w:ascii="Times New Roman" w:hAnsi="Times New Roman"/>
          <w:bCs/>
          <w:lang w:bidi="en-US"/>
        </w:rPr>
        <w:t xml:space="preserve">Once all staff are on board, Counterpart will develop a Monitoring and Evaluation Plan that outlines timing of activity monitoring, including training and granting monitoring, frequency of data quality reviews, data and document submission to the Knowledge Management Portal, and responsibilities within the team for monitoring, reporting and quality controls. </w:t>
      </w:r>
    </w:p>
    <w:p w14:paraId="424F2441" w14:textId="03F52CD6" w:rsidR="00252FDD" w:rsidRPr="00252FDD" w:rsidRDefault="00252FDD" w:rsidP="0017151D">
      <w:pPr>
        <w:pStyle w:val="Heading3"/>
        <w:numPr>
          <w:ilvl w:val="0"/>
          <w:numId w:val="16"/>
        </w:numPr>
        <w:rPr>
          <w:lang w:bidi="en-US"/>
        </w:rPr>
      </w:pPr>
      <w:bookmarkStart w:id="106" w:name="_Toc453621881"/>
      <w:r w:rsidRPr="00252FDD">
        <w:rPr>
          <w:lang w:bidi="en-US"/>
        </w:rPr>
        <w:t>Management Information System (MIS)</w:t>
      </w:r>
      <w:bookmarkEnd w:id="106"/>
    </w:p>
    <w:p w14:paraId="712E98F1" w14:textId="4B5F4595" w:rsidR="00252FDD" w:rsidRPr="007D57D2" w:rsidRDefault="00252FDD" w:rsidP="00680E7E">
      <w:pPr>
        <w:rPr>
          <w:rFonts w:ascii="Times New Roman" w:hAnsi="Times New Roman"/>
          <w:b/>
          <w:bCs/>
          <w:i/>
          <w:lang w:bidi="en-US"/>
        </w:rPr>
      </w:pPr>
      <w:r w:rsidRPr="007D57D2">
        <w:rPr>
          <w:rFonts w:ascii="Times New Roman" w:hAnsi="Times New Roman"/>
          <w:bCs/>
          <w:iCs/>
          <w:lang w:bidi="en-US"/>
        </w:rPr>
        <w:t xml:space="preserve">The </w:t>
      </w:r>
      <w:r>
        <w:rPr>
          <w:rFonts w:ascii="Times New Roman" w:hAnsi="Times New Roman"/>
          <w:bCs/>
          <w:iCs/>
          <w:lang w:bidi="en-US"/>
        </w:rPr>
        <w:t>MIS</w:t>
      </w:r>
      <w:r w:rsidRPr="007D57D2">
        <w:rPr>
          <w:rFonts w:ascii="Times New Roman" w:hAnsi="Times New Roman"/>
          <w:bCs/>
          <w:iCs/>
          <w:lang w:bidi="en-US"/>
        </w:rPr>
        <w:t xml:space="preserve"> will be at the core of the program’s knowledge management and performance monitoring and evaluation system; it will serve as a living body of information that grows and expands as </w:t>
      </w:r>
      <w:r w:rsidR="00D37A43" w:rsidRPr="00931E65">
        <w:rPr>
          <w:rFonts w:ascii="Times New Roman" w:hAnsi="Times New Roman"/>
          <w:bCs/>
          <w:lang w:bidi="en-US"/>
        </w:rPr>
        <w:t>PRG-PA</w:t>
      </w:r>
      <w:r w:rsidR="00680E7E" w:rsidRPr="00395ED5">
        <w:rPr>
          <w:rFonts w:ascii="Times New Roman" w:hAnsi="Times New Roman"/>
          <w:bCs/>
          <w:lang w:bidi="en-US"/>
        </w:rPr>
        <w:t xml:space="preserve"> </w:t>
      </w:r>
      <w:r w:rsidRPr="007D57D2">
        <w:rPr>
          <w:rFonts w:ascii="Times New Roman" w:hAnsi="Times New Roman"/>
          <w:bCs/>
          <w:iCs/>
          <w:lang w:bidi="en-US"/>
        </w:rPr>
        <w:t xml:space="preserve">is implemented. </w:t>
      </w:r>
      <w:r w:rsidRPr="007D57D2">
        <w:rPr>
          <w:rFonts w:ascii="Times New Roman" w:hAnsi="Times New Roman"/>
          <w:bCs/>
          <w:lang w:bidi="en-US"/>
        </w:rPr>
        <w:t>It will provide immediate, updated performance information related to indicators, benchmark</w:t>
      </w:r>
      <w:r>
        <w:rPr>
          <w:rFonts w:ascii="Times New Roman" w:hAnsi="Times New Roman"/>
          <w:bCs/>
          <w:lang w:bidi="en-US"/>
        </w:rPr>
        <w:t>s, and milestone achievements</w:t>
      </w:r>
      <w:r w:rsidRPr="007D57D2">
        <w:rPr>
          <w:rFonts w:ascii="Times New Roman" w:hAnsi="Times New Roman"/>
          <w:bCs/>
          <w:lang w:bidi="en-US"/>
        </w:rPr>
        <w:t>. This information will be an integral part of project planning, monitoring, evaluation and management decision making. USAID will have acces</w:t>
      </w:r>
      <w:r>
        <w:rPr>
          <w:rFonts w:ascii="Times New Roman" w:hAnsi="Times New Roman"/>
          <w:bCs/>
          <w:lang w:bidi="en-US"/>
        </w:rPr>
        <w:t xml:space="preserve">s to </w:t>
      </w:r>
      <w:r w:rsidRPr="007D57D2">
        <w:rPr>
          <w:rFonts w:ascii="Times New Roman" w:hAnsi="Times New Roman"/>
          <w:bCs/>
          <w:lang w:bidi="en-US"/>
        </w:rPr>
        <w:t xml:space="preserve">information in the MIS related to the </w:t>
      </w:r>
      <w:r>
        <w:rPr>
          <w:rFonts w:ascii="Times New Roman" w:hAnsi="Times New Roman"/>
          <w:bCs/>
          <w:lang w:bidi="en-US"/>
        </w:rPr>
        <w:t>p</w:t>
      </w:r>
      <w:r w:rsidRPr="007D57D2">
        <w:rPr>
          <w:rFonts w:ascii="Times New Roman" w:hAnsi="Times New Roman"/>
          <w:bCs/>
          <w:lang w:bidi="en-US"/>
        </w:rPr>
        <w:t>rogram. This syst</w:t>
      </w:r>
      <w:r>
        <w:rPr>
          <w:rFonts w:ascii="Times New Roman" w:hAnsi="Times New Roman"/>
          <w:bCs/>
          <w:lang w:bidi="en-US"/>
        </w:rPr>
        <w:t xml:space="preserve">em will allow </w:t>
      </w:r>
      <w:r w:rsidRPr="007D57D2">
        <w:rPr>
          <w:rFonts w:ascii="Times New Roman" w:hAnsi="Times New Roman"/>
          <w:bCs/>
          <w:lang w:bidi="en-US"/>
        </w:rPr>
        <w:t>USAID/</w:t>
      </w:r>
      <w:r w:rsidR="00DC68E2" w:rsidRPr="00931E65">
        <w:rPr>
          <w:rFonts w:ascii="Times New Roman" w:hAnsi="Times New Roman"/>
          <w:bCs/>
          <w:lang w:bidi="en-US"/>
        </w:rPr>
        <w:t>Niger</w:t>
      </w:r>
      <w:r w:rsidRPr="00395ED5">
        <w:rPr>
          <w:rFonts w:ascii="Times New Roman" w:hAnsi="Times New Roman"/>
          <w:bCs/>
          <w:lang w:bidi="en-US"/>
        </w:rPr>
        <w:t xml:space="preserve"> </w:t>
      </w:r>
      <w:r w:rsidRPr="007D57D2">
        <w:rPr>
          <w:rFonts w:ascii="Times New Roman" w:hAnsi="Times New Roman"/>
          <w:bCs/>
          <w:lang w:bidi="en-US"/>
        </w:rPr>
        <w:t xml:space="preserve">and program managers to access information in real time and in clear report formats from any desktop with internet access. Project input, output and outcome data will be organized by activity. The data can be disaggregated by type of activity, CSO, geographic area, dates, type of organization receiving assistance, sex of beneficiaries, </w:t>
      </w:r>
      <w:r w:rsidR="00273555">
        <w:rPr>
          <w:rFonts w:ascii="Times New Roman" w:hAnsi="Times New Roman"/>
          <w:bCs/>
          <w:lang w:bidi="en-US"/>
        </w:rPr>
        <w:t>sub-</w:t>
      </w:r>
      <w:r w:rsidRPr="007D57D2">
        <w:rPr>
          <w:rFonts w:ascii="Times New Roman" w:hAnsi="Times New Roman"/>
          <w:bCs/>
          <w:lang w:bidi="en-US"/>
        </w:rPr>
        <w:t xml:space="preserve">grantee conducting activity, training or </w:t>
      </w:r>
      <w:r w:rsidR="00273555">
        <w:rPr>
          <w:rFonts w:ascii="Times New Roman" w:hAnsi="Times New Roman"/>
          <w:bCs/>
          <w:lang w:bidi="en-US"/>
        </w:rPr>
        <w:t>technical assistance</w:t>
      </w:r>
      <w:r w:rsidRPr="007D57D2">
        <w:rPr>
          <w:rFonts w:ascii="Times New Roman" w:hAnsi="Times New Roman"/>
          <w:bCs/>
          <w:lang w:bidi="en-US"/>
        </w:rPr>
        <w:t xml:space="preserve"> topics and sub-grant focus among others.</w:t>
      </w:r>
      <w:r w:rsidRPr="007D57D2">
        <w:rPr>
          <w:rFonts w:ascii="Times New Roman" w:hAnsi="Times New Roman"/>
          <w:b/>
          <w:bCs/>
          <w:i/>
          <w:lang w:bidi="en-US"/>
        </w:rPr>
        <w:t xml:space="preserve"> </w:t>
      </w:r>
    </w:p>
    <w:p w14:paraId="71A9A408" w14:textId="497A03F3" w:rsidR="00252FDD" w:rsidRPr="0010397C" w:rsidRDefault="00252FDD" w:rsidP="00CB00BE">
      <w:pPr>
        <w:pStyle w:val="Heading3"/>
        <w:rPr>
          <w:lang w:bidi="en-US"/>
        </w:rPr>
      </w:pPr>
      <w:r w:rsidRPr="0010397C">
        <w:rPr>
          <w:lang w:bidi="en-US"/>
        </w:rPr>
        <w:t xml:space="preserve"> </w:t>
      </w:r>
      <w:bookmarkStart w:id="107" w:name="_Toc453621882"/>
      <w:r w:rsidRPr="0010397C">
        <w:rPr>
          <w:lang w:bidi="en-US"/>
        </w:rPr>
        <w:t>Local Contacts Database</w:t>
      </w:r>
      <w:bookmarkEnd w:id="107"/>
    </w:p>
    <w:p w14:paraId="6000924C" w14:textId="2FFCD0E9" w:rsidR="00252FDD" w:rsidRPr="005777E3" w:rsidRDefault="00252FDD" w:rsidP="00DD122D">
      <w:pPr>
        <w:rPr>
          <w:rFonts w:ascii="Times New Roman" w:hAnsi="Times New Roman"/>
          <w:lang w:bidi="en-US"/>
        </w:rPr>
      </w:pPr>
      <w:r w:rsidRPr="00C7166C">
        <w:rPr>
          <w:rFonts w:ascii="Times New Roman" w:hAnsi="Times New Roman"/>
          <w:lang w:bidi="en-US"/>
        </w:rPr>
        <w:t xml:space="preserve">Counterpart International has employed the Local Contacts Database to maintain up-to-date information on past, present and future partners as well as to track all assistance provided to a given organization through </w:t>
      </w:r>
      <w:r w:rsidR="00D37A43" w:rsidRPr="00931E65">
        <w:rPr>
          <w:rFonts w:ascii="Times New Roman" w:hAnsi="Times New Roman"/>
          <w:bCs/>
          <w:lang w:bidi="en-US"/>
        </w:rPr>
        <w:t>PRG-PA</w:t>
      </w:r>
      <w:r w:rsidRPr="00C7166C">
        <w:rPr>
          <w:rFonts w:ascii="Times New Roman" w:hAnsi="Times New Roman"/>
          <w:lang w:bidi="en-US"/>
        </w:rPr>
        <w:t xml:space="preserve">. Counterpart will continue populating the database with information on all organizations that will receive any assistance through the program. USAID, Counterpart and its implementing partners will be able see what type of assistance has been provided to any given organization. The database provides contact information (name, address, contact person, phone number, email address, website) for the organization; keyword description of the mission (i.e. advocacy, gender mainstreaming, legal education, decentralization/local government strengthening, civic education, etc.); and affiliation with a network, if any. The database is searchable by any and all of the following: name, country, location, umbrellas/networks the organizations belong to, and the keyword description of the organization’s mission. This information will be edited periodically as contact information for the organization changes. </w:t>
      </w:r>
    </w:p>
    <w:p w14:paraId="10F96174" w14:textId="10E7455A" w:rsidR="00252FDD" w:rsidRPr="0010397C" w:rsidRDefault="00252FDD" w:rsidP="00CB00BE">
      <w:pPr>
        <w:pStyle w:val="Heading3"/>
        <w:rPr>
          <w:lang w:bidi="en-US"/>
        </w:rPr>
      </w:pPr>
      <w:bookmarkStart w:id="108" w:name="_Toc453621883"/>
      <w:r w:rsidRPr="0010397C">
        <w:rPr>
          <w:lang w:bidi="en-US"/>
        </w:rPr>
        <w:t>Document Management System</w:t>
      </w:r>
      <w:bookmarkEnd w:id="108"/>
      <w:r w:rsidRPr="0010397C">
        <w:rPr>
          <w:lang w:bidi="en-US"/>
        </w:rPr>
        <w:t xml:space="preserve"> </w:t>
      </w:r>
    </w:p>
    <w:p w14:paraId="4A1C4B93" w14:textId="77777777" w:rsidR="00252FDD" w:rsidRPr="00C7166C" w:rsidRDefault="00252FDD" w:rsidP="0010397C">
      <w:pPr>
        <w:rPr>
          <w:rFonts w:ascii="Times New Roman" w:hAnsi="Times New Roman"/>
          <w:lang w:bidi="en-US"/>
        </w:rPr>
      </w:pPr>
      <w:r w:rsidRPr="00C7166C">
        <w:rPr>
          <w:rFonts w:ascii="Times New Roman" w:hAnsi="Times New Roman"/>
          <w:lang w:bidi="en-US"/>
        </w:rPr>
        <w:t xml:space="preserve">The document management portion of the MIS will house all key project documents that will be easily accessible to USAID and Counterpart. The Document Management System will include: program updates, the PMEP, annual implementation plans, progress reports, financial reports, methodologies/tools by activity, reports and publications, monitoring and evaluation documents, best practices and lessons learned, project innovations, success stories, impact statements, media, notes of appreciation, country related non-program publications and photos. </w:t>
      </w:r>
    </w:p>
    <w:p w14:paraId="3A8C153A" w14:textId="77777777" w:rsidR="0010397C" w:rsidRDefault="0010397C" w:rsidP="0010397C">
      <w:pPr>
        <w:rPr>
          <w:rFonts w:ascii="Times New Roman" w:hAnsi="Times New Roman"/>
          <w:iCs/>
          <w:lang w:bidi="en-US"/>
        </w:rPr>
      </w:pPr>
    </w:p>
    <w:p w14:paraId="337AD5A1" w14:textId="4CD29F51" w:rsidR="00252FDD" w:rsidRDefault="00252FDD" w:rsidP="00DD122D">
      <w:pPr>
        <w:rPr>
          <w:rFonts w:ascii="Times New Roman" w:hAnsi="Times New Roman"/>
          <w:lang w:bidi="en-US"/>
        </w:rPr>
      </w:pPr>
      <w:r w:rsidRPr="00C7166C">
        <w:rPr>
          <w:rFonts w:ascii="Times New Roman" w:hAnsi="Times New Roman"/>
          <w:iCs/>
          <w:lang w:bidi="en-US"/>
        </w:rPr>
        <w:t xml:space="preserve">At the end of each quarter, actual outputs will be compared and management decisions will be made with a view to producing intended results. The system makes for ready data analysis by comparing planned with actual performance to help both field and headquarters managers keep on top of program targets and benchmarks, and enable them to identify priorities for programming during the next quarter and to take corrective actions in a timely way. Data and information in the MIS will be used for program management and learning purposes by Counterpart and USAID. </w:t>
      </w:r>
    </w:p>
    <w:p w14:paraId="0A623F02" w14:textId="4736B9BF" w:rsidR="0010397C" w:rsidRPr="00DD122D" w:rsidRDefault="00252FDD" w:rsidP="00DD122D">
      <w:pPr>
        <w:pStyle w:val="Heading3"/>
      </w:pPr>
      <w:r w:rsidRPr="0010397C">
        <w:rPr>
          <w:rStyle w:val="Heading3Char"/>
        </w:rPr>
        <w:t xml:space="preserve"> </w:t>
      </w:r>
      <w:bookmarkStart w:id="109" w:name="_Toc453621884"/>
      <w:r w:rsidRPr="00DD122D">
        <w:t>Reporting</w:t>
      </w:r>
      <w:r w:rsidRPr="00CB00BE">
        <w:rPr>
          <w:rStyle w:val="Heading3Char"/>
          <w:b/>
          <w:bCs/>
        </w:rPr>
        <w:t xml:space="preserve"> System</w:t>
      </w:r>
      <w:bookmarkEnd w:id="109"/>
    </w:p>
    <w:p w14:paraId="7617E812" w14:textId="77777777" w:rsidR="00252FDD" w:rsidRDefault="0010397C" w:rsidP="0010397C">
      <w:pPr>
        <w:rPr>
          <w:rFonts w:ascii="Times New Roman" w:hAnsi="Times New Roman"/>
          <w:lang w:bidi="en-US"/>
        </w:rPr>
      </w:pPr>
      <w:r>
        <w:rPr>
          <w:rFonts w:ascii="Times New Roman" w:hAnsi="Times New Roman"/>
          <w:lang w:bidi="en-US"/>
        </w:rPr>
        <w:t>T</w:t>
      </w:r>
      <w:r w:rsidR="00252FDD" w:rsidRPr="00CC0589">
        <w:rPr>
          <w:rFonts w:ascii="Times New Roman" w:hAnsi="Times New Roman"/>
          <w:lang w:bidi="en-US"/>
        </w:rPr>
        <w:t>his portion of the KM portal aggregates data from the Management Information System allowing for quick and easy reporting based upon a number of different reports types.</w:t>
      </w:r>
    </w:p>
    <w:p w14:paraId="0E2EEB29" w14:textId="77777777" w:rsidR="00252FDD" w:rsidRDefault="00252FDD" w:rsidP="00252FDD"/>
    <w:p w14:paraId="390037AC" w14:textId="77777777" w:rsidR="00680E7E" w:rsidRPr="00680E7E" w:rsidRDefault="00680E7E" w:rsidP="00680E7E">
      <w:pPr>
        <w:rPr>
          <w:i/>
          <w:iCs/>
        </w:rPr>
      </w:pPr>
      <w:r w:rsidRPr="00680E7E">
        <w:rPr>
          <w:b/>
          <w:bCs/>
          <w:i/>
          <w:iCs/>
        </w:rPr>
        <w:t>Table 1:</w:t>
      </w:r>
      <w:r w:rsidRPr="00680E7E">
        <w:rPr>
          <w:i/>
          <w:iCs/>
        </w:rPr>
        <w:t xml:space="preserve"> Types of Documents that can potentially be uploaded with KM Portal Forms</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1416"/>
        <w:gridCol w:w="1776"/>
        <w:gridCol w:w="3192"/>
      </w:tblGrid>
      <w:tr w:rsidR="00680E7E" w:rsidRPr="00454C72" w14:paraId="6CFA7522" w14:textId="77777777" w:rsidTr="00680E7E">
        <w:trPr>
          <w:trHeight w:val="710"/>
        </w:trPr>
        <w:tc>
          <w:tcPr>
            <w:tcW w:w="3192" w:type="dxa"/>
            <w:shd w:val="clear" w:color="auto" w:fill="BFBFBF"/>
          </w:tcPr>
          <w:p w14:paraId="586488AA" w14:textId="77777777" w:rsidR="00680E7E" w:rsidRPr="00454C72" w:rsidRDefault="00680E7E" w:rsidP="009345E9">
            <w:pPr>
              <w:rPr>
                <w:b/>
              </w:rPr>
            </w:pPr>
            <w:r w:rsidRPr="00454C72">
              <w:rPr>
                <w:b/>
              </w:rPr>
              <w:t>Events:</w:t>
            </w:r>
          </w:p>
          <w:p w14:paraId="23DBD107" w14:textId="77777777" w:rsidR="00680E7E" w:rsidRPr="00454C72" w:rsidRDefault="00680E7E" w:rsidP="006F282B">
            <w:pPr>
              <w:numPr>
                <w:ilvl w:val="0"/>
                <w:numId w:val="4"/>
              </w:numPr>
              <w:spacing w:line="276" w:lineRule="auto"/>
            </w:pPr>
            <w:r w:rsidRPr="00454C72">
              <w:t>Implementation plan, with budget</w:t>
            </w:r>
          </w:p>
          <w:p w14:paraId="42EEC944" w14:textId="77777777" w:rsidR="00680E7E" w:rsidRPr="00454C72" w:rsidRDefault="00680E7E" w:rsidP="006F282B">
            <w:pPr>
              <w:numPr>
                <w:ilvl w:val="0"/>
                <w:numId w:val="4"/>
              </w:numPr>
              <w:spacing w:line="276" w:lineRule="auto"/>
            </w:pPr>
            <w:r w:rsidRPr="00454C72">
              <w:t>Agenda</w:t>
            </w:r>
          </w:p>
          <w:p w14:paraId="5DAC19BB" w14:textId="77777777" w:rsidR="00680E7E" w:rsidRPr="00454C72" w:rsidRDefault="00680E7E" w:rsidP="006F282B">
            <w:pPr>
              <w:numPr>
                <w:ilvl w:val="0"/>
                <w:numId w:val="4"/>
              </w:numPr>
              <w:spacing w:line="276" w:lineRule="auto"/>
            </w:pPr>
            <w:r w:rsidRPr="00454C72">
              <w:t>Event Report</w:t>
            </w:r>
          </w:p>
          <w:p w14:paraId="2E640795" w14:textId="77777777" w:rsidR="00680E7E" w:rsidRPr="00454C72" w:rsidRDefault="00680E7E" w:rsidP="006F282B">
            <w:pPr>
              <w:numPr>
                <w:ilvl w:val="0"/>
                <w:numId w:val="4"/>
              </w:numPr>
              <w:spacing w:line="276" w:lineRule="auto"/>
            </w:pPr>
            <w:r w:rsidRPr="00454C72">
              <w:t>List of Invitees</w:t>
            </w:r>
          </w:p>
          <w:p w14:paraId="4E83A124" w14:textId="77777777" w:rsidR="00680E7E" w:rsidRPr="00454C72" w:rsidRDefault="00680E7E" w:rsidP="006F282B">
            <w:pPr>
              <w:numPr>
                <w:ilvl w:val="0"/>
                <w:numId w:val="4"/>
              </w:numPr>
              <w:spacing w:line="276" w:lineRule="auto"/>
            </w:pPr>
            <w:r w:rsidRPr="00454C72">
              <w:t>Participant List (in PDF)</w:t>
            </w:r>
          </w:p>
          <w:p w14:paraId="2AC9BCE5" w14:textId="77777777" w:rsidR="00680E7E" w:rsidRPr="00454C72" w:rsidRDefault="00680E7E" w:rsidP="006F282B">
            <w:pPr>
              <w:numPr>
                <w:ilvl w:val="0"/>
                <w:numId w:val="4"/>
              </w:numPr>
              <w:spacing w:line="276" w:lineRule="auto"/>
            </w:pPr>
            <w:r w:rsidRPr="00454C72">
              <w:t>Presentations</w:t>
            </w:r>
          </w:p>
          <w:p w14:paraId="1860565D" w14:textId="77777777" w:rsidR="00680E7E" w:rsidRPr="00454C72" w:rsidRDefault="00680E7E" w:rsidP="006F282B">
            <w:pPr>
              <w:numPr>
                <w:ilvl w:val="0"/>
                <w:numId w:val="4"/>
              </w:numPr>
              <w:spacing w:line="276" w:lineRule="auto"/>
            </w:pPr>
            <w:r w:rsidRPr="00454C72">
              <w:t>Evaluation</w:t>
            </w:r>
          </w:p>
          <w:p w14:paraId="42DDF7F7" w14:textId="77777777" w:rsidR="00680E7E" w:rsidRPr="00454C72" w:rsidRDefault="00680E7E" w:rsidP="006F282B">
            <w:pPr>
              <w:numPr>
                <w:ilvl w:val="0"/>
                <w:numId w:val="4"/>
              </w:numPr>
              <w:spacing w:line="276" w:lineRule="auto"/>
            </w:pPr>
            <w:r w:rsidRPr="00454C72">
              <w:t>Photos</w:t>
            </w:r>
          </w:p>
          <w:p w14:paraId="587E91D3" w14:textId="77777777" w:rsidR="00680E7E" w:rsidRPr="00454C72" w:rsidRDefault="00680E7E" w:rsidP="006F282B">
            <w:pPr>
              <w:numPr>
                <w:ilvl w:val="0"/>
                <w:numId w:val="4"/>
              </w:numPr>
              <w:spacing w:line="276" w:lineRule="auto"/>
              <w:rPr>
                <w:b/>
              </w:rPr>
            </w:pPr>
            <w:r w:rsidRPr="00454C72">
              <w:t>Other Event Documents</w:t>
            </w:r>
          </w:p>
        </w:tc>
        <w:tc>
          <w:tcPr>
            <w:tcW w:w="3192" w:type="dxa"/>
            <w:gridSpan w:val="2"/>
            <w:shd w:val="clear" w:color="auto" w:fill="D9D9D9"/>
          </w:tcPr>
          <w:p w14:paraId="0AAD365B" w14:textId="77777777" w:rsidR="00680E7E" w:rsidRPr="00454C72" w:rsidRDefault="00680E7E" w:rsidP="009345E9">
            <w:pPr>
              <w:rPr>
                <w:b/>
              </w:rPr>
            </w:pPr>
            <w:r w:rsidRPr="00454C72">
              <w:rPr>
                <w:b/>
              </w:rPr>
              <w:t>Training:</w:t>
            </w:r>
          </w:p>
          <w:p w14:paraId="320AE759" w14:textId="77777777" w:rsidR="00680E7E" w:rsidRPr="00454C72" w:rsidRDefault="00680E7E" w:rsidP="006F282B">
            <w:pPr>
              <w:numPr>
                <w:ilvl w:val="0"/>
                <w:numId w:val="5"/>
              </w:numPr>
              <w:spacing w:line="276" w:lineRule="auto"/>
            </w:pPr>
            <w:r w:rsidRPr="00454C72">
              <w:t>Implementation plan with budget</w:t>
            </w:r>
          </w:p>
          <w:p w14:paraId="675A1433" w14:textId="77777777" w:rsidR="00680E7E" w:rsidRPr="00454C72" w:rsidRDefault="00680E7E" w:rsidP="006F282B">
            <w:pPr>
              <w:numPr>
                <w:ilvl w:val="0"/>
                <w:numId w:val="5"/>
              </w:numPr>
              <w:spacing w:line="276" w:lineRule="auto"/>
            </w:pPr>
            <w:r w:rsidRPr="00454C72">
              <w:t>List of Invitees</w:t>
            </w:r>
          </w:p>
          <w:p w14:paraId="05C5E4B0" w14:textId="77777777" w:rsidR="00680E7E" w:rsidRPr="00454C72" w:rsidRDefault="00680E7E" w:rsidP="006F282B">
            <w:pPr>
              <w:numPr>
                <w:ilvl w:val="0"/>
                <w:numId w:val="5"/>
              </w:numPr>
              <w:spacing w:line="276" w:lineRule="auto"/>
            </w:pPr>
            <w:r w:rsidRPr="00454C72">
              <w:t>Participant List (in PDF)</w:t>
            </w:r>
          </w:p>
          <w:p w14:paraId="13E2E698" w14:textId="77777777" w:rsidR="00680E7E" w:rsidRPr="00454C72" w:rsidRDefault="00680E7E" w:rsidP="006F282B">
            <w:pPr>
              <w:numPr>
                <w:ilvl w:val="0"/>
                <w:numId w:val="5"/>
              </w:numPr>
              <w:spacing w:line="276" w:lineRule="auto"/>
            </w:pPr>
            <w:r w:rsidRPr="00454C72">
              <w:t>Evaluation</w:t>
            </w:r>
          </w:p>
          <w:p w14:paraId="02B5009B" w14:textId="77777777" w:rsidR="00680E7E" w:rsidRPr="00454C72" w:rsidRDefault="00680E7E" w:rsidP="006F282B">
            <w:pPr>
              <w:numPr>
                <w:ilvl w:val="0"/>
                <w:numId w:val="5"/>
              </w:numPr>
              <w:spacing w:line="276" w:lineRule="auto"/>
            </w:pPr>
            <w:r w:rsidRPr="00454C72">
              <w:t>Training Module/Manual</w:t>
            </w:r>
          </w:p>
          <w:p w14:paraId="74E4F44D" w14:textId="77777777" w:rsidR="00680E7E" w:rsidRPr="00454C72" w:rsidRDefault="00680E7E" w:rsidP="006F282B">
            <w:pPr>
              <w:numPr>
                <w:ilvl w:val="0"/>
                <w:numId w:val="5"/>
              </w:numPr>
              <w:spacing w:line="276" w:lineRule="auto"/>
            </w:pPr>
            <w:r w:rsidRPr="00454C72">
              <w:t>Training Monitoring Report</w:t>
            </w:r>
          </w:p>
          <w:p w14:paraId="0E7D1E72" w14:textId="77777777" w:rsidR="00680E7E" w:rsidRPr="00454C72" w:rsidRDefault="00680E7E" w:rsidP="006F282B">
            <w:pPr>
              <w:numPr>
                <w:ilvl w:val="0"/>
                <w:numId w:val="5"/>
              </w:numPr>
              <w:spacing w:line="276" w:lineRule="auto"/>
            </w:pPr>
            <w:r w:rsidRPr="00454C72">
              <w:t>Training Output</w:t>
            </w:r>
          </w:p>
          <w:p w14:paraId="7105B82E" w14:textId="77777777" w:rsidR="00680E7E" w:rsidRPr="00454C72" w:rsidRDefault="00680E7E" w:rsidP="006F282B">
            <w:pPr>
              <w:numPr>
                <w:ilvl w:val="0"/>
                <w:numId w:val="5"/>
              </w:numPr>
              <w:spacing w:line="276" w:lineRule="auto"/>
            </w:pPr>
            <w:r w:rsidRPr="00454C72">
              <w:t>Training Report</w:t>
            </w:r>
          </w:p>
          <w:p w14:paraId="0377A278" w14:textId="77777777" w:rsidR="00680E7E" w:rsidRPr="00454C72" w:rsidRDefault="00680E7E" w:rsidP="006F282B">
            <w:pPr>
              <w:numPr>
                <w:ilvl w:val="0"/>
                <w:numId w:val="5"/>
              </w:numPr>
              <w:spacing w:line="276" w:lineRule="auto"/>
            </w:pPr>
            <w:r w:rsidRPr="00454C72">
              <w:t>Photos</w:t>
            </w:r>
          </w:p>
          <w:p w14:paraId="1FA07C7C" w14:textId="77777777" w:rsidR="00680E7E" w:rsidRPr="00454C72" w:rsidRDefault="00680E7E" w:rsidP="006F282B">
            <w:pPr>
              <w:numPr>
                <w:ilvl w:val="0"/>
                <w:numId w:val="5"/>
              </w:numPr>
              <w:spacing w:line="276" w:lineRule="auto"/>
              <w:rPr>
                <w:b/>
              </w:rPr>
            </w:pPr>
            <w:r w:rsidRPr="00454C72">
              <w:t>Other Training Documents</w:t>
            </w:r>
          </w:p>
        </w:tc>
        <w:tc>
          <w:tcPr>
            <w:tcW w:w="3192" w:type="dxa"/>
            <w:shd w:val="clear" w:color="auto" w:fill="BFBFBF"/>
          </w:tcPr>
          <w:p w14:paraId="6AD45EEF" w14:textId="77777777" w:rsidR="00680E7E" w:rsidRPr="00454C72" w:rsidRDefault="00680E7E" w:rsidP="009345E9">
            <w:pPr>
              <w:rPr>
                <w:b/>
              </w:rPr>
            </w:pPr>
            <w:r w:rsidRPr="00454C72">
              <w:rPr>
                <w:b/>
              </w:rPr>
              <w:t>Technical Assistance:</w:t>
            </w:r>
          </w:p>
          <w:p w14:paraId="704AF85F" w14:textId="77777777" w:rsidR="00680E7E" w:rsidRPr="00454C72" w:rsidRDefault="00680E7E" w:rsidP="006F282B">
            <w:pPr>
              <w:numPr>
                <w:ilvl w:val="0"/>
                <w:numId w:val="6"/>
              </w:numPr>
              <w:spacing w:line="276" w:lineRule="auto"/>
            </w:pPr>
            <w:r w:rsidRPr="00454C72">
              <w:t>Comparative Analysis Paper</w:t>
            </w:r>
          </w:p>
          <w:p w14:paraId="072756F7" w14:textId="77777777" w:rsidR="00680E7E" w:rsidRPr="00454C72" w:rsidRDefault="00680E7E" w:rsidP="006F282B">
            <w:pPr>
              <w:numPr>
                <w:ilvl w:val="0"/>
                <w:numId w:val="6"/>
              </w:numPr>
              <w:spacing w:line="276" w:lineRule="auto"/>
            </w:pPr>
            <w:r w:rsidRPr="00454C72">
              <w:t>Legal Commentary</w:t>
            </w:r>
          </w:p>
          <w:p w14:paraId="0B3FFE5A" w14:textId="77777777" w:rsidR="00680E7E" w:rsidRPr="00454C72" w:rsidRDefault="00680E7E" w:rsidP="006F282B">
            <w:pPr>
              <w:numPr>
                <w:ilvl w:val="0"/>
                <w:numId w:val="6"/>
              </w:numPr>
              <w:spacing w:line="276" w:lineRule="auto"/>
            </w:pPr>
            <w:r w:rsidRPr="00454C72">
              <w:t>Technical Assistance Report</w:t>
            </w:r>
          </w:p>
          <w:p w14:paraId="310D7426" w14:textId="3ADA4EA8" w:rsidR="00680E7E" w:rsidRPr="00454C72" w:rsidRDefault="00680E7E" w:rsidP="006F282B">
            <w:pPr>
              <w:numPr>
                <w:ilvl w:val="0"/>
                <w:numId w:val="6"/>
              </w:numPr>
              <w:spacing w:line="276" w:lineRule="auto"/>
            </w:pPr>
            <w:r w:rsidRPr="00454C72">
              <w:t>Whi</w:t>
            </w:r>
            <w:r w:rsidR="00273555">
              <w:t>t</w:t>
            </w:r>
            <w:r w:rsidRPr="00454C72">
              <w:t>e Paper</w:t>
            </w:r>
          </w:p>
          <w:p w14:paraId="6C2DAB25" w14:textId="77777777" w:rsidR="00680E7E" w:rsidRPr="00454C72" w:rsidRDefault="00680E7E" w:rsidP="006F282B">
            <w:pPr>
              <w:numPr>
                <w:ilvl w:val="0"/>
                <w:numId w:val="6"/>
              </w:numPr>
              <w:spacing w:line="276" w:lineRule="auto"/>
            </w:pPr>
            <w:r w:rsidRPr="00454C72">
              <w:t>Photos</w:t>
            </w:r>
          </w:p>
          <w:p w14:paraId="2F0BA660" w14:textId="77777777" w:rsidR="00680E7E" w:rsidRPr="00454C72" w:rsidRDefault="00680E7E" w:rsidP="006F282B">
            <w:pPr>
              <w:numPr>
                <w:ilvl w:val="0"/>
                <w:numId w:val="6"/>
              </w:numPr>
              <w:spacing w:line="276" w:lineRule="auto"/>
              <w:rPr>
                <w:b/>
              </w:rPr>
            </w:pPr>
            <w:r w:rsidRPr="00454C72">
              <w:t>Other Technical Assistance Documents</w:t>
            </w:r>
          </w:p>
        </w:tc>
      </w:tr>
      <w:tr w:rsidR="00680E7E" w:rsidRPr="00454C72" w14:paraId="05764F68" w14:textId="77777777" w:rsidTr="009345E9">
        <w:trPr>
          <w:trHeight w:val="3086"/>
        </w:trPr>
        <w:tc>
          <w:tcPr>
            <w:tcW w:w="3192" w:type="dxa"/>
            <w:shd w:val="clear" w:color="auto" w:fill="D9D9D9"/>
          </w:tcPr>
          <w:p w14:paraId="5F6C8566" w14:textId="77777777" w:rsidR="00680E7E" w:rsidRPr="00454C72" w:rsidRDefault="00680E7E" w:rsidP="009345E9">
            <w:pPr>
              <w:rPr>
                <w:b/>
              </w:rPr>
            </w:pPr>
            <w:r w:rsidRPr="00454C72">
              <w:rPr>
                <w:b/>
              </w:rPr>
              <w:t>Grants:</w:t>
            </w:r>
          </w:p>
          <w:p w14:paraId="61467132" w14:textId="77777777" w:rsidR="00680E7E" w:rsidRPr="00454C72" w:rsidRDefault="00680E7E" w:rsidP="006F282B">
            <w:pPr>
              <w:numPr>
                <w:ilvl w:val="0"/>
                <w:numId w:val="9"/>
              </w:numPr>
              <w:spacing w:line="276" w:lineRule="auto"/>
            </w:pPr>
            <w:r w:rsidRPr="00454C72">
              <w:t>Grant Agreement</w:t>
            </w:r>
          </w:p>
          <w:p w14:paraId="66716E84" w14:textId="77777777" w:rsidR="00680E7E" w:rsidRPr="00454C72" w:rsidRDefault="00680E7E" w:rsidP="006F282B">
            <w:pPr>
              <w:numPr>
                <w:ilvl w:val="0"/>
                <w:numId w:val="9"/>
              </w:numPr>
              <w:spacing w:line="276" w:lineRule="auto"/>
            </w:pPr>
            <w:r w:rsidRPr="00454C72">
              <w:t>Grant Application/proposal</w:t>
            </w:r>
          </w:p>
          <w:p w14:paraId="28A9B89D" w14:textId="77777777" w:rsidR="00680E7E" w:rsidRPr="00454C72" w:rsidRDefault="00680E7E" w:rsidP="006F282B">
            <w:pPr>
              <w:numPr>
                <w:ilvl w:val="0"/>
                <w:numId w:val="9"/>
              </w:numPr>
              <w:spacing w:line="276" w:lineRule="auto"/>
            </w:pPr>
            <w:r w:rsidRPr="00454C72">
              <w:t>Grant final financial report</w:t>
            </w:r>
          </w:p>
          <w:p w14:paraId="121C1FC7" w14:textId="77777777" w:rsidR="00680E7E" w:rsidRPr="00454C72" w:rsidRDefault="00680E7E" w:rsidP="006F282B">
            <w:pPr>
              <w:numPr>
                <w:ilvl w:val="0"/>
                <w:numId w:val="9"/>
              </w:numPr>
              <w:spacing w:line="276" w:lineRule="auto"/>
            </w:pPr>
            <w:r w:rsidRPr="00454C72">
              <w:t>Grant final progress report</w:t>
            </w:r>
          </w:p>
          <w:p w14:paraId="5BFBC65F" w14:textId="77777777" w:rsidR="00680E7E" w:rsidRPr="00454C72" w:rsidRDefault="00680E7E" w:rsidP="006F282B">
            <w:pPr>
              <w:numPr>
                <w:ilvl w:val="0"/>
                <w:numId w:val="9"/>
              </w:numPr>
              <w:spacing w:line="276" w:lineRule="auto"/>
            </w:pPr>
            <w:r w:rsidRPr="00454C72">
              <w:t>Grant periodic financial report</w:t>
            </w:r>
          </w:p>
          <w:p w14:paraId="64F60360" w14:textId="77777777" w:rsidR="00680E7E" w:rsidRPr="00454C72" w:rsidRDefault="00680E7E" w:rsidP="006F282B">
            <w:pPr>
              <w:numPr>
                <w:ilvl w:val="0"/>
                <w:numId w:val="9"/>
              </w:numPr>
              <w:spacing w:line="276" w:lineRule="auto"/>
            </w:pPr>
            <w:r w:rsidRPr="00454C72">
              <w:t>Grant progress reports</w:t>
            </w:r>
          </w:p>
          <w:p w14:paraId="4CEC640C" w14:textId="77777777" w:rsidR="00680E7E" w:rsidRPr="00454C72" w:rsidRDefault="00680E7E" w:rsidP="006F282B">
            <w:pPr>
              <w:numPr>
                <w:ilvl w:val="0"/>
                <w:numId w:val="9"/>
              </w:numPr>
              <w:spacing w:line="276" w:lineRule="auto"/>
            </w:pPr>
            <w:r w:rsidRPr="00454C72">
              <w:t>Impacts</w:t>
            </w:r>
          </w:p>
          <w:p w14:paraId="23C708F6" w14:textId="77777777" w:rsidR="00680E7E" w:rsidRPr="00454C72" w:rsidRDefault="00680E7E" w:rsidP="006F282B">
            <w:pPr>
              <w:numPr>
                <w:ilvl w:val="0"/>
                <w:numId w:val="9"/>
              </w:numPr>
              <w:spacing w:line="276" w:lineRule="auto"/>
            </w:pPr>
            <w:r w:rsidRPr="00454C72">
              <w:t>Project Work Plan</w:t>
            </w:r>
          </w:p>
          <w:p w14:paraId="25AF8EB9" w14:textId="77777777" w:rsidR="00680E7E" w:rsidRPr="00454C72" w:rsidRDefault="00680E7E" w:rsidP="006F282B">
            <w:pPr>
              <w:numPr>
                <w:ilvl w:val="0"/>
                <w:numId w:val="9"/>
              </w:numPr>
              <w:spacing w:line="276" w:lineRule="auto"/>
            </w:pPr>
            <w:r w:rsidRPr="00454C72">
              <w:t>Project M&amp;E Plan</w:t>
            </w:r>
          </w:p>
          <w:p w14:paraId="5B032260" w14:textId="77777777" w:rsidR="00680E7E" w:rsidRPr="00454C72" w:rsidRDefault="00680E7E" w:rsidP="006F282B">
            <w:pPr>
              <w:numPr>
                <w:ilvl w:val="0"/>
                <w:numId w:val="9"/>
              </w:numPr>
              <w:spacing w:line="276" w:lineRule="auto"/>
            </w:pPr>
            <w:r w:rsidRPr="00454C72">
              <w:t>Site Visit reports</w:t>
            </w:r>
          </w:p>
          <w:p w14:paraId="224AAE8B" w14:textId="77777777" w:rsidR="00680E7E" w:rsidRPr="00454C72" w:rsidRDefault="00680E7E" w:rsidP="006F282B">
            <w:pPr>
              <w:numPr>
                <w:ilvl w:val="0"/>
                <w:numId w:val="9"/>
              </w:numPr>
              <w:spacing w:line="276" w:lineRule="auto"/>
            </w:pPr>
            <w:r w:rsidRPr="00454C72">
              <w:t>Photos</w:t>
            </w:r>
          </w:p>
          <w:p w14:paraId="2616D307" w14:textId="77777777" w:rsidR="00680E7E" w:rsidRPr="00454C72" w:rsidRDefault="00680E7E" w:rsidP="006F282B">
            <w:pPr>
              <w:numPr>
                <w:ilvl w:val="0"/>
                <w:numId w:val="9"/>
              </w:numPr>
              <w:spacing w:line="276" w:lineRule="auto"/>
              <w:rPr>
                <w:b/>
              </w:rPr>
            </w:pPr>
            <w:r w:rsidRPr="00454C72">
              <w:t>Other Grant Documents</w:t>
            </w:r>
          </w:p>
        </w:tc>
        <w:tc>
          <w:tcPr>
            <w:tcW w:w="3192" w:type="dxa"/>
            <w:gridSpan w:val="2"/>
            <w:shd w:val="clear" w:color="auto" w:fill="BFBFBF"/>
          </w:tcPr>
          <w:p w14:paraId="54AA86CA" w14:textId="77777777" w:rsidR="00680E7E" w:rsidRPr="00454C72" w:rsidRDefault="00680E7E" w:rsidP="009345E9">
            <w:pPr>
              <w:rPr>
                <w:b/>
              </w:rPr>
            </w:pPr>
            <w:r w:rsidRPr="00454C72">
              <w:rPr>
                <w:b/>
              </w:rPr>
              <w:t>Assessments/Evaluations:</w:t>
            </w:r>
          </w:p>
          <w:p w14:paraId="2D01C5A8" w14:textId="77777777" w:rsidR="00680E7E" w:rsidRPr="00454C72" w:rsidRDefault="00680E7E" w:rsidP="006F282B">
            <w:pPr>
              <w:numPr>
                <w:ilvl w:val="0"/>
                <w:numId w:val="8"/>
              </w:numPr>
              <w:spacing w:line="276" w:lineRule="auto"/>
            </w:pPr>
            <w:r w:rsidRPr="00454C72">
              <w:t>Implementation plan with budget</w:t>
            </w:r>
          </w:p>
          <w:p w14:paraId="38088271" w14:textId="77777777" w:rsidR="00680E7E" w:rsidRPr="00454C72" w:rsidRDefault="00680E7E" w:rsidP="006F282B">
            <w:pPr>
              <w:numPr>
                <w:ilvl w:val="0"/>
                <w:numId w:val="8"/>
              </w:numPr>
              <w:spacing w:line="276" w:lineRule="auto"/>
            </w:pPr>
            <w:r w:rsidRPr="00454C72">
              <w:t>Report</w:t>
            </w:r>
          </w:p>
          <w:p w14:paraId="3980FCAC" w14:textId="77777777" w:rsidR="00680E7E" w:rsidRPr="00454C72" w:rsidRDefault="00680E7E" w:rsidP="006F282B">
            <w:pPr>
              <w:numPr>
                <w:ilvl w:val="0"/>
                <w:numId w:val="8"/>
              </w:numPr>
              <w:spacing w:line="276" w:lineRule="auto"/>
            </w:pPr>
            <w:r w:rsidRPr="00454C72">
              <w:t>Research SOW/Design</w:t>
            </w:r>
          </w:p>
          <w:p w14:paraId="246A213C" w14:textId="77777777" w:rsidR="00680E7E" w:rsidRPr="00454C72" w:rsidRDefault="00680E7E" w:rsidP="006F282B">
            <w:pPr>
              <w:numPr>
                <w:ilvl w:val="0"/>
                <w:numId w:val="8"/>
              </w:numPr>
              <w:spacing w:line="276" w:lineRule="auto"/>
            </w:pPr>
            <w:r w:rsidRPr="00454C72">
              <w:t>Research Tools/Instruments</w:t>
            </w:r>
          </w:p>
          <w:p w14:paraId="1689D0F8" w14:textId="77777777" w:rsidR="00680E7E" w:rsidRPr="00454C72" w:rsidRDefault="00680E7E" w:rsidP="006F282B">
            <w:pPr>
              <w:numPr>
                <w:ilvl w:val="0"/>
                <w:numId w:val="8"/>
              </w:numPr>
              <w:spacing w:line="276" w:lineRule="auto"/>
            </w:pPr>
            <w:r w:rsidRPr="00454C72">
              <w:t>Photos</w:t>
            </w:r>
          </w:p>
          <w:p w14:paraId="40226939" w14:textId="77777777" w:rsidR="00680E7E" w:rsidRPr="00454C72" w:rsidRDefault="00680E7E" w:rsidP="006F282B">
            <w:pPr>
              <w:numPr>
                <w:ilvl w:val="0"/>
                <w:numId w:val="8"/>
              </w:numPr>
              <w:spacing w:line="276" w:lineRule="auto"/>
              <w:rPr>
                <w:b/>
              </w:rPr>
            </w:pPr>
            <w:r w:rsidRPr="00454C72">
              <w:t>Other Research Documents</w:t>
            </w:r>
          </w:p>
        </w:tc>
        <w:tc>
          <w:tcPr>
            <w:tcW w:w="3192" w:type="dxa"/>
            <w:shd w:val="clear" w:color="auto" w:fill="D9D9D9"/>
          </w:tcPr>
          <w:p w14:paraId="032B9337" w14:textId="77777777" w:rsidR="00680E7E" w:rsidRPr="00454C72" w:rsidRDefault="00680E7E" w:rsidP="009345E9">
            <w:pPr>
              <w:rPr>
                <w:b/>
              </w:rPr>
            </w:pPr>
            <w:r w:rsidRPr="00454C72">
              <w:rPr>
                <w:b/>
              </w:rPr>
              <w:t>Exchange/Study Tours:</w:t>
            </w:r>
          </w:p>
          <w:p w14:paraId="39BB60D9" w14:textId="77777777" w:rsidR="00680E7E" w:rsidRPr="00454C72" w:rsidRDefault="00680E7E" w:rsidP="006F282B">
            <w:pPr>
              <w:numPr>
                <w:ilvl w:val="0"/>
                <w:numId w:val="7"/>
              </w:numPr>
              <w:spacing w:line="276" w:lineRule="auto"/>
            </w:pPr>
            <w:r w:rsidRPr="00454C72">
              <w:t>Implementation plan with budget</w:t>
            </w:r>
          </w:p>
          <w:p w14:paraId="647F43B1" w14:textId="77777777" w:rsidR="00680E7E" w:rsidRPr="00454C72" w:rsidRDefault="00680E7E" w:rsidP="006F282B">
            <w:pPr>
              <w:numPr>
                <w:ilvl w:val="0"/>
                <w:numId w:val="7"/>
              </w:numPr>
              <w:spacing w:line="276" w:lineRule="auto"/>
            </w:pPr>
            <w:r w:rsidRPr="00454C72">
              <w:t>List of Invitees</w:t>
            </w:r>
          </w:p>
          <w:p w14:paraId="0154CC80" w14:textId="77777777" w:rsidR="00680E7E" w:rsidRPr="00454C72" w:rsidRDefault="00680E7E" w:rsidP="006F282B">
            <w:pPr>
              <w:numPr>
                <w:ilvl w:val="0"/>
                <w:numId w:val="7"/>
              </w:numPr>
              <w:spacing w:line="276" w:lineRule="auto"/>
            </w:pPr>
            <w:r w:rsidRPr="00454C72">
              <w:t xml:space="preserve">Participant list </w:t>
            </w:r>
          </w:p>
          <w:p w14:paraId="2D35ECE5" w14:textId="77777777" w:rsidR="00680E7E" w:rsidRPr="00454C72" w:rsidRDefault="00680E7E" w:rsidP="006F282B">
            <w:pPr>
              <w:numPr>
                <w:ilvl w:val="0"/>
                <w:numId w:val="7"/>
              </w:numPr>
              <w:spacing w:line="276" w:lineRule="auto"/>
            </w:pPr>
            <w:r w:rsidRPr="00454C72">
              <w:t>Exchange/Study Tour Report</w:t>
            </w:r>
          </w:p>
          <w:p w14:paraId="08CDCEFC" w14:textId="77777777" w:rsidR="00680E7E" w:rsidRPr="00454C72" w:rsidRDefault="00680E7E" w:rsidP="006F282B">
            <w:pPr>
              <w:numPr>
                <w:ilvl w:val="0"/>
                <w:numId w:val="7"/>
              </w:numPr>
              <w:spacing w:line="276" w:lineRule="auto"/>
            </w:pPr>
            <w:r w:rsidRPr="00454C72">
              <w:t>Photos</w:t>
            </w:r>
          </w:p>
          <w:p w14:paraId="5A8A4498" w14:textId="77777777" w:rsidR="00680E7E" w:rsidRPr="00454C72" w:rsidRDefault="00680E7E" w:rsidP="006F282B">
            <w:pPr>
              <w:numPr>
                <w:ilvl w:val="0"/>
                <w:numId w:val="7"/>
              </w:numPr>
              <w:spacing w:line="276" w:lineRule="auto"/>
              <w:rPr>
                <w:b/>
              </w:rPr>
            </w:pPr>
            <w:r w:rsidRPr="00454C72">
              <w:t>Other Exchange and Study tour Documents</w:t>
            </w:r>
          </w:p>
        </w:tc>
      </w:tr>
      <w:tr w:rsidR="00680E7E" w:rsidRPr="00454C72" w14:paraId="6C3E1774" w14:textId="77777777" w:rsidTr="009345E9">
        <w:tc>
          <w:tcPr>
            <w:tcW w:w="4608" w:type="dxa"/>
            <w:gridSpan w:val="2"/>
            <w:shd w:val="clear" w:color="auto" w:fill="BFBFBF"/>
          </w:tcPr>
          <w:p w14:paraId="26D0EBD9" w14:textId="77777777" w:rsidR="00680E7E" w:rsidRPr="00454C72" w:rsidRDefault="00680E7E" w:rsidP="009345E9">
            <w:pPr>
              <w:rPr>
                <w:b/>
              </w:rPr>
            </w:pPr>
            <w:r w:rsidRPr="00454C72">
              <w:rPr>
                <w:b/>
              </w:rPr>
              <w:t>Media and Public Outreach:</w:t>
            </w:r>
          </w:p>
          <w:p w14:paraId="37F4BDF9" w14:textId="77777777" w:rsidR="00680E7E" w:rsidRPr="00454C72" w:rsidRDefault="00680E7E" w:rsidP="006F282B">
            <w:pPr>
              <w:numPr>
                <w:ilvl w:val="0"/>
                <w:numId w:val="10"/>
              </w:numPr>
              <w:spacing w:line="276" w:lineRule="auto"/>
            </w:pPr>
            <w:r w:rsidRPr="00454C72">
              <w:t>TV and radio Broadcast</w:t>
            </w:r>
          </w:p>
          <w:p w14:paraId="4328C0A4" w14:textId="77777777" w:rsidR="00680E7E" w:rsidRPr="00454C72" w:rsidRDefault="00680E7E" w:rsidP="006F282B">
            <w:pPr>
              <w:numPr>
                <w:ilvl w:val="0"/>
                <w:numId w:val="10"/>
              </w:numPr>
              <w:spacing w:line="276" w:lineRule="auto"/>
            </w:pPr>
            <w:r w:rsidRPr="00454C72">
              <w:t xml:space="preserve">Mobile Messages </w:t>
            </w:r>
          </w:p>
          <w:p w14:paraId="0D731C7D" w14:textId="77777777" w:rsidR="00680E7E" w:rsidRPr="00454C72" w:rsidRDefault="00680E7E" w:rsidP="006F282B">
            <w:pPr>
              <w:numPr>
                <w:ilvl w:val="0"/>
                <w:numId w:val="10"/>
              </w:numPr>
              <w:spacing w:line="276" w:lineRule="auto"/>
            </w:pPr>
            <w:r w:rsidRPr="00454C72">
              <w:t>Listserv Material</w:t>
            </w:r>
          </w:p>
          <w:p w14:paraId="141890C6" w14:textId="77777777" w:rsidR="00680E7E" w:rsidRPr="00454C72" w:rsidRDefault="00680E7E" w:rsidP="006F282B">
            <w:pPr>
              <w:numPr>
                <w:ilvl w:val="0"/>
                <w:numId w:val="10"/>
              </w:numPr>
              <w:spacing w:line="276" w:lineRule="auto"/>
            </w:pPr>
            <w:r w:rsidRPr="00454C72">
              <w:t>Press release</w:t>
            </w:r>
          </w:p>
          <w:p w14:paraId="0D76B999" w14:textId="77777777" w:rsidR="00680E7E" w:rsidRPr="00454C72" w:rsidRDefault="00680E7E" w:rsidP="006F282B">
            <w:pPr>
              <w:numPr>
                <w:ilvl w:val="0"/>
                <w:numId w:val="10"/>
              </w:numPr>
              <w:spacing w:line="276" w:lineRule="auto"/>
            </w:pPr>
            <w:r w:rsidRPr="00454C72">
              <w:t>Printed news articles</w:t>
            </w:r>
          </w:p>
          <w:p w14:paraId="1EBAE8DE" w14:textId="77777777" w:rsidR="00680E7E" w:rsidRPr="00454C72" w:rsidRDefault="00680E7E" w:rsidP="006F282B">
            <w:pPr>
              <w:numPr>
                <w:ilvl w:val="0"/>
                <w:numId w:val="10"/>
              </w:numPr>
              <w:spacing w:line="276" w:lineRule="auto"/>
            </w:pPr>
            <w:r w:rsidRPr="00454C72">
              <w:t>Printed Materials</w:t>
            </w:r>
          </w:p>
          <w:p w14:paraId="03844EAA" w14:textId="77777777" w:rsidR="00680E7E" w:rsidRPr="00454C72" w:rsidRDefault="00680E7E" w:rsidP="006F282B">
            <w:pPr>
              <w:numPr>
                <w:ilvl w:val="0"/>
                <w:numId w:val="10"/>
              </w:numPr>
              <w:spacing w:line="276" w:lineRule="auto"/>
            </w:pPr>
            <w:r w:rsidRPr="00454C72">
              <w:t>Publication</w:t>
            </w:r>
          </w:p>
          <w:p w14:paraId="05CA8436" w14:textId="77777777" w:rsidR="00680E7E" w:rsidRPr="00454C72" w:rsidRDefault="00680E7E" w:rsidP="006F282B">
            <w:pPr>
              <w:numPr>
                <w:ilvl w:val="0"/>
                <w:numId w:val="10"/>
              </w:numPr>
              <w:spacing w:line="276" w:lineRule="auto"/>
            </w:pPr>
            <w:r w:rsidRPr="00454C72">
              <w:t>Facebook content</w:t>
            </w:r>
          </w:p>
          <w:p w14:paraId="453EC4CA" w14:textId="77777777" w:rsidR="00680E7E" w:rsidRPr="00454C72" w:rsidRDefault="00680E7E" w:rsidP="006F282B">
            <w:pPr>
              <w:numPr>
                <w:ilvl w:val="0"/>
                <w:numId w:val="10"/>
              </w:numPr>
              <w:spacing w:line="276" w:lineRule="auto"/>
            </w:pPr>
            <w:r w:rsidRPr="00454C72">
              <w:t>Blog content</w:t>
            </w:r>
          </w:p>
          <w:p w14:paraId="14104391" w14:textId="77777777" w:rsidR="00680E7E" w:rsidRPr="00454C72" w:rsidRDefault="00680E7E" w:rsidP="006F282B">
            <w:pPr>
              <w:numPr>
                <w:ilvl w:val="0"/>
                <w:numId w:val="10"/>
              </w:numPr>
              <w:spacing w:line="276" w:lineRule="auto"/>
            </w:pPr>
            <w:r w:rsidRPr="00454C72">
              <w:t>Twitter content</w:t>
            </w:r>
          </w:p>
          <w:p w14:paraId="4EFCBE68" w14:textId="77777777" w:rsidR="00680E7E" w:rsidRPr="00454C72" w:rsidRDefault="00680E7E" w:rsidP="006F282B">
            <w:pPr>
              <w:numPr>
                <w:ilvl w:val="0"/>
                <w:numId w:val="10"/>
              </w:numPr>
              <w:spacing w:line="276" w:lineRule="auto"/>
            </w:pPr>
            <w:r w:rsidRPr="00454C72">
              <w:t>Website content</w:t>
            </w:r>
          </w:p>
          <w:p w14:paraId="5121867A" w14:textId="77777777" w:rsidR="00680E7E" w:rsidRPr="00454C72" w:rsidRDefault="00680E7E" w:rsidP="006F282B">
            <w:pPr>
              <w:numPr>
                <w:ilvl w:val="0"/>
                <w:numId w:val="10"/>
              </w:numPr>
              <w:spacing w:line="276" w:lineRule="auto"/>
            </w:pPr>
            <w:r>
              <w:t>YouT</w:t>
            </w:r>
            <w:r w:rsidRPr="00454C72">
              <w:t>ube video clip</w:t>
            </w:r>
          </w:p>
          <w:p w14:paraId="0E30E957" w14:textId="77777777" w:rsidR="00680E7E" w:rsidRPr="00454C72" w:rsidRDefault="00680E7E" w:rsidP="006F282B">
            <w:pPr>
              <w:numPr>
                <w:ilvl w:val="0"/>
                <w:numId w:val="10"/>
              </w:numPr>
              <w:spacing w:line="276" w:lineRule="auto"/>
              <w:rPr>
                <w:b/>
              </w:rPr>
            </w:pPr>
            <w:r w:rsidRPr="00454C72">
              <w:t>Other relevant media files/documents</w:t>
            </w:r>
          </w:p>
        </w:tc>
        <w:tc>
          <w:tcPr>
            <w:tcW w:w="4968" w:type="dxa"/>
            <w:gridSpan w:val="2"/>
            <w:shd w:val="clear" w:color="auto" w:fill="D9D9D9"/>
          </w:tcPr>
          <w:p w14:paraId="05745B1E" w14:textId="77777777" w:rsidR="00680E7E" w:rsidRPr="00454C72" w:rsidRDefault="00680E7E" w:rsidP="009345E9">
            <w:pPr>
              <w:rPr>
                <w:b/>
              </w:rPr>
            </w:pPr>
            <w:r w:rsidRPr="00454C72">
              <w:rPr>
                <w:b/>
              </w:rPr>
              <w:t>Other Documents:</w:t>
            </w:r>
          </w:p>
          <w:p w14:paraId="5BD83D54" w14:textId="77777777" w:rsidR="00680E7E" w:rsidRPr="00454C72" w:rsidRDefault="00680E7E" w:rsidP="006F282B">
            <w:pPr>
              <w:numPr>
                <w:ilvl w:val="0"/>
                <w:numId w:val="11"/>
              </w:numPr>
              <w:spacing w:line="276" w:lineRule="auto"/>
            </w:pPr>
            <w:r w:rsidRPr="00454C72">
              <w:t>Weekly, quarterly and final reports</w:t>
            </w:r>
          </w:p>
          <w:p w14:paraId="11B59889" w14:textId="77777777" w:rsidR="00680E7E" w:rsidRPr="00454C72" w:rsidRDefault="00680E7E" w:rsidP="006F282B">
            <w:pPr>
              <w:numPr>
                <w:ilvl w:val="0"/>
                <w:numId w:val="11"/>
              </w:numPr>
              <w:spacing w:line="276" w:lineRule="auto"/>
            </w:pPr>
            <w:r w:rsidRPr="00454C72">
              <w:t>Program impacts, success stories</w:t>
            </w:r>
          </w:p>
          <w:p w14:paraId="7EA96B26" w14:textId="77777777" w:rsidR="00680E7E" w:rsidRPr="00454C72" w:rsidRDefault="00680E7E" w:rsidP="006F282B">
            <w:pPr>
              <w:numPr>
                <w:ilvl w:val="0"/>
                <w:numId w:val="11"/>
              </w:numPr>
              <w:spacing w:line="276" w:lineRule="auto"/>
            </w:pPr>
            <w:r w:rsidRPr="00454C72">
              <w:t>Annual work plans and PMEP</w:t>
            </w:r>
          </w:p>
          <w:p w14:paraId="44809787" w14:textId="77777777" w:rsidR="00680E7E" w:rsidRPr="00454C72" w:rsidRDefault="00680E7E" w:rsidP="006F282B">
            <w:pPr>
              <w:numPr>
                <w:ilvl w:val="0"/>
                <w:numId w:val="11"/>
              </w:numPr>
              <w:spacing w:line="276" w:lineRule="auto"/>
            </w:pPr>
            <w:r w:rsidRPr="00454C72">
              <w:t>Methodologies and tools</w:t>
            </w:r>
          </w:p>
          <w:p w14:paraId="1441E04D" w14:textId="77777777" w:rsidR="00680E7E" w:rsidRPr="00454C72" w:rsidRDefault="00680E7E" w:rsidP="006F282B">
            <w:pPr>
              <w:numPr>
                <w:ilvl w:val="0"/>
                <w:numId w:val="11"/>
              </w:numPr>
              <w:spacing w:line="276" w:lineRule="auto"/>
            </w:pPr>
            <w:r w:rsidRPr="00454C72">
              <w:t>Grant RFAs, manuals, procedures and policies</w:t>
            </w:r>
          </w:p>
          <w:p w14:paraId="3E469DAC" w14:textId="77777777" w:rsidR="00680E7E" w:rsidRPr="00454C72" w:rsidRDefault="00680E7E" w:rsidP="006F282B">
            <w:pPr>
              <w:numPr>
                <w:ilvl w:val="0"/>
                <w:numId w:val="11"/>
              </w:numPr>
              <w:spacing w:line="276" w:lineRule="auto"/>
            </w:pPr>
            <w:r w:rsidRPr="00454C72">
              <w:t>Quantitative data and analysis, if available</w:t>
            </w:r>
          </w:p>
          <w:p w14:paraId="361BB610" w14:textId="77777777" w:rsidR="00680E7E" w:rsidRPr="00454C72" w:rsidRDefault="00680E7E" w:rsidP="006F282B">
            <w:pPr>
              <w:numPr>
                <w:ilvl w:val="0"/>
                <w:numId w:val="11"/>
              </w:numPr>
              <w:spacing w:line="276" w:lineRule="auto"/>
            </w:pPr>
            <w:r w:rsidRPr="00454C72">
              <w:t>Locally written proposals, concept papers, teaming agreements</w:t>
            </w:r>
          </w:p>
          <w:p w14:paraId="602450D6" w14:textId="77777777" w:rsidR="00680E7E" w:rsidRPr="00454C72" w:rsidRDefault="00680E7E" w:rsidP="009345E9">
            <w:pPr>
              <w:rPr>
                <w:b/>
              </w:rPr>
            </w:pPr>
          </w:p>
        </w:tc>
      </w:tr>
    </w:tbl>
    <w:p w14:paraId="70B8F556" w14:textId="1282BC50" w:rsidR="005B3AEF" w:rsidRDefault="005B3AEF" w:rsidP="0017151D">
      <w:pPr>
        <w:pStyle w:val="Heading2"/>
        <w:numPr>
          <w:ilvl w:val="1"/>
          <w:numId w:val="19"/>
        </w:numPr>
      </w:pPr>
      <w:bookmarkStart w:id="110" w:name="_Toc453621885"/>
      <w:r>
        <w:t>Organizational Development Assessment</w:t>
      </w:r>
      <w:bookmarkEnd w:id="110"/>
      <w:r>
        <w:t xml:space="preserve"> </w:t>
      </w:r>
    </w:p>
    <w:p w14:paraId="23DADE78" w14:textId="1598273F" w:rsidR="00D11E8C" w:rsidRPr="00C83B2C" w:rsidRDefault="00D11E8C" w:rsidP="00C83B2C">
      <w:pPr>
        <w:spacing w:before="120" w:after="120"/>
      </w:pPr>
      <w:r w:rsidRPr="006F282B">
        <w:rPr>
          <w:rFonts w:ascii="Times New Roman" w:hAnsi="Times New Roman"/>
        </w:rPr>
        <w:t xml:space="preserve">PRG-PA’s key partners will receive training on how to conduct action research, </w:t>
      </w:r>
      <w:r w:rsidR="006F282B" w:rsidRPr="006F282B">
        <w:rPr>
          <w:rFonts w:ascii="Times New Roman" w:hAnsi="Times New Roman"/>
        </w:rPr>
        <w:t>specifically</w:t>
      </w:r>
      <w:r w:rsidRPr="006F282B">
        <w:rPr>
          <w:rFonts w:ascii="Times New Roman" w:hAnsi="Times New Roman"/>
        </w:rPr>
        <w:t xml:space="preserve"> political economy analysis (PEA) in support of advocacy and accountability campaigns and reforms and actions to improve responses to citizen priorities. These organizations and entities will engage in Counterpart’s organizational development assessment and have specific organizational development/ins</w:t>
      </w:r>
      <w:r w:rsidR="006F282B" w:rsidRPr="006F282B">
        <w:rPr>
          <w:rFonts w:ascii="Times New Roman" w:hAnsi="Times New Roman"/>
        </w:rPr>
        <w:t xml:space="preserve">titutional strengthening goals within the context of PEA research training including, </w:t>
      </w:r>
      <w:r w:rsidR="006F282B" w:rsidRPr="006F282B">
        <w:t>leadership and strategic management; program management and quality control; accounting and financial management; financial sustainability; human and material resources; and external relations and communications.</w:t>
      </w:r>
    </w:p>
    <w:p w14:paraId="1E9B94E9" w14:textId="6E8E4D18" w:rsidR="00C83B2C" w:rsidRPr="00842724" w:rsidRDefault="00D11E8C" w:rsidP="00C83B2C">
      <w:pPr>
        <w:spacing w:before="120" w:after="120"/>
        <w:rPr>
          <w:rFonts w:ascii="Times New Roman" w:hAnsi="Times New Roman"/>
        </w:rPr>
      </w:pPr>
      <w:r w:rsidRPr="006F282B">
        <w:rPr>
          <w:rFonts w:ascii="Times New Roman" w:hAnsi="Times New Roman"/>
        </w:rPr>
        <w:t xml:space="preserve">By providing capacity building in PEA principles, PRG-PA will enable partners and grantees to apply PEA in their advocacy, community mobilization, and accountability campaigns to encourage citizens, government officials, media, and private sector actors to identify constructive, locally-driven solutions in support of their development priorities. The assessment and trainings will address the improvement in overall capacity of target organizations and their ability to use PEA effectively to identify and to orient action to address citizens’ priorities.    </w:t>
      </w:r>
    </w:p>
    <w:p w14:paraId="70054F99" w14:textId="2198A062" w:rsidR="005B3AEF" w:rsidRPr="00D0478B" w:rsidRDefault="005B3AEF" w:rsidP="0017151D">
      <w:pPr>
        <w:pStyle w:val="Heading2"/>
        <w:numPr>
          <w:ilvl w:val="1"/>
          <w:numId w:val="19"/>
        </w:numPr>
      </w:pPr>
      <w:bookmarkStart w:id="111" w:name="_Toc453621886"/>
      <w:r w:rsidRPr="00D0478B">
        <w:t>Training, Monitoring, and Evaluation</w:t>
      </w:r>
      <w:bookmarkEnd w:id="111"/>
    </w:p>
    <w:p w14:paraId="1871C3FB" w14:textId="75BB5023" w:rsidR="005B3AEF" w:rsidRPr="00D0478B" w:rsidRDefault="005B3AEF" w:rsidP="005B3AEF">
      <w:pPr>
        <w:rPr>
          <w:rFonts w:asciiTheme="majorBidi" w:hAnsiTheme="majorBidi" w:cstheme="majorBidi"/>
          <w:spacing w:val="-1"/>
        </w:rPr>
      </w:pPr>
      <w:r w:rsidRPr="00D0478B">
        <w:rPr>
          <w:rFonts w:asciiTheme="majorBidi" w:hAnsiTheme="majorBidi" w:cstheme="majorBidi"/>
          <w:spacing w:val="-1"/>
        </w:rPr>
        <w:t>Effective</w:t>
      </w:r>
      <w:r w:rsidRPr="00D0478B">
        <w:rPr>
          <w:rFonts w:asciiTheme="majorBidi" w:hAnsiTheme="majorBidi" w:cstheme="majorBidi"/>
          <w:spacing w:val="22"/>
        </w:rPr>
        <w:t xml:space="preserve"> </w:t>
      </w:r>
      <w:r w:rsidRPr="00D0478B">
        <w:rPr>
          <w:rFonts w:asciiTheme="majorBidi" w:hAnsiTheme="majorBidi" w:cstheme="majorBidi"/>
        </w:rPr>
        <w:t>and</w:t>
      </w:r>
      <w:r w:rsidRPr="00D0478B">
        <w:rPr>
          <w:rFonts w:asciiTheme="majorBidi" w:hAnsiTheme="majorBidi" w:cstheme="majorBidi"/>
          <w:spacing w:val="23"/>
        </w:rPr>
        <w:t xml:space="preserve"> </w:t>
      </w:r>
      <w:r w:rsidRPr="00D0478B">
        <w:rPr>
          <w:rFonts w:asciiTheme="majorBidi" w:hAnsiTheme="majorBidi" w:cstheme="majorBidi"/>
          <w:spacing w:val="-1"/>
        </w:rPr>
        <w:t>high</w:t>
      </w:r>
      <w:r w:rsidRPr="00D0478B">
        <w:rPr>
          <w:rFonts w:asciiTheme="majorBidi" w:hAnsiTheme="majorBidi" w:cstheme="majorBidi"/>
          <w:spacing w:val="23"/>
        </w:rPr>
        <w:t xml:space="preserve"> </w:t>
      </w:r>
      <w:r w:rsidRPr="00D0478B">
        <w:rPr>
          <w:rFonts w:asciiTheme="majorBidi" w:hAnsiTheme="majorBidi" w:cstheme="majorBidi"/>
          <w:spacing w:val="-1"/>
        </w:rPr>
        <w:t>value</w:t>
      </w:r>
      <w:r w:rsidRPr="00D0478B">
        <w:rPr>
          <w:rFonts w:asciiTheme="majorBidi" w:hAnsiTheme="majorBidi" w:cstheme="majorBidi"/>
          <w:spacing w:val="23"/>
        </w:rPr>
        <w:t xml:space="preserve"> </w:t>
      </w:r>
      <w:r w:rsidRPr="00D0478B">
        <w:rPr>
          <w:rFonts w:asciiTheme="majorBidi" w:hAnsiTheme="majorBidi" w:cstheme="majorBidi"/>
          <w:spacing w:val="-1"/>
        </w:rPr>
        <w:t>training,</w:t>
      </w:r>
      <w:r w:rsidRPr="00D0478B">
        <w:rPr>
          <w:rFonts w:asciiTheme="majorBidi" w:hAnsiTheme="majorBidi" w:cstheme="majorBidi"/>
          <w:spacing w:val="23"/>
        </w:rPr>
        <w:t xml:space="preserve"> </w:t>
      </w:r>
      <w:r w:rsidRPr="00D0478B">
        <w:rPr>
          <w:rFonts w:asciiTheme="majorBidi" w:hAnsiTheme="majorBidi" w:cstheme="majorBidi"/>
        </w:rPr>
        <w:t>including</w:t>
      </w:r>
      <w:r w:rsidRPr="00D0478B">
        <w:rPr>
          <w:rFonts w:asciiTheme="majorBidi" w:hAnsiTheme="majorBidi" w:cstheme="majorBidi"/>
          <w:spacing w:val="21"/>
        </w:rPr>
        <w:t xml:space="preserve"> </w:t>
      </w:r>
      <w:r w:rsidRPr="00D0478B">
        <w:rPr>
          <w:rFonts w:asciiTheme="majorBidi" w:hAnsiTheme="majorBidi" w:cstheme="majorBidi"/>
        </w:rPr>
        <w:t>sensitivity</w:t>
      </w:r>
      <w:r w:rsidRPr="00D0478B">
        <w:rPr>
          <w:rFonts w:asciiTheme="majorBidi" w:hAnsiTheme="majorBidi" w:cstheme="majorBidi"/>
          <w:spacing w:val="18"/>
        </w:rPr>
        <w:t xml:space="preserve"> </w:t>
      </w:r>
      <w:r w:rsidRPr="00D0478B">
        <w:rPr>
          <w:rFonts w:asciiTheme="majorBidi" w:hAnsiTheme="majorBidi" w:cstheme="majorBidi"/>
        </w:rPr>
        <w:t>to</w:t>
      </w:r>
      <w:r w:rsidRPr="00D0478B">
        <w:rPr>
          <w:rFonts w:asciiTheme="majorBidi" w:hAnsiTheme="majorBidi" w:cstheme="majorBidi"/>
          <w:spacing w:val="87"/>
        </w:rPr>
        <w:t xml:space="preserve"> </w:t>
      </w:r>
      <w:r w:rsidRPr="00D0478B">
        <w:rPr>
          <w:rFonts w:asciiTheme="majorBidi" w:hAnsiTheme="majorBidi" w:cstheme="majorBidi"/>
          <w:spacing w:val="-1"/>
        </w:rPr>
        <w:t>gender-specific</w:t>
      </w:r>
      <w:r w:rsidRPr="00D0478B">
        <w:rPr>
          <w:rFonts w:asciiTheme="majorBidi" w:hAnsiTheme="majorBidi" w:cstheme="majorBidi"/>
          <w:spacing w:val="13"/>
        </w:rPr>
        <w:t xml:space="preserve"> </w:t>
      </w:r>
      <w:r w:rsidRPr="00D0478B">
        <w:rPr>
          <w:rFonts w:asciiTheme="majorBidi" w:hAnsiTheme="majorBidi" w:cstheme="majorBidi"/>
          <w:spacing w:val="-1"/>
        </w:rPr>
        <w:t>issues</w:t>
      </w:r>
      <w:r w:rsidRPr="00D0478B">
        <w:rPr>
          <w:rFonts w:asciiTheme="majorBidi" w:hAnsiTheme="majorBidi" w:cstheme="majorBidi"/>
          <w:spacing w:val="12"/>
        </w:rPr>
        <w:t xml:space="preserve"> </w:t>
      </w:r>
      <w:r w:rsidRPr="00D0478B">
        <w:rPr>
          <w:rFonts w:asciiTheme="majorBidi" w:hAnsiTheme="majorBidi" w:cstheme="majorBidi"/>
        </w:rPr>
        <w:t>and</w:t>
      </w:r>
      <w:r w:rsidRPr="00D0478B">
        <w:rPr>
          <w:rFonts w:asciiTheme="majorBidi" w:hAnsiTheme="majorBidi" w:cstheme="majorBidi"/>
          <w:spacing w:val="11"/>
        </w:rPr>
        <w:t xml:space="preserve"> </w:t>
      </w:r>
      <w:r w:rsidRPr="00D0478B">
        <w:rPr>
          <w:rFonts w:asciiTheme="majorBidi" w:hAnsiTheme="majorBidi" w:cstheme="majorBidi"/>
          <w:spacing w:val="-1"/>
        </w:rPr>
        <w:t>outreach</w:t>
      </w:r>
      <w:r w:rsidRPr="00D0478B">
        <w:rPr>
          <w:rFonts w:asciiTheme="majorBidi" w:hAnsiTheme="majorBidi" w:cstheme="majorBidi"/>
          <w:spacing w:val="13"/>
        </w:rPr>
        <w:t xml:space="preserve"> </w:t>
      </w:r>
      <w:r w:rsidRPr="00D0478B">
        <w:rPr>
          <w:rFonts w:asciiTheme="majorBidi" w:hAnsiTheme="majorBidi" w:cstheme="majorBidi"/>
          <w:spacing w:val="-1"/>
        </w:rPr>
        <w:t>techniques,</w:t>
      </w:r>
      <w:r w:rsidRPr="00D0478B">
        <w:rPr>
          <w:rFonts w:asciiTheme="majorBidi" w:hAnsiTheme="majorBidi" w:cstheme="majorBidi"/>
          <w:spacing w:val="13"/>
        </w:rPr>
        <w:t xml:space="preserve"> </w:t>
      </w:r>
      <w:r w:rsidRPr="00D0478B">
        <w:rPr>
          <w:rFonts w:asciiTheme="majorBidi" w:hAnsiTheme="majorBidi" w:cstheme="majorBidi"/>
          <w:spacing w:val="-1"/>
        </w:rPr>
        <w:t>as</w:t>
      </w:r>
      <w:r w:rsidRPr="00D0478B">
        <w:rPr>
          <w:rFonts w:asciiTheme="majorBidi" w:hAnsiTheme="majorBidi" w:cstheme="majorBidi"/>
          <w:spacing w:val="14"/>
        </w:rPr>
        <w:t xml:space="preserve"> </w:t>
      </w:r>
      <w:r w:rsidRPr="00D0478B">
        <w:rPr>
          <w:rFonts w:asciiTheme="majorBidi" w:hAnsiTheme="majorBidi" w:cstheme="majorBidi"/>
          <w:spacing w:val="-1"/>
        </w:rPr>
        <w:t>well</w:t>
      </w:r>
      <w:r w:rsidRPr="00D0478B">
        <w:rPr>
          <w:rFonts w:asciiTheme="majorBidi" w:hAnsiTheme="majorBidi" w:cstheme="majorBidi"/>
          <w:spacing w:val="12"/>
        </w:rPr>
        <w:t xml:space="preserve"> </w:t>
      </w:r>
      <w:r w:rsidRPr="00D0478B">
        <w:rPr>
          <w:rFonts w:asciiTheme="majorBidi" w:hAnsiTheme="majorBidi" w:cstheme="majorBidi"/>
          <w:spacing w:val="-1"/>
        </w:rPr>
        <w:t>as</w:t>
      </w:r>
      <w:r w:rsidRPr="00D0478B">
        <w:rPr>
          <w:rFonts w:asciiTheme="majorBidi" w:hAnsiTheme="majorBidi" w:cstheme="majorBidi"/>
          <w:spacing w:val="12"/>
        </w:rPr>
        <w:t xml:space="preserve"> </w:t>
      </w:r>
      <w:r w:rsidRPr="00D0478B">
        <w:rPr>
          <w:rFonts w:asciiTheme="majorBidi" w:hAnsiTheme="majorBidi" w:cstheme="majorBidi"/>
          <w:spacing w:val="-1"/>
        </w:rPr>
        <w:t>technical</w:t>
      </w:r>
      <w:r w:rsidRPr="00D0478B">
        <w:rPr>
          <w:rFonts w:asciiTheme="majorBidi" w:hAnsiTheme="majorBidi" w:cstheme="majorBidi"/>
          <w:spacing w:val="14"/>
        </w:rPr>
        <w:t xml:space="preserve"> </w:t>
      </w:r>
      <w:r w:rsidRPr="00D0478B">
        <w:rPr>
          <w:rFonts w:asciiTheme="majorBidi" w:hAnsiTheme="majorBidi" w:cstheme="majorBidi"/>
          <w:spacing w:val="-1"/>
        </w:rPr>
        <w:t>assistance</w:t>
      </w:r>
      <w:r w:rsidRPr="00D0478B">
        <w:rPr>
          <w:rFonts w:asciiTheme="majorBidi" w:hAnsiTheme="majorBidi" w:cstheme="majorBidi"/>
          <w:spacing w:val="10"/>
        </w:rPr>
        <w:t xml:space="preserve"> </w:t>
      </w:r>
      <w:r w:rsidRPr="00D0478B">
        <w:rPr>
          <w:rFonts w:asciiTheme="majorBidi" w:hAnsiTheme="majorBidi" w:cstheme="majorBidi"/>
        </w:rPr>
        <w:t>will</w:t>
      </w:r>
      <w:r w:rsidRPr="00D0478B">
        <w:rPr>
          <w:rFonts w:asciiTheme="majorBidi" w:hAnsiTheme="majorBidi" w:cstheme="majorBidi"/>
          <w:spacing w:val="12"/>
        </w:rPr>
        <w:t xml:space="preserve"> </w:t>
      </w:r>
      <w:r w:rsidRPr="00D0478B">
        <w:rPr>
          <w:rFonts w:asciiTheme="majorBidi" w:hAnsiTheme="majorBidi" w:cstheme="majorBidi"/>
        </w:rPr>
        <w:t>be</w:t>
      </w:r>
      <w:r w:rsidRPr="00D0478B">
        <w:rPr>
          <w:rFonts w:asciiTheme="majorBidi" w:hAnsiTheme="majorBidi" w:cstheme="majorBidi"/>
          <w:spacing w:val="13"/>
        </w:rPr>
        <w:t xml:space="preserve"> </w:t>
      </w:r>
      <w:r w:rsidRPr="00D0478B">
        <w:rPr>
          <w:rFonts w:asciiTheme="majorBidi" w:hAnsiTheme="majorBidi" w:cstheme="majorBidi"/>
          <w:spacing w:val="-1"/>
        </w:rPr>
        <w:t>critical</w:t>
      </w:r>
      <w:r w:rsidRPr="00D0478B">
        <w:rPr>
          <w:rFonts w:asciiTheme="majorBidi" w:hAnsiTheme="majorBidi" w:cstheme="majorBidi"/>
          <w:spacing w:val="12"/>
        </w:rPr>
        <w:t xml:space="preserve"> </w:t>
      </w:r>
      <w:r w:rsidRPr="00D0478B">
        <w:rPr>
          <w:rFonts w:asciiTheme="majorBidi" w:hAnsiTheme="majorBidi" w:cstheme="majorBidi"/>
        </w:rPr>
        <w:t>to</w:t>
      </w:r>
      <w:r w:rsidRPr="00D0478B">
        <w:rPr>
          <w:rFonts w:asciiTheme="majorBidi" w:hAnsiTheme="majorBidi" w:cstheme="majorBidi"/>
          <w:spacing w:val="105"/>
        </w:rPr>
        <w:t xml:space="preserve"> </w:t>
      </w:r>
      <w:r w:rsidRPr="00D0478B">
        <w:rPr>
          <w:rFonts w:asciiTheme="majorBidi" w:hAnsiTheme="majorBidi" w:cstheme="majorBidi"/>
        </w:rPr>
        <w:t>the</w:t>
      </w:r>
      <w:r w:rsidRPr="00D0478B">
        <w:rPr>
          <w:rFonts w:asciiTheme="majorBidi" w:hAnsiTheme="majorBidi" w:cstheme="majorBidi"/>
          <w:spacing w:val="54"/>
        </w:rPr>
        <w:t xml:space="preserve"> </w:t>
      </w:r>
      <w:r w:rsidRPr="00D0478B">
        <w:rPr>
          <w:rFonts w:asciiTheme="majorBidi" w:hAnsiTheme="majorBidi" w:cstheme="majorBidi"/>
          <w:spacing w:val="-1"/>
        </w:rPr>
        <w:t>success</w:t>
      </w:r>
      <w:r w:rsidRPr="00D0478B">
        <w:rPr>
          <w:rFonts w:asciiTheme="majorBidi" w:hAnsiTheme="majorBidi" w:cstheme="majorBidi"/>
          <w:spacing w:val="55"/>
        </w:rPr>
        <w:t xml:space="preserve"> </w:t>
      </w:r>
      <w:r w:rsidRPr="00D0478B">
        <w:rPr>
          <w:rFonts w:asciiTheme="majorBidi" w:hAnsiTheme="majorBidi" w:cstheme="majorBidi"/>
        </w:rPr>
        <w:t>of</w:t>
      </w:r>
      <w:r w:rsidRPr="00D0478B">
        <w:rPr>
          <w:rFonts w:asciiTheme="majorBidi" w:hAnsiTheme="majorBidi" w:cstheme="majorBidi"/>
          <w:spacing w:val="54"/>
        </w:rPr>
        <w:t xml:space="preserve"> </w:t>
      </w:r>
      <w:r w:rsidR="00D37A43" w:rsidRPr="00931E65">
        <w:rPr>
          <w:rFonts w:asciiTheme="majorBidi" w:hAnsiTheme="majorBidi" w:cstheme="majorBidi"/>
          <w:spacing w:val="-1"/>
        </w:rPr>
        <w:t>PRG-PA</w:t>
      </w:r>
      <w:r w:rsidRPr="00931E65">
        <w:rPr>
          <w:rFonts w:asciiTheme="majorBidi" w:hAnsiTheme="majorBidi" w:cstheme="majorBidi"/>
          <w:spacing w:val="-1"/>
        </w:rPr>
        <w:t>.</w:t>
      </w:r>
      <w:r w:rsidRPr="00931E65">
        <w:rPr>
          <w:rFonts w:asciiTheme="majorBidi" w:hAnsiTheme="majorBidi" w:cstheme="majorBidi"/>
          <w:spacing w:val="57"/>
        </w:rPr>
        <w:t xml:space="preserve"> </w:t>
      </w:r>
      <w:r w:rsidRPr="00D0478B">
        <w:rPr>
          <w:rFonts w:asciiTheme="majorBidi" w:hAnsiTheme="majorBidi" w:cstheme="majorBidi"/>
        </w:rPr>
        <w:t>It</w:t>
      </w:r>
      <w:r w:rsidRPr="00D0478B">
        <w:rPr>
          <w:rFonts w:asciiTheme="majorBidi" w:hAnsiTheme="majorBidi" w:cstheme="majorBidi"/>
          <w:spacing w:val="54"/>
        </w:rPr>
        <w:t xml:space="preserve"> </w:t>
      </w:r>
      <w:r w:rsidRPr="00D0478B">
        <w:rPr>
          <w:rFonts w:asciiTheme="majorBidi" w:hAnsiTheme="majorBidi" w:cstheme="majorBidi"/>
        </w:rPr>
        <w:t>is</w:t>
      </w:r>
      <w:r w:rsidRPr="00D0478B">
        <w:rPr>
          <w:rFonts w:asciiTheme="majorBidi" w:hAnsiTheme="majorBidi" w:cstheme="majorBidi"/>
          <w:spacing w:val="55"/>
        </w:rPr>
        <w:t xml:space="preserve"> </w:t>
      </w:r>
      <w:r w:rsidRPr="00D0478B">
        <w:rPr>
          <w:rFonts w:asciiTheme="majorBidi" w:hAnsiTheme="majorBidi" w:cstheme="majorBidi"/>
          <w:spacing w:val="-1"/>
        </w:rPr>
        <w:t>therefore</w:t>
      </w:r>
      <w:r w:rsidRPr="00D0478B">
        <w:rPr>
          <w:rFonts w:asciiTheme="majorBidi" w:hAnsiTheme="majorBidi" w:cstheme="majorBidi"/>
          <w:spacing w:val="54"/>
        </w:rPr>
        <w:t xml:space="preserve"> </w:t>
      </w:r>
      <w:r w:rsidRPr="00D0478B">
        <w:rPr>
          <w:rFonts w:asciiTheme="majorBidi" w:hAnsiTheme="majorBidi" w:cstheme="majorBidi"/>
          <w:spacing w:val="-1"/>
        </w:rPr>
        <w:t>essential</w:t>
      </w:r>
      <w:r w:rsidRPr="00D0478B">
        <w:rPr>
          <w:rFonts w:asciiTheme="majorBidi" w:hAnsiTheme="majorBidi" w:cstheme="majorBidi"/>
          <w:spacing w:val="54"/>
        </w:rPr>
        <w:t xml:space="preserve"> </w:t>
      </w:r>
      <w:r w:rsidRPr="00D0478B">
        <w:rPr>
          <w:rFonts w:asciiTheme="majorBidi" w:hAnsiTheme="majorBidi" w:cstheme="majorBidi"/>
        </w:rPr>
        <w:t>to</w:t>
      </w:r>
      <w:r w:rsidRPr="00D0478B">
        <w:rPr>
          <w:rFonts w:asciiTheme="majorBidi" w:hAnsiTheme="majorBidi" w:cstheme="majorBidi"/>
          <w:spacing w:val="55"/>
        </w:rPr>
        <w:t xml:space="preserve"> </w:t>
      </w:r>
      <w:r w:rsidRPr="00D0478B">
        <w:rPr>
          <w:rFonts w:asciiTheme="majorBidi" w:hAnsiTheme="majorBidi" w:cstheme="majorBidi"/>
        </w:rPr>
        <w:t>monitor</w:t>
      </w:r>
      <w:r w:rsidRPr="00D0478B">
        <w:rPr>
          <w:rFonts w:asciiTheme="majorBidi" w:hAnsiTheme="majorBidi" w:cstheme="majorBidi"/>
          <w:spacing w:val="54"/>
        </w:rPr>
        <w:t xml:space="preserve"> </w:t>
      </w:r>
      <w:r w:rsidRPr="00D0478B">
        <w:rPr>
          <w:rFonts w:asciiTheme="majorBidi" w:hAnsiTheme="majorBidi" w:cstheme="majorBidi"/>
        </w:rPr>
        <w:t>the</w:t>
      </w:r>
      <w:r w:rsidRPr="00D0478B">
        <w:rPr>
          <w:rFonts w:asciiTheme="majorBidi" w:hAnsiTheme="majorBidi" w:cstheme="majorBidi"/>
          <w:spacing w:val="54"/>
        </w:rPr>
        <w:t xml:space="preserve"> </w:t>
      </w:r>
      <w:r w:rsidRPr="00D0478B">
        <w:rPr>
          <w:rFonts w:asciiTheme="majorBidi" w:hAnsiTheme="majorBidi" w:cstheme="majorBidi"/>
        </w:rPr>
        <w:t>quality</w:t>
      </w:r>
      <w:r w:rsidRPr="00D0478B">
        <w:rPr>
          <w:rFonts w:asciiTheme="majorBidi" w:hAnsiTheme="majorBidi" w:cstheme="majorBidi"/>
          <w:spacing w:val="47"/>
        </w:rPr>
        <w:t xml:space="preserve"> </w:t>
      </w:r>
      <w:r w:rsidRPr="00D0478B">
        <w:rPr>
          <w:rFonts w:asciiTheme="majorBidi" w:hAnsiTheme="majorBidi" w:cstheme="majorBidi"/>
        </w:rPr>
        <w:t>of</w:t>
      </w:r>
      <w:r w:rsidRPr="00D0478B">
        <w:rPr>
          <w:rFonts w:asciiTheme="majorBidi" w:hAnsiTheme="majorBidi" w:cstheme="majorBidi"/>
          <w:spacing w:val="54"/>
        </w:rPr>
        <w:t xml:space="preserve"> </w:t>
      </w:r>
      <w:r w:rsidRPr="00D0478B">
        <w:rPr>
          <w:rFonts w:asciiTheme="majorBidi" w:hAnsiTheme="majorBidi" w:cstheme="majorBidi"/>
          <w:spacing w:val="-1"/>
        </w:rPr>
        <w:t>training</w:t>
      </w:r>
      <w:r w:rsidRPr="00D0478B">
        <w:rPr>
          <w:rFonts w:asciiTheme="majorBidi" w:hAnsiTheme="majorBidi" w:cstheme="majorBidi"/>
          <w:spacing w:val="52"/>
        </w:rPr>
        <w:t xml:space="preserve"> </w:t>
      </w:r>
      <w:r w:rsidRPr="00D0478B">
        <w:rPr>
          <w:rFonts w:asciiTheme="majorBidi" w:hAnsiTheme="majorBidi" w:cstheme="majorBidi"/>
        </w:rPr>
        <w:t>during</w:t>
      </w:r>
      <w:r w:rsidRPr="00D0478B">
        <w:rPr>
          <w:rFonts w:asciiTheme="majorBidi" w:hAnsiTheme="majorBidi" w:cstheme="majorBidi"/>
          <w:spacing w:val="52"/>
        </w:rPr>
        <w:t xml:space="preserve"> </w:t>
      </w:r>
      <w:r w:rsidRPr="00D0478B">
        <w:rPr>
          <w:rFonts w:asciiTheme="majorBidi" w:hAnsiTheme="majorBidi" w:cstheme="majorBidi"/>
        </w:rPr>
        <w:t>(or</w:t>
      </w:r>
      <w:r w:rsidRPr="00D0478B">
        <w:rPr>
          <w:rFonts w:asciiTheme="majorBidi" w:hAnsiTheme="majorBidi" w:cstheme="majorBidi"/>
          <w:spacing w:val="51"/>
        </w:rPr>
        <w:t xml:space="preserve"> </w:t>
      </w:r>
      <w:r w:rsidRPr="00D0478B">
        <w:rPr>
          <w:rFonts w:asciiTheme="majorBidi" w:hAnsiTheme="majorBidi" w:cstheme="majorBidi"/>
        </w:rPr>
        <w:t>immediately</w:t>
      </w:r>
      <w:r w:rsidRPr="00D0478B">
        <w:rPr>
          <w:rFonts w:asciiTheme="majorBidi" w:hAnsiTheme="majorBidi" w:cstheme="majorBidi"/>
          <w:spacing w:val="14"/>
        </w:rPr>
        <w:t xml:space="preserve"> </w:t>
      </w:r>
      <w:r w:rsidRPr="00D0478B">
        <w:rPr>
          <w:rFonts w:asciiTheme="majorBidi" w:hAnsiTheme="majorBidi" w:cstheme="majorBidi"/>
          <w:spacing w:val="-1"/>
        </w:rPr>
        <w:t>after)</w:t>
      </w:r>
      <w:r w:rsidRPr="00D0478B">
        <w:rPr>
          <w:rFonts w:asciiTheme="majorBidi" w:hAnsiTheme="majorBidi" w:cstheme="majorBidi"/>
          <w:spacing w:val="17"/>
        </w:rPr>
        <w:t xml:space="preserve"> </w:t>
      </w:r>
      <w:r w:rsidRPr="00D0478B">
        <w:rPr>
          <w:rFonts w:asciiTheme="majorBidi" w:hAnsiTheme="majorBidi" w:cstheme="majorBidi"/>
          <w:spacing w:val="-1"/>
        </w:rPr>
        <w:t>delivery.</w:t>
      </w:r>
      <w:r w:rsidRPr="00D0478B">
        <w:rPr>
          <w:rFonts w:asciiTheme="majorBidi" w:hAnsiTheme="majorBidi" w:cstheme="majorBidi"/>
        </w:rPr>
        <w:t xml:space="preserve"> To</w:t>
      </w:r>
      <w:r w:rsidRPr="00D0478B">
        <w:rPr>
          <w:rFonts w:asciiTheme="majorBidi" w:hAnsiTheme="majorBidi" w:cstheme="majorBidi"/>
          <w:spacing w:val="18"/>
        </w:rPr>
        <w:t xml:space="preserve"> </w:t>
      </w:r>
      <w:r w:rsidRPr="00D0478B">
        <w:rPr>
          <w:rFonts w:asciiTheme="majorBidi" w:hAnsiTheme="majorBidi" w:cstheme="majorBidi"/>
        </w:rPr>
        <w:t>evaluate</w:t>
      </w:r>
      <w:r w:rsidRPr="00D0478B">
        <w:rPr>
          <w:rFonts w:asciiTheme="majorBidi" w:hAnsiTheme="majorBidi" w:cstheme="majorBidi"/>
          <w:spacing w:val="18"/>
        </w:rPr>
        <w:t xml:space="preserve"> </w:t>
      </w:r>
      <w:r w:rsidRPr="00D0478B">
        <w:rPr>
          <w:rFonts w:asciiTheme="majorBidi" w:hAnsiTheme="majorBidi" w:cstheme="majorBidi"/>
        </w:rPr>
        <w:t>the</w:t>
      </w:r>
      <w:r w:rsidRPr="00D0478B">
        <w:rPr>
          <w:rFonts w:asciiTheme="majorBidi" w:hAnsiTheme="majorBidi" w:cstheme="majorBidi"/>
          <w:spacing w:val="18"/>
        </w:rPr>
        <w:t xml:space="preserve"> </w:t>
      </w:r>
      <w:r w:rsidRPr="00D0478B">
        <w:rPr>
          <w:rFonts w:asciiTheme="majorBidi" w:hAnsiTheme="majorBidi" w:cstheme="majorBidi"/>
        </w:rPr>
        <w:t>quality</w:t>
      </w:r>
      <w:r w:rsidRPr="00D0478B">
        <w:rPr>
          <w:rFonts w:asciiTheme="majorBidi" w:hAnsiTheme="majorBidi" w:cstheme="majorBidi"/>
          <w:spacing w:val="14"/>
        </w:rPr>
        <w:t xml:space="preserve"> </w:t>
      </w:r>
      <w:r w:rsidRPr="00D0478B">
        <w:rPr>
          <w:rFonts w:asciiTheme="majorBidi" w:hAnsiTheme="majorBidi" w:cstheme="majorBidi"/>
        </w:rPr>
        <w:t>of</w:t>
      </w:r>
      <w:r w:rsidRPr="00D0478B">
        <w:rPr>
          <w:rFonts w:asciiTheme="majorBidi" w:hAnsiTheme="majorBidi" w:cstheme="majorBidi"/>
          <w:spacing w:val="18"/>
        </w:rPr>
        <w:t xml:space="preserve"> </w:t>
      </w:r>
      <w:r w:rsidRPr="00D0478B">
        <w:rPr>
          <w:rFonts w:asciiTheme="majorBidi" w:hAnsiTheme="majorBidi" w:cstheme="majorBidi"/>
        </w:rPr>
        <w:t>the</w:t>
      </w:r>
      <w:r w:rsidRPr="00D0478B">
        <w:rPr>
          <w:rFonts w:asciiTheme="majorBidi" w:hAnsiTheme="majorBidi" w:cstheme="majorBidi"/>
          <w:spacing w:val="18"/>
        </w:rPr>
        <w:t xml:space="preserve"> </w:t>
      </w:r>
      <w:r w:rsidRPr="00D0478B">
        <w:rPr>
          <w:rFonts w:asciiTheme="majorBidi" w:hAnsiTheme="majorBidi" w:cstheme="majorBidi"/>
          <w:spacing w:val="-1"/>
        </w:rPr>
        <w:t>training,</w:t>
      </w:r>
      <w:r w:rsidRPr="00D0478B">
        <w:rPr>
          <w:rFonts w:asciiTheme="majorBidi" w:hAnsiTheme="majorBidi" w:cstheme="majorBidi"/>
          <w:spacing w:val="21"/>
        </w:rPr>
        <w:t xml:space="preserve"> </w:t>
      </w:r>
      <w:r w:rsidRPr="00D0478B">
        <w:rPr>
          <w:rFonts w:asciiTheme="majorBidi" w:hAnsiTheme="majorBidi" w:cstheme="majorBidi"/>
          <w:spacing w:val="-1"/>
        </w:rPr>
        <w:t>and</w:t>
      </w:r>
      <w:r w:rsidRPr="00D0478B">
        <w:rPr>
          <w:rFonts w:asciiTheme="majorBidi" w:hAnsiTheme="majorBidi" w:cstheme="majorBidi"/>
          <w:spacing w:val="21"/>
        </w:rPr>
        <w:t xml:space="preserve"> </w:t>
      </w:r>
      <w:r w:rsidRPr="00D0478B">
        <w:rPr>
          <w:rFonts w:asciiTheme="majorBidi" w:hAnsiTheme="majorBidi" w:cstheme="majorBidi"/>
        </w:rPr>
        <w:t>to</w:t>
      </w:r>
      <w:r w:rsidRPr="00D0478B">
        <w:rPr>
          <w:rFonts w:asciiTheme="majorBidi" w:hAnsiTheme="majorBidi" w:cstheme="majorBidi"/>
          <w:spacing w:val="19"/>
        </w:rPr>
        <w:t xml:space="preserve"> </w:t>
      </w:r>
      <w:r w:rsidRPr="00D0478B">
        <w:rPr>
          <w:rFonts w:asciiTheme="majorBidi" w:hAnsiTheme="majorBidi" w:cstheme="majorBidi"/>
          <w:spacing w:val="-1"/>
        </w:rPr>
        <w:t>determine</w:t>
      </w:r>
      <w:r w:rsidRPr="00D0478B">
        <w:rPr>
          <w:rFonts w:asciiTheme="majorBidi" w:hAnsiTheme="majorBidi" w:cstheme="majorBidi"/>
          <w:spacing w:val="18"/>
        </w:rPr>
        <w:t xml:space="preserve"> </w:t>
      </w:r>
      <w:r w:rsidRPr="00D0478B">
        <w:rPr>
          <w:rFonts w:asciiTheme="majorBidi" w:hAnsiTheme="majorBidi" w:cstheme="majorBidi"/>
          <w:spacing w:val="-1"/>
        </w:rPr>
        <w:t>whether</w:t>
      </w:r>
      <w:r w:rsidRPr="00D0478B">
        <w:rPr>
          <w:rFonts w:asciiTheme="majorBidi" w:hAnsiTheme="majorBidi" w:cstheme="majorBidi"/>
          <w:spacing w:val="72"/>
        </w:rPr>
        <w:t xml:space="preserve"> </w:t>
      </w:r>
      <w:r w:rsidRPr="00D0478B">
        <w:rPr>
          <w:rFonts w:asciiTheme="majorBidi" w:hAnsiTheme="majorBidi" w:cstheme="majorBidi"/>
        </w:rPr>
        <w:t>the</w:t>
      </w:r>
      <w:r w:rsidRPr="00D0478B">
        <w:rPr>
          <w:rFonts w:asciiTheme="majorBidi" w:hAnsiTheme="majorBidi" w:cstheme="majorBidi"/>
          <w:spacing w:val="13"/>
        </w:rPr>
        <w:t xml:space="preserve"> </w:t>
      </w:r>
      <w:r w:rsidR="00D37A43" w:rsidRPr="00931E65">
        <w:rPr>
          <w:rFonts w:asciiTheme="majorBidi" w:hAnsiTheme="majorBidi" w:cstheme="majorBidi"/>
          <w:spacing w:val="-1"/>
        </w:rPr>
        <w:t>PRG-PA</w:t>
      </w:r>
      <w:r w:rsidRPr="00931E65">
        <w:rPr>
          <w:rFonts w:asciiTheme="majorBidi" w:hAnsiTheme="majorBidi" w:cstheme="majorBidi"/>
          <w:spacing w:val="9"/>
        </w:rPr>
        <w:t xml:space="preserve"> </w:t>
      </w:r>
      <w:r w:rsidRPr="00D0478B">
        <w:rPr>
          <w:rFonts w:asciiTheme="majorBidi" w:hAnsiTheme="majorBidi" w:cstheme="majorBidi"/>
        </w:rPr>
        <w:t>is</w:t>
      </w:r>
      <w:r w:rsidRPr="00D0478B">
        <w:rPr>
          <w:rFonts w:asciiTheme="majorBidi" w:hAnsiTheme="majorBidi" w:cstheme="majorBidi"/>
          <w:spacing w:val="14"/>
        </w:rPr>
        <w:t xml:space="preserve"> </w:t>
      </w:r>
      <w:r w:rsidRPr="00D0478B">
        <w:rPr>
          <w:rFonts w:asciiTheme="majorBidi" w:hAnsiTheme="majorBidi" w:cstheme="majorBidi"/>
          <w:spacing w:val="-1"/>
        </w:rPr>
        <w:t>meeting</w:t>
      </w:r>
      <w:r w:rsidRPr="00D0478B">
        <w:rPr>
          <w:rFonts w:asciiTheme="majorBidi" w:hAnsiTheme="majorBidi" w:cstheme="majorBidi"/>
          <w:spacing w:val="14"/>
        </w:rPr>
        <w:t xml:space="preserve"> </w:t>
      </w:r>
      <w:r w:rsidRPr="00D0478B">
        <w:rPr>
          <w:rFonts w:asciiTheme="majorBidi" w:hAnsiTheme="majorBidi" w:cstheme="majorBidi"/>
        </w:rPr>
        <w:t>equity</w:t>
      </w:r>
      <w:r w:rsidRPr="00D0478B">
        <w:rPr>
          <w:rFonts w:asciiTheme="majorBidi" w:hAnsiTheme="majorBidi" w:cstheme="majorBidi"/>
          <w:spacing w:val="9"/>
        </w:rPr>
        <w:t xml:space="preserve"> </w:t>
      </w:r>
      <w:r w:rsidRPr="00D0478B">
        <w:rPr>
          <w:rFonts w:asciiTheme="majorBidi" w:hAnsiTheme="majorBidi" w:cstheme="majorBidi"/>
          <w:spacing w:val="-1"/>
        </w:rPr>
        <w:t>goals</w:t>
      </w:r>
      <w:r w:rsidRPr="00D0478B">
        <w:rPr>
          <w:rFonts w:asciiTheme="majorBidi" w:hAnsiTheme="majorBidi" w:cstheme="majorBidi"/>
          <w:spacing w:val="14"/>
        </w:rPr>
        <w:t xml:space="preserve"> </w:t>
      </w:r>
      <w:r w:rsidRPr="00D0478B">
        <w:rPr>
          <w:rFonts w:asciiTheme="majorBidi" w:hAnsiTheme="majorBidi" w:cstheme="majorBidi"/>
        </w:rPr>
        <w:t>in</w:t>
      </w:r>
      <w:r w:rsidRPr="00D0478B">
        <w:rPr>
          <w:rFonts w:asciiTheme="majorBidi" w:hAnsiTheme="majorBidi" w:cstheme="majorBidi"/>
          <w:spacing w:val="14"/>
        </w:rPr>
        <w:t xml:space="preserve"> </w:t>
      </w:r>
      <w:r w:rsidRPr="00D0478B">
        <w:rPr>
          <w:rFonts w:asciiTheme="majorBidi" w:hAnsiTheme="majorBidi" w:cstheme="majorBidi"/>
          <w:spacing w:val="-1"/>
        </w:rPr>
        <w:t>trainings</w:t>
      </w:r>
      <w:r w:rsidRPr="00D0478B">
        <w:rPr>
          <w:rFonts w:asciiTheme="majorBidi" w:hAnsiTheme="majorBidi" w:cstheme="majorBidi"/>
          <w:spacing w:val="14"/>
        </w:rPr>
        <w:t xml:space="preserve"> </w:t>
      </w:r>
      <w:r w:rsidRPr="00D0478B">
        <w:rPr>
          <w:rFonts w:asciiTheme="majorBidi" w:hAnsiTheme="majorBidi" w:cstheme="majorBidi"/>
        </w:rPr>
        <w:t>and</w:t>
      </w:r>
      <w:r w:rsidRPr="00D0478B">
        <w:rPr>
          <w:rFonts w:asciiTheme="majorBidi" w:hAnsiTheme="majorBidi" w:cstheme="majorBidi"/>
          <w:spacing w:val="14"/>
        </w:rPr>
        <w:t xml:space="preserve"> </w:t>
      </w:r>
      <w:r w:rsidRPr="00D0478B">
        <w:rPr>
          <w:rFonts w:asciiTheme="majorBidi" w:hAnsiTheme="majorBidi" w:cstheme="majorBidi"/>
          <w:spacing w:val="-1"/>
        </w:rPr>
        <w:t>program</w:t>
      </w:r>
      <w:r w:rsidRPr="00D0478B">
        <w:rPr>
          <w:rFonts w:asciiTheme="majorBidi" w:hAnsiTheme="majorBidi" w:cstheme="majorBidi"/>
          <w:spacing w:val="14"/>
        </w:rPr>
        <w:t xml:space="preserve"> </w:t>
      </w:r>
      <w:r w:rsidRPr="00D0478B">
        <w:rPr>
          <w:rFonts w:asciiTheme="majorBidi" w:hAnsiTheme="majorBidi" w:cstheme="majorBidi"/>
          <w:spacing w:val="-1"/>
        </w:rPr>
        <w:t>activities,</w:t>
      </w:r>
      <w:r w:rsidRPr="00D0478B">
        <w:rPr>
          <w:rFonts w:asciiTheme="majorBidi" w:hAnsiTheme="majorBidi" w:cstheme="majorBidi"/>
          <w:spacing w:val="13"/>
        </w:rPr>
        <w:t xml:space="preserve"> </w:t>
      </w:r>
      <w:r w:rsidRPr="00D0478B">
        <w:rPr>
          <w:rFonts w:asciiTheme="majorBidi" w:hAnsiTheme="majorBidi" w:cstheme="majorBidi"/>
          <w:spacing w:val="-1"/>
        </w:rPr>
        <w:t>participants</w:t>
      </w:r>
      <w:r w:rsidRPr="00D0478B">
        <w:rPr>
          <w:rFonts w:asciiTheme="majorBidi" w:hAnsiTheme="majorBidi" w:cstheme="majorBidi"/>
          <w:spacing w:val="14"/>
        </w:rPr>
        <w:t xml:space="preserve"> </w:t>
      </w:r>
      <w:r w:rsidRPr="00D0478B">
        <w:rPr>
          <w:rFonts w:asciiTheme="majorBidi" w:hAnsiTheme="majorBidi" w:cstheme="majorBidi"/>
        </w:rPr>
        <w:t>will</w:t>
      </w:r>
      <w:r w:rsidRPr="00D0478B">
        <w:rPr>
          <w:rFonts w:asciiTheme="majorBidi" w:hAnsiTheme="majorBidi" w:cstheme="majorBidi"/>
          <w:spacing w:val="14"/>
        </w:rPr>
        <w:t xml:space="preserve"> </w:t>
      </w:r>
      <w:r w:rsidRPr="00D0478B">
        <w:rPr>
          <w:rFonts w:asciiTheme="majorBidi" w:hAnsiTheme="majorBidi" w:cstheme="majorBidi"/>
        </w:rPr>
        <w:t>be</w:t>
      </w:r>
      <w:r w:rsidRPr="00D0478B">
        <w:rPr>
          <w:rFonts w:asciiTheme="majorBidi" w:hAnsiTheme="majorBidi" w:cstheme="majorBidi"/>
          <w:spacing w:val="13"/>
        </w:rPr>
        <w:t xml:space="preserve"> </w:t>
      </w:r>
      <w:r w:rsidRPr="00D0478B">
        <w:rPr>
          <w:rFonts w:asciiTheme="majorBidi" w:hAnsiTheme="majorBidi" w:cstheme="majorBidi"/>
          <w:spacing w:val="-1"/>
        </w:rPr>
        <w:t>asked</w:t>
      </w:r>
      <w:r w:rsidRPr="00D0478B">
        <w:rPr>
          <w:rFonts w:asciiTheme="majorBidi" w:hAnsiTheme="majorBidi" w:cstheme="majorBidi"/>
          <w:spacing w:val="91"/>
        </w:rPr>
        <w:t xml:space="preserve"> </w:t>
      </w:r>
      <w:r w:rsidRPr="00D0478B">
        <w:rPr>
          <w:rFonts w:asciiTheme="majorBidi" w:hAnsiTheme="majorBidi" w:cstheme="majorBidi"/>
        </w:rPr>
        <w:t>to</w:t>
      </w:r>
      <w:r w:rsidRPr="00D0478B">
        <w:rPr>
          <w:rFonts w:asciiTheme="majorBidi" w:hAnsiTheme="majorBidi" w:cstheme="majorBidi"/>
          <w:spacing w:val="2"/>
        </w:rPr>
        <w:t xml:space="preserve"> </w:t>
      </w:r>
      <w:r w:rsidRPr="00D0478B">
        <w:rPr>
          <w:rFonts w:asciiTheme="majorBidi" w:hAnsiTheme="majorBidi" w:cstheme="majorBidi"/>
          <w:spacing w:val="-1"/>
        </w:rPr>
        <w:t>complete</w:t>
      </w:r>
      <w:r w:rsidRPr="00D0478B">
        <w:rPr>
          <w:rFonts w:asciiTheme="majorBidi" w:hAnsiTheme="majorBidi" w:cstheme="majorBidi"/>
          <w:spacing w:val="1"/>
        </w:rPr>
        <w:t xml:space="preserve"> </w:t>
      </w:r>
      <w:r w:rsidRPr="00D0478B">
        <w:rPr>
          <w:rFonts w:asciiTheme="majorBidi" w:hAnsiTheme="majorBidi" w:cstheme="majorBidi"/>
        </w:rPr>
        <w:t>a</w:t>
      </w:r>
      <w:r w:rsidRPr="00D0478B">
        <w:rPr>
          <w:rFonts w:asciiTheme="majorBidi" w:hAnsiTheme="majorBidi" w:cstheme="majorBidi"/>
          <w:spacing w:val="1"/>
        </w:rPr>
        <w:t xml:space="preserve"> </w:t>
      </w:r>
      <w:r w:rsidRPr="00D0478B">
        <w:rPr>
          <w:rFonts w:asciiTheme="majorBidi" w:hAnsiTheme="majorBidi" w:cstheme="majorBidi"/>
        </w:rPr>
        <w:t>training</w:t>
      </w:r>
      <w:r w:rsidRPr="00D0478B">
        <w:rPr>
          <w:rFonts w:asciiTheme="majorBidi" w:hAnsiTheme="majorBidi" w:cstheme="majorBidi"/>
          <w:spacing w:val="-1"/>
        </w:rPr>
        <w:t xml:space="preserve"> </w:t>
      </w:r>
      <w:r w:rsidRPr="00D0478B">
        <w:rPr>
          <w:rFonts w:asciiTheme="majorBidi" w:hAnsiTheme="majorBidi" w:cstheme="majorBidi"/>
        </w:rPr>
        <w:t>evaluation</w:t>
      </w:r>
      <w:r w:rsidRPr="00D0478B">
        <w:rPr>
          <w:rFonts w:asciiTheme="majorBidi" w:hAnsiTheme="majorBidi" w:cstheme="majorBidi"/>
          <w:spacing w:val="2"/>
        </w:rPr>
        <w:t xml:space="preserve"> </w:t>
      </w:r>
      <w:r w:rsidRPr="00D0478B">
        <w:rPr>
          <w:rFonts w:asciiTheme="majorBidi" w:hAnsiTheme="majorBidi" w:cstheme="majorBidi"/>
          <w:spacing w:val="-1"/>
        </w:rPr>
        <w:t>form</w:t>
      </w:r>
      <w:r w:rsidRPr="00D0478B">
        <w:rPr>
          <w:rFonts w:asciiTheme="majorBidi" w:hAnsiTheme="majorBidi" w:cstheme="majorBidi"/>
          <w:spacing w:val="2"/>
        </w:rPr>
        <w:t xml:space="preserve"> </w:t>
      </w:r>
      <w:r w:rsidRPr="00D0478B">
        <w:rPr>
          <w:rFonts w:asciiTheme="majorBidi" w:hAnsiTheme="majorBidi" w:cstheme="majorBidi"/>
        </w:rPr>
        <w:t>to</w:t>
      </w:r>
      <w:r w:rsidRPr="00D0478B">
        <w:rPr>
          <w:rFonts w:asciiTheme="majorBidi" w:hAnsiTheme="majorBidi" w:cstheme="majorBidi"/>
          <w:spacing w:val="2"/>
        </w:rPr>
        <w:t xml:space="preserve"> </w:t>
      </w:r>
      <w:r w:rsidRPr="00D0478B">
        <w:rPr>
          <w:rFonts w:asciiTheme="majorBidi" w:hAnsiTheme="majorBidi" w:cstheme="majorBidi"/>
        </w:rPr>
        <w:t>evaluate</w:t>
      </w:r>
      <w:r w:rsidRPr="00D0478B">
        <w:rPr>
          <w:rFonts w:asciiTheme="majorBidi" w:hAnsiTheme="majorBidi" w:cstheme="majorBidi"/>
          <w:spacing w:val="3"/>
        </w:rPr>
        <w:t xml:space="preserve"> </w:t>
      </w:r>
      <w:r w:rsidRPr="00D0478B">
        <w:rPr>
          <w:rFonts w:asciiTheme="majorBidi" w:hAnsiTheme="majorBidi" w:cstheme="majorBidi"/>
        </w:rPr>
        <w:t>the</w:t>
      </w:r>
      <w:r w:rsidRPr="00D0478B">
        <w:rPr>
          <w:rFonts w:asciiTheme="majorBidi" w:hAnsiTheme="majorBidi" w:cstheme="majorBidi"/>
          <w:spacing w:val="1"/>
        </w:rPr>
        <w:t xml:space="preserve"> </w:t>
      </w:r>
      <w:r w:rsidRPr="00D0478B">
        <w:rPr>
          <w:rFonts w:asciiTheme="majorBidi" w:hAnsiTheme="majorBidi" w:cstheme="majorBidi"/>
          <w:spacing w:val="-1"/>
        </w:rPr>
        <w:t>logistics,</w:t>
      </w:r>
      <w:r w:rsidRPr="00D0478B">
        <w:rPr>
          <w:rFonts w:asciiTheme="majorBidi" w:hAnsiTheme="majorBidi" w:cstheme="majorBidi"/>
          <w:spacing w:val="1"/>
        </w:rPr>
        <w:t xml:space="preserve"> </w:t>
      </w:r>
      <w:r w:rsidRPr="00D0478B">
        <w:rPr>
          <w:rFonts w:asciiTheme="majorBidi" w:hAnsiTheme="majorBidi" w:cstheme="majorBidi"/>
          <w:spacing w:val="-1"/>
        </w:rPr>
        <w:t>content</w:t>
      </w:r>
      <w:r w:rsidRPr="00D0478B">
        <w:rPr>
          <w:rFonts w:asciiTheme="majorBidi" w:hAnsiTheme="majorBidi" w:cstheme="majorBidi"/>
          <w:spacing w:val="4"/>
        </w:rPr>
        <w:t xml:space="preserve"> </w:t>
      </w:r>
      <w:r w:rsidRPr="00D0478B">
        <w:rPr>
          <w:rFonts w:asciiTheme="majorBidi" w:hAnsiTheme="majorBidi" w:cstheme="majorBidi"/>
        </w:rPr>
        <w:t>and</w:t>
      </w:r>
      <w:r w:rsidRPr="00D0478B">
        <w:rPr>
          <w:rFonts w:asciiTheme="majorBidi" w:hAnsiTheme="majorBidi" w:cstheme="majorBidi"/>
          <w:spacing w:val="2"/>
        </w:rPr>
        <w:t xml:space="preserve"> </w:t>
      </w:r>
      <w:r w:rsidRPr="00D0478B">
        <w:rPr>
          <w:rFonts w:asciiTheme="majorBidi" w:hAnsiTheme="majorBidi" w:cstheme="majorBidi"/>
        </w:rPr>
        <w:t>quality</w:t>
      </w:r>
      <w:r w:rsidRPr="00D0478B">
        <w:rPr>
          <w:rFonts w:asciiTheme="majorBidi" w:hAnsiTheme="majorBidi" w:cstheme="majorBidi"/>
          <w:spacing w:val="-3"/>
        </w:rPr>
        <w:t xml:space="preserve"> </w:t>
      </w:r>
      <w:r w:rsidRPr="00D0478B">
        <w:rPr>
          <w:rFonts w:asciiTheme="majorBidi" w:hAnsiTheme="majorBidi" w:cstheme="majorBidi"/>
        </w:rPr>
        <w:t>of</w:t>
      </w:r>
      <w:r w:rsidRPr="00D0478B">
        <w:rPr>
          <w:rFonts w:asciiTheme="majorBidi" w:hAnsiTheme="majorBidi" w:cstheme="majorBidi"/>
          <w:spacing w:val="1"/>
        </w:rPr>
        <w:t xml:space="preserve"> </w:t>
      </w:r>
      <w:r w:rsidRPr="00D0478B">
        <w:rPr>
          <w:rFonts w:asciiTheme="majorBidi" w:hAnsiTheme="majorBidi" w:cstheme="majorBidi"/>
        </w:rPr>
        <w:t>instruction</w:t>
      </w:r>
      <w:r w:rsidRPr="00D0478B">
        <w:rPr>
          <w:rFonts w:asciiTheme="majorBidi" w:hAnsiTheme="majorBidi" w:cstheme="majorBidi"/>
          <w:spacing w:val="61"/>
        </w:rPr>
        <w:t xml:space="preserve"> </w:t>
      </w:r>
      <w:r w:rsidRPr="00D0478B">
        <w:rPr>
          <w:rFonts w:asciiTheme="majorBidi" w:hAnsiTheme="majorBidi" w:cstheme="majorBidi"/>
        </w:rPr>
        <w:t>in</w:t>
      </w:r>
      <w:r w:rsidRPr="00D0478B">
        <w:rPr>
          <w:rFonts w:asciiTheme="majorBidi" w:hAnsiTheme="majorBidi" w:cstheme="majorBidi"/>
          <w:spacing w:val="24"/>
        </w:rPr>
        <w:t xml:space="preserve"> </w:t>
      </w:r>
      <w:r w:rsidRPr="00D0478B">
        <w:rPr>
          <w:rFonts w:asciiTheme="majorBidi" w:hAnsiTheme="majorBidi" w:cstheme="majorBidi"/>
        </w:rPr>
        <w:t>the</w:t>
      </w:r>
      <w:r w:rsidRPr="00D0478B">
        <w:rPr>
          <w:rFonts w:asciiTheme="majorBidi" w:hAnsiTheme="majorBidi" w:cstheme="majorBidi"/>
          <w:spacing w:val="23"/>
        </w:rPr>
        <w:t xml:space="preserve"> </w:t>
      </w:r>
      <w:r w:rsidR="00D37A43" w:rsidRPr="00931E65">
        <w:rPr>
          <w:rFonts w:asciiTheme="majorBidi" w:hAnsiTheme="majorBidi" w:cstheme="majorBidi"/>
          <w:spacing w:val="-1"/>
        </w:rPr>
        <w:t>PRG-PA</w:t>
      </w:r>
      <w:r w:rsidRPr="00D0478B">
        <w:rPr>
          <w:rFonts w:asciiTheme="majorBidi" w:hAnsiTheme="majorBidi" w:cstheme="majorBidi"/>
          <w:color w:val="FF0000"/>
          <w:spacing w:val="-1"/>
        </w:rPr>
        <w:t xml:space="preserve"> </w:t>
      </w:r>
      <w:r w:rsidRPr="00D0478B">
        <w:rPr>
          <w:rFonts w:asciiTheme="majorBidi" w:hAnsiTheme="majorBidi" w:cstheme="majorBidi"/>
        </w:rPr>
        <w:t>sponsored</w:t>
      </w:r>
      <w:r w:rsidRPr="00D0478B">
        <w:rPr>
          <w:rFonts w:asciiTheme="majorBidi" w:hAnsiTheme="majorBidi" w:cstheme="majorBidi"/>
          <w:spacing w:val="23"/>
        </w:rPr>
        <w:t xml:space="preserve"> </w:t>
      </w:r>
      <w:r w:rsidRPr="00D0478B">
        <w:rPr>
          <w:rFonts w:asciiTheme="majorBidi" w:hAnsiTheme="majorBidi" w:cstheme="majorBidi"/>
          <w:spacing w:val="-1"/>
        </w:rPr>
        <w:t>trainings.</w:t>
      </w:r>
      <w:r w:rsidRPr="00D0478B">
        <w:rPr>
          <w:rFonts w:asciiTheme="majorBidi" w:hAnsiTheme="majorBidi" w:cstheme="majorBidi"/>
          <w:spacing w:val="24"/>
        </w:rPr>
        <w:t xml:space="preserve"> </w:t>
      </w:r>
      <w:r w:rsidRPr="00D0478B">
        <w:rPr>
          <w:rFonts w:asciiTheme="majorBidi" w:hAnsiTheme="majorBidi" w:cstheme="majorBidi"/>
        </w:rPr>
        <w:t>The</w:t>
      </w:r>
      <w:r w:rsidRPr="00D0478B">
        <w:rPr>
          <w:rFonts w:asciiTheme="majorBidi" w:hAnsiTheme="majorBidi" w:cstheme="majorBidi"/>
          <w:spacing w:val="22"/>
        </w:rPr>
        <w:t xml:space="preserve"> </w:t>
      </w:r>
      <w:r w:rsidRPr="00D0478B">
        <w:rPr>
          <w:rFonts w:asciiTheme="majorBidi" w:hAnsiTheme="majorBidi" w:cstheme="majorBidi"/>
        </w:rPr>
        <w:t>M&amp;E</w:t>
      </w:r>
      <w:r w:rsidRPr="00D0478B">
        <w:rPr>
          <w:rFonts w:asciiTheme="majorBidi" w:hAnsiTheme="majorBidi" w:cstheme="majorBidi"/>
          <w:spacing w:val="25"/>
        </w:rPr>
        <w:t xml:space="preserve"> </w:t>
      </w:r>
      <w:r w:rsidRPr="00D0478B">
        <w:rPr>
          <w:rFonts w:asciiTheme="majorBidi" w:hAnsiTheme="majorBidi" w:cstheme="majorBidi"/>
        </w:rPr>
        <w:t>Specialist</w:t>
      </w:r>
      <w:r w:rsidRPr="00D0478B">
        <w:rPr>
          <w:rFonts w:asciiTheme="majorBidi" w:hAnsiTheme="majorBidi" w:cstheme="majorBidi"/>
          <w:spacing w:val="26"/>
        </w:rPr>
        <w:t xml:space="preserve"> </w:t>
      </w:r>
      <w:r w:rsidRPr="00D0478B">
        <w:rPr>
          <w:rFonts w:asciiTheme="majorBidi" w:hAnsiTheme="majorBidi" w:cstheme="majorBidi"/>
        </w:rPr>
        <w:t>will</w:t>
      </w:r>
      <w:r w:rsidRPr="00D0478B">
        <w:rPr>
          <w:rFonts w:asciiTheme="majorBidi" w:hAnsiTheme="majorBidi" w:cstheme="majorBidi"/>
          <w:spacing w:val="24"/>
        </w:rPr>
        <w:t xml:space="preserve"> </w:t>
      </w:r>
      <w:r w:rsidRPr="00D0478B">
        <w:rPr>
          <w:rFonts w:asciiTheme="majorBidi" w:hAnsiTheme="majorBidi" w:cstheme="majorBidi"/>
          <w:spacing w:val="-1"/>
        </w:rPr>
        <w:t>conduct</w:t>
      </w:r>
      <w:r w:rsidRPr="00D0478B">
        <w:rPr>
          <w:rFonts w:asciiTheme="majorBidi" w:hAnsiTheme="majorBidi" w:cstheme="majorBidi"/>
          <w:spacing w:val="24"/>
        </w:rPr>
        <w:t xml:space="preserve"> </w:t>
      </w:r>
      <w:r w:rsidRPr="00D0478B">
        <w:rPr>
          <w:rFonts w:asciiTheme="majorBidi" w:hAnsiTheme="majorBidi" w:cstheme="majorBidi"/>
        </w:rPr>
        <w:t>a</w:t>
      </w:r>
      <w:r w:rsidRPr="00D0478B">
        <w:rPr>
          <w:rFonts w:asciiTheme="majorBidi" w:hAnsiTheme="majorBidi" w:cstheme="majorBidi"/>
          <w:spacing w:val="22"/>
        </w:rPr>
        <w:t xml:space="preserve"> </w:t>
      </w:r>
      <w:r w:rsidRPr="00D0478B">
        <w:rPr>
          <w:rFonts w:asciiTheme="majorBidi" w:hAnsiTheme="majorBidi" w:cstheme="majorBidi"/>
          <w:spacing w:val="-1"/>
        </w:rPr>
        <w:t>quarterly</w:t>
      </w:r>
      <w:r w:rsidRPr="00D0478B">
        <w:rPr>
          <w:rFonts w:asciiTheme="majorBidi" w:hAnsiTheme="majorBidi" w:cstheme="majorBidi"/>
          <w:spacing w:val="18"/>
        </w:rPr>
        <w:t xml:space="preserve"> </w:t>
      </w:r>
      <w:r w:rsidRPr="00D0478B">
        <w:rPr>
          <w:rFonts w:asciiTheme="majorBidi" w:hAnsiTheme="majorBidi" w:cstheme="majorBidi"/>
          <w:spacing w:val="-1"/>
        </w:rPr>
        <w:t>analysis</w:t>
      </w:r>
      <w:r w:rsidRPr="00D0478B">
        <w:rPr>
          <w:rFonts w:asciiTheme="majorBidi" w:hAnsiTheme="majorBidi" w:cstheme="majorBidi"/>
          <w:spacing w:val="24"/>
        </w:rPr>
        <w:t xml:space="preserve"> </w:t>
      </w:r>
      <w:r w:rsidRPr="00D0478B">
        <w:rPr>
          <w:rFonts w:asciiTheme="majorBidi" w:hAnsiTheme="majorBidi" w:cstheme="majorBidi"/>
        </w:rPr>
        <w:t>of</w:t>
      </w:r>
      <w:r w:rsidRPr="00D0478B">
        <w:rPr>
          <w:rFonts w:asciiTheme="majorBidi" w:hAnsiTheme="majorBidi" w:cstheme="majorBidi"/>
          <w:spacing w:val="23"/>
        </w:rPr>
        <w:t xml:space="preserve"> </w:t>
      </w:r>
      <w:r w:rsidRPr="00D0478B">
        <w:rPr>
          <w:rFonts w:asciiTheme="majorBidi" w:hAnsiTheme="majorBidi" w:cstheme="majorBidi"/>
        </w:rPr>
        <w:t>the</w:t>
      </w:r>
      <w:r w:rsidRPr="00D0478B">
        <w:rPr>
          <w:rFonts w:asciiTheme="majorBidi" w:hAnsiTheme="majorBidi" w:cstheme="majorBidi"/>
          <w:spacing w:val="53"/>
        </w:rPr>
        <w:t xml:space="preserve"> </w:t>
      </w:r>
      <w:r w:rsidRPr="00D0478B">
        <w:rPr>
          <w:rFonts w:asciiTheme="majorBidi" w:hAnsiTheme="majorBidi" w:cstheme="majorBidi"/>
          <w:spacing w:val="-1"/>
        </w:rPr>
        <w:t>training</w:t>
      </w:r>
      <w:r w:rsidRPr="00D0478B">
        <w:rPr>
          <w:rFonts w:asciiTheme="majorBidi" w:hAnsiTheme="majorBidi" w:cstheme="majorBidi"/>
          <w:spacing w:val="59"/>
        </w:rPr>
        <w:t xml:space="preserve"> </w:t>
      </w:r>
      <w:r w:rsidRPr="00D0478B">
        <w:rPr>
          <w:rFonts w:asciiTheme="majorBidi" w:hAnsiTheme="majorBidi" w:cstheme="majorBidi"/>
        </w:rPr>
        <w:t>evaluations</w:t>
      </w:r>
      <w:r w:rsidRPr="00D0478B">
        <w:rPr>
          <w:rFonts w:asciiTheme="majorBidi" w:hAnsiTheme="majorBidi" w:cstheme="majorBidi"/>
          <w:spacing w:val="2"/>
        </w:rPr>
        <w:t xml:space="preserve"> </w:t>
      </w:r>
      <w:r w:rsidRPr="00D0478B">
        <w:rPr>
          <w:rFonts w:asciiTheme="majorBidi" w:hAnsiTheme="majorBidi" w:cstheme="majorBidi"/>
          <w:spacing w:val="-1"/>
        </w:rPr>
        <w:t>and</w:t>
      </w:r>
      <w:r w:rsidRPr="00D0478B">
        <w:rPr>
          <w:rFonts w:asciiTheme="majorBidi" w:hAnsiTheme="majorBidi" w:cstheme="majorBidi"/>
          <w:spacing w:val="2"/>
        </w:rPr>
        <w:t xml:space="preserve"> </w:t>
      </w:r>
      <w:r w:rsidRPr="00D0478B">
        <w:rPr>
          <w:rFonts w:asciiTheme="majorBidi" w:hAnsiTheme="majorBidi" w:cstheme="majorBidi"/>
        </w:rPr>
        <w:t>will</w:t>
      </w:r>
      <w:r w:rsidRPr="00D0478B">
        <w:rPr>
          <w:rFonts w:asciiTheme="majorBidi" w:hAnsiTheme="majorBidi" w:cstheme="majorBidi"/>
          <w:spacing w:val="2"/>
        </w:rPr>
        <w:t xml:space="preserve"> </w:t>
      </w:r>
      <w:r w:rsidRPr="00D0478B">
        <w:rPr>
          <w:rFonts w:asciiTheme="majorBidi" w:hAnsiTheme="majorBidi" w:cstheme="majorBidi"/>
          <w:spacing w:val="-1"/>
        </w:rPr>
        <w:t>provide</w:t>
      </w:r>
      <w:r w:rsidRPr="00D0478B">
        <w:rPr>
          <w:rFonts w:asciiTheme="majorBidi" w:hAnsiTheme="majorBidi" w:cstheme="majorBidi"/>
          <w:spacing w:val="1"/>
        </w:rPr>
        <w:t xml:space="preserve"> </w:t>
      </w:r>
      <w:r w:rsidRPr="00D0478B">
        <w:rPr>
          <w:rFonts w:asciiTheme="majorBidi" w:hAnsiTheme="majorBidi" w:cstheme="majorBidi"/>
        </w:rPr>
        <w:t>a</w:t>
      </w:r>
      <w:r w:rsidRPr="00D0478B">
        <w:rPr>
          <w:rFonts w:asciiTheme="majorBidi" w:hAnsiTheme="majorBidi" w:cstheme="majorBidi"/>
          <w:spacing w:val="1"/>
        </w:rPr>
        <w:t xml:space="preserve"> </w:t>
      </w:r>
      <w:r w:rsidRPr="00D0478B">
        <w:rPr>
          <w:rFonts w:asciiTheme="majorBidi" w:hAnsiTheme="majorBidi" w:cstheme="majorBidi"/>
        </w:rPr>
        <w:t>snapshot</w:t>
      </w:r>
      <w:r w:rsidRPr="00D0478B">
        <w:rPr>
          <w:rFonts w:asciiTheme="majorBidi" w:hAnsiTheme="majorBidi" w:cstheme="majorBidi"/>
          <w:spacing w:val="2"/>
        </w:rPr>
        <w:t xml:space="preserve"> </w:t>
      </w:r>
      <w:r w:rsidRPr="00D0478B">
        <w:rPr>
          <w:rFonts w:asciiTheme="majorBidi" w:hAnsiTheme="majorBidi" w:cstheme="majorBidi"/>
        </w:rPr>
        <w:t>of</w:t>
      </w:r>
      <w:r w:rsidRPr="00D0478B">
        <w:rPr>
          <w:rFonts w:asciiTheme="majorBidi" w:hAnsiTheme="majorBidi" w:cstheme="majorBidi"/>
          <w:spacing w:val="1"/>
        </w:rPr>
        <w:t xml:space="preserve"> </w:t>
      </w:r>
      <w:r w:rsidRPr="00D0478B">
        <w:rPr>
          <w:rFonts w:asciiTheme="majorBidi" w:hAnsiTheme="majorBidi" w:cstheme="majorBidi"/>
        </w:rPr>
        <w:t>the</w:t>
      </w:r>
      <w:r w:rsidRPr="00D0478B">
        <w:rPr>
          <w:rFonts w:asciiTheme="majorBidi" w:hAnsiTheme="majorBidi" w:cstheme="majorBidi"/>
          <w:spacing w:val="1"/>
        </w:rPr>
        <w:t xml:space="preserve"> </w:t>
      </w:r>
      <w:r w:rsidRPr="00D0478B">
        <w:rPr>
          <w:rFonts w:asciiTheme="majorBidi" w:hAnsiTheme="majorBidi" w:cstheme="majorBidi"/>
        </w:rPr>
        <w:t>quality</w:t>
      </w:r>
      <w:r w:rsidRPr="00D0478B">
        <w:rPr>
          <w:rFonts w:asciiTheme="majorBidi" w:hAnsiTheme="majorBidi" w:cstheme="majorBidi"/>
          <w:spacing w:val="57"/>
        </w:rPr>
        <w:t xml:space="preserve"> </w:t>
      </w:r>
      <w:r w:rsidRPr="00D0478B">
        <w:rPr>
          <w:rFonts w:asciiTheme="majorBidi" w:hAnsiTheme="majorBidi" w:cstheme="majorBidi"/>
        </w:rPr>
        <w:t>of</w:t>
      </w:r>
      <w:r w:rsidRPr="00D0478B">
        <w:rPr>
          <w:rFonts w:asciiTheme="majorBidi" w:hAnsiTheme="majorBidi" w:cstheme="majorBidi"/>
          <w:spacing w:val="1"/>
        </w:rPr>
        <w:t xml:space="preserve"> </w:t>
      </w:r>
      <w:r w:rsidRPr="00D0478B">
        <w:rPr>
          <w:rFonts w:asciiTheme="majorBidi" w:hAnsiTheme="majorBidi" w:cstheme="majorBidi"/>
        </w:rPr>
        <w:t>the</w:t>
      </w:r>
      <w:r w:rsidRPr="00D0478B">
        <w:rPr>
          <w:rFonts w:asciiTheme="majorBidi" w:hAnsiTheme="majorBidi" w:cstheme="majorBidi"/>
          <w:spacing w:val="1"/>
        </w:rPr>
        <w:t xml:space="preserve"> </w:t>
      </w:r>
      <w:r w:rsidRPr="00D0478B">
        <w:rPr>
          <w:rFonts w:asciiTheme="majorBidi" w:hAnsiTheme="majorBidi" w:cstheme="majorBidi"/>
          <w:spacing w:val="-1"/>
        </w:rPr>
        <w:t>training</w:t>
      </w:r>
      <w:r w:rsidRPr="00D0478B">
        <w:rPr>
          <w:rFonts w:asciiTheme="majorBidi" w:hAnsiTheme="majorBidi" w:cstheme="majorBidi"/>
          <w:spacing w:val="59"/>
        </w:rPr>
        <w:t xml:space="preserve"> </w:t>
      </w:r>
      <w:r w:rsidRPr="00D0478B">
        <w:rPr>
          <w:rFonts w:asciiTheme="majorBidi" w:hAnsiTheme="majorBidi" w:cstheme="majorBidi"/>
          <w:spacing w:val="-1"/>
        </w:rPr>
        <w:t>and</w:t>
      </w:r>
      <w:r w:rsidRPr="00D0478B">
        <w:rPr>
          <w:rFonts w:asciiTheme="majorBidi" w:hAnsiTheme="majorBidi" w:cstheme="majorBidi"/>
          <w:spacing w:val="47"/>
        </w:rPr>
        <w:t xml:space="preserve"> </w:t>
      </w:r>
      <w:r w:rsidRPr="00D0478B">
        <w:rPr>
          <w:rFonts w:asciiTheme="majorBidi" w:hAnsiTheme="majorBidi" w:cstheme="majorBidi"/>
          <w:spacing w:val="-1"/>
        </w:rPr>
        <w:t>recommendations</w:t>
      </w:r>
      <w:r w:rsidRPr="00D0478B">
        <w:rPr>
          <w:rFonts w:asciiTheme="majorBidi" w:hAnsiTheme="majorBidi" w:cstheme="majorBidi"/>
        </w:rPr>
        <w:t xml:space="preserve"> for </w:t>
      </w:r>
      <w:r w:rsidRPr="00D0478B">
        <w:rPr>
          <w:rFonts w:asciiTheme="majorBidi" w:hAnsiTheme="majorBidi" w:cstheme="majorBidi"/>
          <w:spacing w:val="-1"/>
        </w:rPr>
        <w:t>improvement.</w:t>
      </w:r>
    </w:p>
    <w:p w14:paraId="5F7842DB" w14:textId="5DC1308F" w:rsidR="005B3AEF" w:rsidRPr="00D0478B" w:rsidRDefault="005B3AEF" w:rsidP="0017151D">
      <w:pPr>
        <w:pStyle w:val="Heading2"/>
        <w:numPr>
          <w:ilvl w:val="1"/>
          <w:numId w:val="19"/>
        </w:numPr>
      </w:pPr>
      <w:bookmarkStart w:id="112" w:name="_Toc453621887"/>
      <w:r w:rsidRPr="00D0478B">
        <w:t>Advocacy Tracking Matrix</w:t>
      </w:r>
      <w:bookmarkEnd w:id="112"/>
      <w:r w:rsidRPr="00D0478B">
        <w:t xml:space="preserve"> </w:t>
      </w:r>
    </w:p>
    <w:p w14:paraId="7113119D" w14:textId="1BAC0205" w:rsidR="00924636" w:rsidRPr="00D0478B" w:rsidRDefault="00D37A43" w:rsidP="00842724">
      <w:pPr>
        <w:tabs>
          <w:tab w:val="num" w:pos="720"/>
        </w:tabs>
        <w:jc w:val="both"/>
        <w:rPr>
          <w:rFonts w:asciiTheme="majorBidi" w:hAnsiTheme="majorBidi" w:cstheme="majorBidi"/>
        </w:rPr>
      </w:pPr>
      <w:r w:rsidRPr="00931E65">
        <w:rPr>
          <w:rFonts w:asciiTheme="majorBidi" w:hAnsiTheme="majorBidi" w:cstheme="majorBidi"/>
          <w:spacing w:val="-1"/>
        </w:rPr>
        <w:t>PRG-PA</w:t>
      </w:r>
      <w:r w:rsidR="00D0478B" w:rsidRPr="00931E65">
        <w:rPr>
          <w:rFonts w:asciiTheme="majorBidi" w:hAnsiTheme="majorBidi" w:cstheme="majorBidi"/>
          <w:spacing w:val="9"/>
        </w:rPr>
        <w:t xml:space="preserve"> </w:t>
      </w:r>
      <w:r w:rsidR="00D0478B" w:rsidRPr="00D0478B">
        <w:rPr>
          <w:rFonts w:asciiTheme="majorBidi" w:hAnsiTheme="majorBidi" w:cstheme="majorBidi"/>
          <w:lang w:eastAsia="en-GB"/>
        </w:rPr>
        <w:t>will utilize Counterpart’s Advocacy Tracking Matrix to track the progress of legislation and regulations drafted, proposed, amended, adopted or advocated for with technical or financial support from the program.  The Matrix tracks all action related to a particular legislation or regulation, including the date of the action, location of action, target of the action (i.e. government official, government agency, general public), outcome of the action, and potential beneficiaries of the legislation or regulation.  Actions can range from meetings with relevant government officials to dialogues among stakeholders or town</w:t>
      </w:r>
      <w:r w:rsidR="0039373F">
        <w:rPr>
          <w:rFonts w:asciiTheme="majorBidi" w:hAnsiTheme="majorBidi" w:cstheme="majorBidi"/>
          <w:lang w:eastAsia="en-GB"/>
        </w:rPr>
        <w:t xml:space="preserve"> </w:t>
      </w:r>
      <w:r w:rsidR="00D0478B" w:rsidRPr="00D0478B">
        <w:rPr>
          <w:rFonts w:asciiTheme="majorBidi" w:hAnsiTheme="majorBidi" w:cstheme="majorBidi"/>
          <w:lang w:eastAsia="en-GB"/>
        </w:rPr>
        <w:t>hall meetings, etc. The matrix is integral in identifying the time, activities and resources that contribute to legislative or regulatory changes.</w:t>
      </w:r>
    </w:p>
    <w:p w14:paraId="0397A781" w14:textId="5D282E20" w:rsidR="00924636" w:rsidRPr="00D0478B" w:rsidRDefault="00924636" w:rsidP="0017151D">
      <w:pPr>
        <w:pStyle w:val="Heading2"/>
        <w:numPr>
          <w:ilvl w:val="1"/>
          <w:numId w:val="19"/>
        </w:numPr>
      </w:pPr>
      <w:bookmarkStart w:id="113" w:name="_Toc453621888"/>
      <w:r w:rsidRPr="00D0478B">
        <w:t>Grant Monitoring and Evaluation</w:t>
      </w:r>
      <w:bookmarkEnd w:id="113"/>
    </w:p>
    <w:p w14:paraId="17C5A83B" w14:textId="7E1D0A8C" w:rsidR="00924636" w:rsidRPr="00D0478B" w:rsidRDefault="00924636" w:rsidP="00C83B2C">
      <w:pPr>
        <w:spacing w:before="120" w:after="120"/>
        <w:jc w:val="both"/>
        <w:rPr>
          <w:rFonts w:asciiTheme="majorBidi" w:hAnsiTheme="majorBidi" w:cstheme="majorBidi"/>
          <w:lang w:eastAsia="en-GB"/>
        </w:rPr>
      </w:pPr>
      <w:r w:rsidRPr="00D0478B">
        <w:rPr>
          <w:rFonts w:asciiTheme="majorBidi" w:hAnsiTheme="majorBidi" w:cstheme="majorBidi"/>
          <w:lang w:eastAsia="en-GB"/>
        </w:rPr>
        <w:t xml:space="preserve">Grantee monitoring is an integral part of </w:t>
      </w:r>
      <w:r w:rsidR="00D37A43" w:rsidRPr="00931E65">
        <w:rPr>
          <w:rFonts w:asciiTheme="majorBidi" w:hAnsiTheme="majorBidi" w:cstheme="majorBidi"/>
          <w:spacing w:val="-1"/>
        </w:rPr>
        <w:t>PRG-PA</w:t>
      </w:r>
      <w:r w:rsidRPr="00931E65">
        <w:rPr>
          <w:rFonts w:asciiTheme="majorBidi" w:hAnsiTheme="majorBidi" w:cstheme="majorBidi"/>
          <w:lang w:eastAsia="en-GB"/>
        </w:rPr>
        <w:t xml:space="preserve">’s </w:t>
      </w:r>
      <w:r w:rsidRPr="00D0478B">
        <w:rPr>
          <w:rFonts w:asciiTheme="majorBidi" w:hAnsiTheme="majorBidi" w:cstheme="majorBidi"/>
          <w:lang w:eastAsia="en-GB"/>
        </w:rPr>
        <w:t xml:space="preserve">grant management process and </w:t>
      </w:r>
      <w:r w:rsidR="00D37A43" w:rsidRPr="00931E65">
        <w:rPr>
          <w:rFonts w:asciiTheme="majorBidi" w:hAnsiTheme="majorBidi" w:cstheme="majorBidi"/>
          <w:spacing w:val="-1"/>
        </w:rPr>
        <w:t>PRG-PA</w:t>
      </w:r>
      <w:r w:rsidRPr="00931E65">
        <w:rPr>
          <w:rFonts w:asciiTheme="majorBidi" w:hAnsiTheme="majorBidi" w:cstheme="majorBidi"/>
          <w:lang w:eastAsia="en-GB"/>
        </w:rPr>
        <w:t xml:space="preserve"> </w:t>
      </w:r>
      <w:r w:rsidRPr="00D0478B">
        <w:rPr>
          <w:rFonts w:asciiTheme="majorBidi" w:hAnsiTheme="majorBidi" w:cstheme="majorBidi"/>
          <w:lang w:eastAsia="en-GB"/>
        </w:rPr>
        <w:t>program implementation. Following approval of each set of grants, the Program and Grants staff will meet with the M&amp;E Manager to assign each grant to one program staff person and one grant staff person (based on their expertise, interests and the needs of the projects) to act as a Grants Focal Point (GFP) and Program Focal Point (PFP), respectively, to monitor the grant (See Table 2, below). This list will be updated on a quarterly basis. These GFPs and PFPs have the responsibility of monitoring their grantee’s performance and supporting that/those grantees in implementation of the funded project. Each quarter, a schedule of monitoring visits will be developed and coordinated amongst the Grants, Program and M&amp;E Teams, and disseminated to all relevant staff.</w:t>
      </w:r>
    </w:p>
    <w:p w14:paraId="14D39037" w14:textId="77777777" w:rsidR="00924636" w:rsidRPr="00D0478B" w:rsidRDefault="00924636" w:rsidP="00C83B2C">
      <w:pPr>
        <w:spacing w:before="120" w:after="120"/>
        <w:jc w:val="both"/>
        <w:rPr>
          <w:rFonts w:asciiTheme="majorBidi" w:hAnsiTheme="majorBidi" w:cstheme="majorBidi"/>
        </w:rPr>
      </w:pPr>
      <w:r w:rsidRPr="00D0478B">
        <w:rPr>
          <w:rFonts w:asciiTheme="majorBidi" w:hAnsiTheme="majorBidi" w:cstheme="majorBidi"/>
        </w:rPr>
        <w:t xml:space="preserve">Grantee monitoring is carried out through a variety of ways (See Table 2, below for summary), including: </w:t>
      </w:r>
    </w:p>
    <w:p w14:paraId="13504AFA" w14:textId="77777777" w:rsidR="00924636" w:rsidRPr="00D0478B" w:rsidRDefault="00924636" w:rsidP="00C83B2C">
      <w:pPr>
        <w:spacing w:before="120" w:after="120"/>
        <w:contextualSpacing/>
        <w:jc w:val="both"/>
        <w:rPr>
          <w:rFonts w:asciiTheme="majorBidi" w:hAnsiTheme="majorBidi" w:cstheme="majorBidi"/>
        </w:rPr>
      </w:pPr>
    </w:p>
    <w:p w14:paraId="5A1AAA14" w14:textId="786D5BE6" w:rsidR="00924636" w:rsidRPr="00C83B2C" w:rsidRDefault="00924636" w:rsidP="00C83B2C">
      <w:pPr>
        <w:numPr>
          <w:ilvl w:val="0"/>
          <w:numId w:val="12"/>
        </w:numPr>
        <w:tabs>
          <w:tab w:val="left" w:pos="360"/>
        </w:tabs>
        <w:spacing w:before="120" w:after="120"/>
        <w:ind w:left="360"/>
        <w:jc w:val="both"/>
        <w:rPr>
          <w:rFonts w:asciiTheme="majorBidi" w:hAnsiTheme="majorBidi" w:cstheme="majorBidi"/>
        </w:rPr>
      </w:pPr>
      <w:r w:rsidRPr="00D0478B">
        <w:rPr>
          <w:rFonts w:asciiTheme="majorBidi" w:hAnsiTheme="majorBidi" w:cstheme="majorBidi"/>
          <w:b/>
        </w:rPr>
        <w:t>Monitoring of Grantees</w:t>
      </w:r>
      <w:r w:rsidR="00434E99">
        <w:rPr>
          <w:rFonts w:asciiTheme="majorBidi" w:hAnsiTheme="majorBidi" w:cstheme="majorBidi"/>
          <w:b/>
        </w:rPr>
        <w:t xml:space="preserve"> and Activities</w:t>
      </w:r>
      <w:r w:rsidRPr="00D0478B">
        <w:rPr>
          <w:rFonts w:asciiTheme="majorBidi" w:hAnsiTheme="majorBidi" w:cstheme="majorBidi"/>
          <w:b/>
        </w:rPr>
        <w:t>:</w:t>
      </w:r>
      <w:r w:rsidRPr="00D0478B">
        <w:rPr>
          <w:rFonts w:asciiTheme="majorBidi" w:hAnsiTheme="majorBidi" w:cstheme="majorBidi"/>
        </w:rPr>
        <w:t xml:space="preserve"> Monitoring visits can and will be conducted </w:t>
      </w:r>
      <w:r w:rsidRPr="00931E65">
        <w:rPr>
          <w:rFonts w:asciiTheme="majorBidi" w:hAnsiTheme="majorBidi" w:cstheme="majorBidi"/>
        </w:rPr>
        <w:t xml:space="preserve">by </w:t>
      </w:r>
      <w:r w:rsidR="00D37A43" w:rsidRPr="00931E65">
        <w:rPr>
          <w:rFonts w:asciiTheme="majorBidi" w:hAnsiTheme="majorBidi" w:cstheme="majorBidi"/>
          <w:spacing w:val="-1"/>
        </w:rPr>
        <w:t>PRG-PA</w:t>
      </w:r>
      <w:r w:rsidRPr="00931E65">
        <w:rPr>
          <w:rFonts w:asciiTheme="majorBidi" w:hAnsiTheme="majorBidi" w:cstheme="majorBidi"/>
        </w:rPr>
        <w:t>’s</w:t>
      </w:r>
      <w:r w:rsidRPr="00D0478B">
        <w:rPr>
          <w:rFonts w:asciiTheme="majorBidi" w:hAnsiTheme="majorBidi" w:cstheme="majorBidi"/>
        </w:rPr>
        <w:t xml:space="preserve"> M&amp;E</w:t>
      </w:r>
      <w:r w:rsidR="00434E99">
        <w:rPr>
          <w:rFonts w:asciiTheme="majorBidi" w:hAnsiTheme="majorBidi" w:cstheme="majorBidi"/>
        </w:rPr>
        <w:t xml:space="preserve"> Officer</w:t>
      </w:r>
      <w:r w:rsidRPr="00D0478B">
        <w:rPr>
          <w:rFonts w:asciiTheme="majorBidi" w:hAnsiTheme="majorBidi" w:cstheme="majorBidi"/>
        </w:rPr>
        <w:t>, and Grants manag</w:t>
      </w:r>
      <w:r w:rsidR="00D37A43">
        <w:rPr>
          <w:rFonts w:asciiTheme="majorBidi" w:hAnsiTheme="majorBidi" w:cstheme="majorBidi"/>
        </w:rPr>
        <w:t>er.</w:t>
      </w:r>
      <w:r w:rsidRPr="00D0478B">
        <w:rPr>
          <w:rFonts w:asciiTheme="majorBidi" w:hAnsiTheme="majorBidi" w:cstheme="majorBidi"/>
        </w:rPr>
        <w:t xml:space="preserve">  </w:t>
      </w:r>
      <w:r w:rsidR="00D37A43" w:rsidRPr="00931E65">
        <w:rPr>
          <w:rFonts w:asciiTheme="majorBidi" w:hAnsiTheme="majorBidi" w:cstheme="majorBidi"/>
          <w:spacing w:val="-1"/>
        </w:rPr>
        <w:t>PRG-PA</w:t>
      </w:r>
      <w:r w:rsidRPr="00931E65">
        <w:rPr>
          <w:rFonts w:asciiTheme="majorBidi" w:hAnsiTheme="majorBidi" w:cstheme="majorBidi"/>
          <w:spacing w:val="-1"/>
        </w:rPr>
        <w:t>’s</w:t>
      </w:r>
      <w:r w:rsidRPr="00931E65">
        <w:rPr>
          <w:rFonts w:asciiTheme="majorBidi" w:hAnsiTheme="majorBidi" w:cstheme="majorBidi"/>
        </w:rPr>
        <w:t xml:space="preserve"> </w:t>
      </w:r>
      <w:r w:rsidRPr="00D0478B">
        <w:rPr>
          <w:rFonts w:asciiTheme="majorBidi" w:hAnsiTheme="majorBidi" w:cstheme="majorBidi"/>
        </w:rPr>
        <w:t xml:space="preserve">staff will conduct at least one organizational-monitoring visit (e.g. visit the grantee’s/partner’s office, meet with staff, check systems and management protocols, etc.) on a quarterly basis.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will conduct at least one visit to a grant</w:t>
      </w:r>
      <w:r w:rsidR="00434E99">
        <w:rPr>
          <w:rFonts w:asciiTheme="majorBidi" w:hAnsiTheme="majorBidi" w:cstheme="majorBidi"/>
        </w:rPr>
        <w:t>ee</w:t>
      </w:r>
      <w:r w:rsidRPr="00D0478B">
        <w:rPr>
          <w:rFonts w:asciiTheme="majorBidi" w:hAnsiTheme="majorBidi" w:cstheme="majorBidi"/>
        </w:rPr>
        <w:t xml:space="preserve">, per month.  Additionally,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managers will make “monitoring phone calls”, to check in on a partner/grantee on a </w:t>
      </w:r>
      <w:r w:rsidR="00434E99">
        <w:rPr>
          <w:rFonts w:asciiTheme="majorBidi" w:hAnsiTheme="majorBidi" w:cstheme="majorBidi"/>
        </w:rPr>
        <w:t xml:space="preserve">regular </w:t>
      </w:r>
      <w:r w:rsidRPr="00D0478B">
        <w:rPr>
          <w:rFonts w:asciiTheme="majorBidi" w:hAnsiTheme="majorBidi" w:cstheme="majorBidi"/>
        </w:rPr>
        <w:t>basis.</w:t>
      </w:r>
    </w:p>
    <w:p w14:paraId="4BFBAB97" w14:textId="41F6A883" w:rsidR="00924636" w:rsidRPr="00D0478B" w:rsidRDefault="00924636" w:rsidP="00C83B2C">
      <w:pPr>
        <w:numPr>
          <w:ilvl w:val="0"/>
          <w:numId w:val="12"/>
        </w:numPr>
        <w:tabs>
          <w:tab w:val="left" w:pos="360"/>
        </w:tabs>
        <w:spacing w:before="120" w:after="120"/>
        <w:ind w:left="360"/>
        <w:jc w:val="both"/>
        <w:rPr>
          <w:rFonts w:asciiTheme="majorBidi" w:hAnsiTheme="majorBidi" w:cstheme="majorBidi"/>
        </w:rPr>
      </w:pPr>
      <w:r w:rsidRPr="00D0478B">
        <w:rPr>
          <w:rFonts w:asciiTheme="majorBidi" w:hAnsiTheme="majorBidi" w:cstheme="majorBidi"/>
          <w:b/>
        </w:rPr>
        <w:t xml:space="preserve">Ad-hoc, spontaneous Spot Checks: </w:t>
      </w:r>
      <w:r w:rsidRPr="00D0478B">
        <w:rPr>
          <w:rFonts w:asciiTheme="majorBidi" w:hAnsiTheme="majorBidi" w:cstheme="majorBidi"/>
        </w:rPr>
        <w:t xml:space="preserve">It is important to coordinate with </w:t>
      </w:r>
      <w:r w:rsidR="00434E99">
        <w:rPr>
          <w:rFonts w:asciiTheme="majorBidi" w:hAnsiTheme="majorBidi" w:cstheme="majorBidi"/>
        </w:rPr>
        <w:t xml:space="preserve">partners </w:t>
      </w:r>
      <w:r w:rsidRPr="00D0478B">
        <w:rPr>
          <w:rFonts w:asciiTheme="majorBidi" w:hAnsiTheme="majorBidi" w:cstheme="majorBidi"/>
        </w:rPr>
        <w:t xml:space="preserve">before going to visit them. Nevertheless, ad-hoc/spontaneous spot checks would give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staff an opportunity to actually see the organization on-site, to make sure the offices and the staff are in place and operational – especially when there are signs or suspicions of grantee/partner difficulties.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00434E99">
        <w:rPr>
          <w:rFonts w:asciiTheme="majorBidi" w:hAnsiTheme="majorBidi" w:cstheme="majorBidi"/>
        </w:rPr>
        <w:t xml:space="preserve">staff </w:t>
      </w:r>
      <w:r w:rsidRPr="00D0478B">
        <w:rPr>
          <w:rFonts w:asciiTheme="majorBidi" w:hAnsiTheme="majorBidi" w:cstheme="majorBidi"/>
        </w:rPr>
        <w:t xml:space="preserve">may conduct at least one ad-hoc spot check during the course of each grant.  It is expected that those organizations that have already worked with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and proven they are capable of grant implementation will require fewer checks than those with whom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has little or no working experience.</w:t>
      </w:r>
    </w:p>
    <w:p w14:paraId="541A47BC" w14:textId="4D1E6A65" w:rsidR="00924636" w:rsidRPr="00C83B2C" w:rsidRDefault="00924636" w:rsidP="00C83B2C">
      <w:pPr>
        <w:numPr>
          <w:ilvl w:val="0"/>
          <w:numId w:val="12"/>
        </w:numPr>
        <w:tabs>
          <w:tab w:val="left" w:pos="360"/>
        </w:tabs>
        <w:spacing w:before="120" w:after="120"/>
        <w:ind w:left="360"/>
        <w:jc w:val="both"/>
        <w:rPr>
          <w:rFonts w:asciiTheme="majorBidi" w:hAnsiTheme="majorBidi" w:cstheme="majorBidi"/>
        </w:rPr>
      </w:pPr>
      <w:r w:rsidRPr="00D0478B">
        <w:rPr>
          <w:rFonts w:asciiTheme="majorBidi" w:hAnsiTheme="majorBidi" w:cstheme="majorBidi"/>
          <w:b/>
        </w:rPr>
        <w:t xml:space="preserve">Monitoring of Programmatic and Financial Reporting:   </w:t>
      </w:r>
      <w:r w:rsidRPr="00D0478B">
        <w:rPr>
          <w:rFonts w:asciiTheme="majorBidi" w:hAnsiTheme="majorBidi" w:cstheme="majorBidi"/>
          <w:bCs/>
        </w:rPr>
        <w:t>It</w:t>
      </w:r>
      <w:r w:rsidRPr="00D0478B">
        <w:rPr>
          <w:rFonts w:asciiTheme="majorBidi" w:hAnsiTheme="majorBidi" w:cstheme="majorBidi"/>
        </w:rPr>
        <w:t xml:space="preserve"> is through program and financial reporting that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learns details about successes, challenges and lessons learned of grantees/partners during the course of grant implementation. Both program and financial reports are effective means of verifying that reported activities and expenses associated with them are relevant and in sync with the project work plan. All monitors will review progress reports in preparation for any monitoring visits, to provide recommendations on improving the reporting quality, and to discover and document lessons learned by the partners or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in the course of implementation of the funded project.  Programmatic and financial reporting is reviewed and approved by program and the grants team, respectively</w:t>
      </w:r>
      <w:r w:rsidRPr="00D0478B">
        <w:rPr>
          <w:rFonts w:asciiTheme="majorBidi" w:hAnsiTheme="majorBidi" w:cstheme="majorBidi"/>
          <w:b/>
        </w:rPr>
        <w:t xml:space="preserve">.  </w:t>
      </w:r>
      <w:r w:rsidRPr="00D0478B">
        <w:rPr>
          <w:rFonts w:asciiTheme="majorBidi" w:hAnsiTheme="majorBidi" w:cstheme="majorBidi"/>
        </w:rPr>
        <w:t>Also, the</w:t>
      </w:r>
      <w:r w:rsidRPr="00D0478B">
        <w:rPr>
          <w:rFonts w:asciiTheme="majorBidi" w:hAnsiTheme="majorBidi" w:cstheme="majorBidi"/>
          <w:b/>
        </w:rPr>
        <w:t xml:space="preserve"> </w:t>
      </w:r>
      <w:r w:rsidRPr="00D0478B">
        <w:rPr>
          <w:rFonts w:asciiTheme="majorBidi" w:hAnsiTheme="majorBidi" w:cstheme="majorBidi"/>
        </w:rPr>
        <w:t xml:space="preserve">M&amp;E </w:t>
      </w:r>
      <w:r w:rsidR="00434E99">
        <w:rPr>
          <w:rFonts w:asciiTheme="majorBidi" w:hAnsiTheme="majorBidi" w:cstheme="majorBidi"/>
        </w:rPr>
        <w:t xml:space="preserve">Officer </w:t>
      </w:r>
      <w:r w:rsidRPr="00D0478B">
        <w:rPr>
          <w:rFonts w:asciiTheme="majorBidi" w:hAnsiTheme="majorBidi" w:cstheme="majorBidi"/>
        </w:rPr>
        <w:t>will review progress reports preceding any monitoring visits.</w:t>
      </w:r>
    </w:p>
    <w:p w14:paraId="0F3EE1EC" w14:textId="77777777" w:rsidR="00924636" w:rsidRPr="00D0478B" w:rsidRDefault="00924636" w:rsidP="00C83B2C">
      <w:pPr>
        <w:numPr>
          <w:ilvl w:val="0"/>
          <w:numId w:val="12"/>
        </w:numPr>
        <w:tabs>
          <w:tab w:val="left" w:pos="360"/>
        </w:tabs>
        <w:spacing w:before="120" w:after="120"/>
        <w:ind w:left="360"/>
        <w:jc w:val="both"/>
        <w:rPr>
          <w:rFonts w:asciiTheme="majorBidi" w:hAnsiTheme="majorBidi" w:cstheme="majorBidi"/>
        </w:rPr>
      </w:pPr>
      <w:r w:rsidRPr="00D0478B">
        <w:rPr>
          <w:rFonts w:asciiTheme="majorBidi" w:hAnsiTheme="majorBidi" w:cstheme="majorBidi"/>
          <w:b/>
        </w:rPr>
        <w:t xml:space="preserve">Monitoring of KM Portal Reporting:  </w:t>
      </w:r>
      <w:r w:rsidRPr="00D0478B">
        <w:rPr>
          <w:rFonts w:asciiTheme="majorBidi" w:hAnsiTheme="majorBidi" w:cstheme="majorBidi"/>
        </w:rPr>
        <w:t xml:space="preserve">Similar to the requirements for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staff reporting, grantees will be required to report on all activities conducted under the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grant. This reporting enables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staff to remain up to date on each grantee’s activities, identify trends for further technical assistance, as well as to verify data reported in programmatic reports. </w:t>
      </w:r>
    </w:p>
    <w:p w14:paraId="7A6DE06A" w14:textId="77777777" w:rsidR="00924636" w:rsidRPr="00D0478B" w:rsidRDefault="00924636" w:rsidP="00924636">
      <w:pPr>
        <w:tabs>
          <w:tab w:val="left" w:pos="402"/>
        </w:tabs>
        <w:ind w:left="1080"/>
        <w:jc w:val="both"/>
        <w:rPr>
          <w:rFonts w:asciiTheme="majorBidi" w:hAnsiTheme="majorBidi" w:cstheme="majorBidi"/>
        </w:rPr>
      </w:pPr>
    </w:p>
    <w:p w14:paraId="64473FDC" w14:textId="77777777" w:rsidR="00924636" w:rsidRPr="00D0478B" w:rsidRDefault="00924636" w:rsidP="00924636">
      <w:pPr>
        <w:tabs>
          <w:tab w:val="left" w:pos="402"/>
        </w:tabs>
        <w:jc w:val="both"/>
        <w:rPr>
          <w:rFonts w:asciiTheme="majorBidi" w:hAnsiTheme="majorBidi" w:cstheme="majorBidi"/>
        </w:rPr>
      </w:pPr>
      <w:r w:rsidRPr="00D0478B">
        <w:rPr>
          <w:rFonts w:asciiTheme="majorBidi" w:hAnsiTheme="majorBidi" w:cstheme="majorBidi"/>
        </w:rPr>
        <w:t xml:space="preserve">The table below illustrates the responsibilities of </w:t>
      </w:r>
      <w:r w:rsidR="00D37A43"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staff and the frequency of monitoring checks:</w:t>
      </w:r>
    </w:p>
    <w:p w14:paraId="1C69D6C8" w14:textId="77777777" w:rsidR="00924636" w:rsidRPr="00D0478B" w:rsidRDefault="00924636" w:rsidP="00924636">
      <w:pPr>
        <w:tabs>
          <w:tab w:val="left" w:pos="402"/>
        </w:tabs>
        <w:jc w:val="both"/>
        <w:rPr>
          <w:rFonts w:asciiTheme="majorBidi" w:hAnsiTheme="majorBidi" w:cstheme="majorBidi"/>
        </w:rPr>
      </w:pPr>
    </w:p>
    <w:p w14:paraId="236173CD" w14:textId="77777777" w:rsidR="00924636" w:rsidRPr="00D0478B" w:rsidRDefault="00924636" w:rsidP="00924636">
      <w:pPr>
        <w:tabs>
          <w:tab w:val="left" w:pos="402"/>
        </w:tabs>
        <w:jc w:val="both"/>
        <w:rPr>
          <w:rFonts w:asciiTheme="majorBidi" w:hAnsiTheme="majorBidi" w:cstheme="majorBidi"/>
          <w:i/>
        </w:rPr>
      </w:pPr>
      <w:r w:rsidRPr="00D0478B">
        <w:rPr>
          <w:rFonts w:asciiTheme="majorBidi" w:hAnsiTheme="majorBidi" w:cstheme="majorBidi"/>
          <w:b/>
          <w:i/>
        </w:rPr>
        <w:t>Table 3:</w:t>
      </w:r>
      <w:r w:rsidRPr="00D0478B">
        <w:rPr>
          <w:rFonts w:asciiTheme="majorBidi" w:hAnsiTheme="majorBidi" w:cstheme="majorBidi"/>
          <w:color w:val="FF0000"/>
          <w:spacing w:val="-1"/>
        </w:rPr>
        <w:t xml:space="preserve"> </w:t>
      </w:r>
      <w:r w:rsidR="00D37A43" w:rsidRPr="00931E65">
        <w:rPr>
          <w:rFonts w:asciiTheme="majorBidi" w:hAnsiTheme="majorBidi" w:cstheme="majorBidi"/>
          <w:spacing w:val="-1"/>
        </w:rPr>
        <w:t>PRG-PA</w:t>
      </w:r>
      <w:r w:rsidR="002408CD" w:rsidRPr="00931E65">
        <w:rPr>
          <w:rFonts w:asciiTheme="majorBidi" w:hAnsiTheme="majorBidi" w:cstheme="majorBidi"/>
          <w:spacing w:val="-1"/>
        </w:rPr>
        <w:t xml:space="preserve"> </w:t>
      </w:r>
      <w:r w:rsidRPr="00D0478B">
        <w:rPr>
          <w:rFonts w:asciiTheme="majorBidi" w:hAnsiTheme="majorBidi" w:cstheme="majorBidi"/>
          <w:i/>
        </w:rPr>
        <w:t xml:space="preserve">Frequency of Grantee Monitoring </w:t>
      </w:r>
    </w:p>
    <w:tbl>
      <w:tblPr>
        <w:tblW w:w="951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340"/>
        <w:gridCol w:w="5017"/>
      </w:tblGrid>
      <w:tr w:rsidR="00924636" w:rsidRPr="00D0478B" w14:paraId="45AF9910" w14:textId="77777777" w:rsidTr="0017151D">
        <w:trPr>
          <w:trHeight w:val="485"/>
        </w:trPr>
        <w:tc>
          <w:tcPr>
            <w:tcW w:w="2160" w:type="dxa"/>
            <w:shd w:val="clear" w:color="auto" w:fill="D9D9D9"/>
            <w:vAlign w:val="center"/>
          </w:tcPr>
          <w:p w14:paraId="73855776" w14:textId="77777777" w:rsidR="00924636" w:rsidRPr="00D0478B" w:rsidRDefault="00924636" w:rsidP="006F282B">
            <w:pPr>
              <w:rPr>
                <w:rFonts w:asciiTheme="majorBidi" w:hAnsiTheme="majorBidi" w:cstheme="majorBidi"/>
                <w:b/>
              </w:rPr>
            </w:pPr>
            <w:r w:rsidRPr="00D0478B">
              <w:rPr>
                <w:rFonts w:asciiTheme="majorBidi" w:hAnsiTheme="majorBidi" w:cstheme="majorBidi"/>
                <w:b/>
              </w:rPr>
              <w:t>Monitoring Tools</w:t>
            </w:r>
          </w:p>
        </w:tc>
        <w:tc>
          <w:tcPr>
            <w:tcW w:w="2340" w:type="dxa"/>
            <w:shd w:val="clear" w:color="auto" w:fill="D9D9D9"/>
            <w:vAlign w:val="center"/>
          </w:tcPr>
          <w:p w14:paraId="5D794892" w14:textId="77777777" w:rsidR="00924636" w:rsidRPr="00D0478B" w:rsidRDefault="00924636" w:rsidP="006F282B">
            <w:pPr>
              <w:rPr>
                <w:rFonts w:asciiTheme="majorBidi" w:hAnsiTheme="majorBidi" w:cstheme="majorBidi"/>
                <w:b/>
              </w:rPr>
            </w:pPr>
            <w:r w:rsidRPr="00D0478B">
              <w:rPr>
                <w:rFonts w:asciiTheme="majorBidi" w:hAnsiTheme="majorBidi" w:cstheme="majorBidi"/>
                <w:b/>
              </w:rPr>
              <w:t xml:space="preserve">Who is Responsible </w:t>
            </w:r>
          </w:p>
        </w:tc>
        <w:tc>
          <w:tcPr>
            <w:tcW w:w="5017" w:type="dxa"/>
            <w:shd w:val="clear" w:color="auto" w:fill="D9D9D9"/>
            <w:vAlign w:val="center"/>
          </w:tcPr>
          <w:p w14:paraId="10E1E8E0" w14:textId="77777777" w:rsidR="00924636" w:rsidRPr="00D0478B" w:rsidRDefault="00924636" w:rsidP="006F282B">
            <w:pPr>
              <w:rPr>
                <w:rFonts w:asciiTheme="majorBidi" w:hAnsiTheme="majorBidi" w:cstheme="majorBidi"/>
                <w:b/>
              </w:rPr>
            </w:pPr>
            <w:r w:rsidRPr="00D0478B">
              <w:rPr>
                <w:rFonts w:asciiTheme="majorBidi" w:hAnsiTheme="majorBidi" w:cstheme="majorBidi"/>
                <w:b/>
              </w:rPr>
              <w:t xml:space="preserve">Frequency of Monitoring or Visits </w:t>
            </w:r>
          </w:p>
        </w:tc>
      </w:tr>
      <w:tr w:rsidR="00924636" w:rsidRPr="00D0478B" w14:paraId="56FB23D2" w14:textId="77777777" w:rsidTr="0017151D">
        <w:trPr>
          <w:trHeight w:val="692"/>
        </w:trPr>
        <w:tc>
          <w:tcPr>
            <w:tcW w:w="2160" w:type="dxa"/>
            <w:shd w:val="clear" w:color="auto" w:fill="auto"/>
          </w:tcPr>
          <w:p w14:paraId="7C8FE3C9" w14:textId="77777777" w:rsidR="00924636" w:rsidRPr="00D0478B" w:rsidRDefault="00924636" w:rsidP="009345E9">
            <w:pPr>
              <w:rPr>
                <w:rFonts w:asciiTheme="majorBidi" w:hAnsiTheme="majorBidi" w:cstheme="majorBidi"/>
              </w:rPr>
            </w:pPr>
            <w:r w:rsidRPr="00D0478B">
              <w:rPr>
                <w:rFonts w:asciiTheme="majorBidi" w:hAnsiTheme="majorBidi" w:cstheme="majorBidi"/>
              </w:rPr>
              <w:t xml:space="preserve">Grantees/Partners Monitoring </w:t>
            </w:r>
          </w:p>
        </w:tc>
        <w:tc>
          <w:tcPr>
            <w:tcW w:w="2340" w:type="dxa"/>
            <w:shd w:val="clear" w:color="auto" w:fill="auto"/>
          </w:tcPr>
          <w:p w14:paraId="37228238" w14:textId="77777777" w:rsidR="00924636" w:rsidRPr="00395ED5" w:rsidRDefault="00DF3EC8" w:rsidP="009345E9">
            <w:pPr>
              <w:jc w:val="both"/>
              <w:rPr>
                <w:rFonts w:asciiTheme="majorBidi" w:hAnsiTheme="majorBidi" w:cstheme="majorBidi"/>
                <w:lang w:val="fr-FR"/>
              </w:rPr>
            </w:pPr>
            <w:r>
              <w:rPr>
                <w:rFonts w:asciiTheme="majorBidi" w:hAnsiTheme="majorBidi" w:cstheme="majorBidi"/>
              </w:rPr>
              <w:t xml:space="preserve">Grant </w:t>
            </w:r>
            <w:r>
              <w:rPr>
                <w:rFonts w:asciiTheme="majorBidi" w:hAnsiTheme="majorBidi" w:cstheme="majorBidi"/>
                <w:lang w:val="fr-FR"/>
              </w:rPr>
              <w:t xml:space="preserve">Manager </w:t>
            </w:r>
          </w:p>
        </w:tc>
        <w:tc>
          <w:tcPr>
            <w:tcW w:w="5017" w:type="dxa"/>
            <w:shd w:val="clear" w:color="auto" w:fill="auto"/>
          </w:tcPr>
          <w:p w14:paraId="41EA5CE9" w14:textId="77777777" w:rsidR="00924636" w:rsidRPr="00D0478B" w:rsidRDefault="00DF3EC8" w:rsidP="009345E9">
            <w:pPr>
              <w:jc w:val="both"/>
              <w:rPr>
                <w:rFonts w:asciiTheme="majorBidi" w:hAnsiTheme="majorBidi" w:cstheme="majorBidi"/>
              </w:rPr>
            </w:pPr>
            <w:r>
              <w:rPr>
                <w:rFonts w:asciiTheme="majorBidi" w:hAnsiTheme="majorBidi" w:cstheme="majorBidi"/>
              </w:rPr>
              <w:t>Monitoring Quarterly/technical support visits</w:t>
            </w:r>
          </w:p>
        </w:tc>
      </w:tr>
      <w:tr w:rsidR="00924636" w:rsidRPr="00D0478B" w14:paraId="413A9A92" w14:textId="77777777" w:rsidTr="0017151D">
        <w:trPr>
          <w:trHeight w:val="710"/>
        </w:trPr>
        <w:tc>
          <w:tcPr>
            <w:tcW w:w="2160" w:type="dxa"/>
            <w:shd w:val="clear" w:color="auto" w:fill="auto"/>
          </w:tcPr>
          <w:p w14:paraId="7B9A0C92" w14:textId="77777777" w:rsidR="00924636" w:rsidRPr="00D0478B" w:rsidRDefault="00924636" w:rsidP="009345E9">
            <w:pPr>
              <w:rPr>
                <w:rFonts w:asciiTheme="majorBidi" w:hAnsiTheme="majorBidi" w:cstheme="majorBidi"/>
              </w:rPr>
            </w:pPr>
            <w:r w:rsidRPr="00D0478B">
              <w:rPr>
                <w:rFonts w:asciiTheme="majorBidi" w:hAnsiTheme="majorBidi" w:cstheme="majorBidi"/>
              </w:rPr>
              <w:t>Activities Monitoring</w:t>
            </w:r>
          </w:p>
        </w:tc>
        <w:tc>
          <w:tcPr>
            <w:tcW w:w="2340" w:type="dxa"/>
            <w:shd w:val="clear" w:color="auto" w:fill="auto"/>
          </w:tcPr>
          <w:p w14:paraId="5FE142B6" w14:textId="06ACAFD1" w:rsidR="00924636" w:rsidRPr="00D0478B" w:rsidRDefault="00DF3EC8" w:rsidP="00434E99">
            <w:pPr>
              <w:jc w:val="both"/>
              <w:rPr>
                <w:rFonts w:asciiTheme="majorBidi" w:hAnsiTheme="majorBidi" w:cstheme="majorBidi"/>
              </w:rPr>
            </w:pPr>
            <w:r>
              <w:rPr>
                <w:rFonts w:asciiTheme="majorBidi" w:hAnsiTheme="majorBidi" w:cstheme="majorBidi"/>
              </w:rPr>
              <w:t xml:space="preserve">M&amp;E </w:t>
            </w:r>
            <w:r w:rsidR="00434E99">
              <w:rPr>
                <w:rFonts w:asciiTheme="majorBidi" w:hAnsiTheme="majorBidi" w:cstheme="majorBidi"/>
              </w:rPr>
              <w:t>O</w:t>
            </w:r>
            <w:r>
              <w:rPr>
                <w:rFonts w:asciiTheme="majorBidi" w:hAnsiTheme="majorBidi" w:cstheme="majorBidi"/>
              </w:rPr>
              <w:t xml:space="preserve">fficer/M&amp;E Assistant </w:t>
            </w:r>
          </w:p>
        </w:tc>
        <w:tc>
          <w:tcPr>
            <w:tcW w:w="5017" w:type="dxa"/>
            <w:shd w:val="clear" w:color="auto" w:fill="auto"/>
          </w:tcPr>
          <w:p w14:paraId="5FC91BC1" w14:textId="77777777" w:rsidR="00924636" w:rsidRPr="00D0478B" w:rsidRDefault="00DF3EC8" w:rsidP="009345E9">
            <w:pPr>
              <w:jc w:val="both"/>
              <w:rPr>
                <w:rFonts w:asciiTheme="majorBidi" w:hAnsiTheme="majorBidi" w:cstheme="majorBidi"/>
                <w:color w:val="FF0000"/>
              </w:rPr>
            </w:pPr>
            <w:r w:rsidRPr="00931E65">
              <w:rPr>
                <w:rFonts w:asciiTheme="majorBidi" w:hAnsiTheme="majorBidi" w:cstheme="majorBidi"/>
              </w:rPr>
              <w:t>Technical support visits; phone calls</w:t>
            </w:r>
          </w:p>
        </w:tc>
      </w:tr>
      <w:tr w:rsidR="00924636" w:rsidRPr="00D0478B" w14:paraId="5CB53CF3" w14:textId="77777777" w:rsidTr="0017151D">
        <w:tc>
          <w:tcPr>
            <w:tcW w:w="2160" w:type="dxa"/>
            <w:shd w:val="clear" w:color="auto" w:fill="auto"/>
          </w:tcPr>
          <w:p w14:paraId="0048BC9E" w14:textId="77777777" w:rsidR="00924636" w:rsidRPr="00D0478B" w:rsidRDefault="00924636" w:rsidP="009345E9">
            <w:pPr>
              <w:rPr>
                <w:rFonts w:asciiTheme="majorBidi" w:hAnsiTheme="majorBidi" w:cstheme="majorBidi"/>
              </w:rPr>
            </w:pPr>
            <w:r w:rsidRPr="00D0478B">
              <w:rPr>
                <w:rFonts w:asciiTheme="majorBidi" w:hAnsiTheme="majorBidi" w:cstheme="majorBidi"/>
              </w:rPr>
              <w:t>Ad-hoc/ spontaneous Spot Checks</w:t>
            </w:r>
          </w:p>
        </w:tc>
        <w:tc>
          <w:tcPr>
            <w:tcW w:w="2340" w:type="dxa"/>
            <w:shd w:val="clear" w:color="auto" w:fill="auto"/>
          </w:tcPr>
          <w:p w14:paraId="0178AA41" w14:textId="77777777" w:rsidR="00924636" w:rsidRPr="00D0478B" w:rsidRDefault="00DF3EC8" w:rsidP="009345E9">
            <w:pPr>
              <w:jc w:val="both"/>
              <w:rPr>
                <w:rFonts w:asciiTheme="majorBidi" w:hAnsiTheme="majorBidi" w:cstheme="majorBidi"/>
              </w:rPr>
            </w:pPr>
            <w:r>
              <w:rPr>
                <w:rFonts w:asciiTheme="majorBidi" w:hAnsiTheme="majorBidi" w:cstheme="majorBidi"/>
              </w:rPr>
              <w:t>M&amp;E Officer/M&amp;E Assistant/Grants Officer</w:t>
            </w:r>
          </w:p>
        </w:tc>
        <w:tc>
          <w:tcPr>
            <w:tcW w:w="5017" w:type="dxa"/>
            <w:shd w:val="clear" w:color="auto" w:fill="auto"/>
          </w:tcPr>
          <w:p w14:paraId="0D284394" w14:textId="77777777" w:rsidR="00924636" w:rsidRPr="00D0478B" w:rsidRDefault="00DF3EC8" w:rsidP="009345E9">
            <w:pPr>
              <w:jc w:val="both"/>
              <w:rPr>
                <w:rFonts w:asciiTheme="majorBidi" w:hAnsiTheme="majorBidi" w:cstheme="majorBidi"/>
              </w:rPr>
            </w:pPr>
            <w:r>
              <w:rPr>
                <w:rFonts w:asciiTheme="majorBidi" w:hAnsiTheme="majorBidi" w:cstheme="majorBidi"/>
              </w:rPr>
              <w:t xml:space="preserve">Quarterly </w:t>
            </w:r>
          </w:p>
        </w:tc>
      </w:tr>
      <w:tr w:rsidR="00924636" w:rsidRPr="00D0478B" w14:paraId="130C554C" w14:textId="77777777" w:rsidTr="0017151D">
        <w:trPr>
          <w:trHeight w:val="692"/>
        </w:trPr>
        <w:tc>
          <w:tcPr>
            <w:tcW w:w="2160" w:type="dxa"/>
            <w:shd w:val="clear" w:color="auto" w:fill="auto"/>
          </w:tcPr>
          <w:p w14:paraId="2FF00D92" w14:textId="77777777" w:rsidR="00924636" w:rsidRPr="00D0478B" w:rsidRDefault="00924636" w:rsidP="009345E9">
            <w:pPr>
              <w:rPr>
                <w:rFonts w:asciiTheme="majorBidi" w:hAnsiTheme="majorBidi" w:cstheme="majorBidi"/>
              </w:rPr>
            </w:pPr>
            <w:r w:rsidRPr="00D0478B">
              <w:rPr>
                <w:rFonts w:asciiTheme="majorBidi" w:hAnsiTheme="majorBidi" w:cstheme="majorBidi"/>
              </w:rPr>
              <w:t>Monitoring Programmatic and Financial Reporting</w:t>
            </w:r>
          </w:p>
        </w:tc>
        <w:tc>
          <w:tcPr>
            <w:tcW w:w="2340" w:type="dxa"/>
            <w:shd w:val="clear" w:color="auto" w:fill="auto"/>
          </w:tcPr>
          <w:p w14:paraId="274564F8" w14:textId="115F49CD" w:rsidR="00924636" w:rsidRPr="00D0478B" w:rsidRDefault="00DF3EC8" w:rsidP="00434E99">
            <w:pPr>
              <w:tabs>
                <w:tab w:val="left" w:pos="342"/>
                <w:tab w:val="left" w:pos="852"/>
              </w:tabs>
              <w:jc w:val="both"/>
              <w:rPr>
                <w:rFonts w:asciiTheme="majorBidi" w:hAnsiTheme="majorBidi" w:cstheme="majorBidi"/>
              </w:rPr>
            </w:pPr>
            <w:r>
              <w:rPr>
                <w:rFonts w:asciiTheme="majorBidi" w:hAnsiTheme="majorBidi" w:cstheme="majorBidi"/>
              </w:rPr>
              <w:t xml:space="preserve">Director of </w:t>
            </w:r>
            <w:r w:rsidR="00434E99">
              <w:rPr>
                <w:rFonts w:asciiTheme="majorBidi" w:hAnsiTheme="majorBidi" w:cstheme="majorBidi"/>
              </w:rPr>
              <w:t>F</w:t>
            </w:r>
            <w:r>
              <w:rPr>
                <w:rFonts w:asciiTheme="majorBidi" w:hAnsiTheme="majorBidi" w:cstheme="majorBidi"/>
              </w:rPr>
              <w:t xml:space="preserve">inance and </w:t>
            </w:r>
            <w:r w:rsidR="00434E99">
              <w:rPr>
                <w:rFonts w:asciiTheme="majorBidi" w:hAnsiTheme="majorBidi" w:cstheme="majorBidi"/>
              </w:rPr>
              <w:t>A</w:t>
            </w:r>
            <w:r>
              <w:rPr>
                <w:rFonts w:asciiTheme="majorBidi" w:hAnsiTheme="majorBidi" w:cstheme="majorBidi"/>
              </w:rPr>
              <w:t>dministration/</w:t>
            </w:r>
            <w:r w:rsidR="00434E99">
              <w:rPr>
                <w:rFonts w:asciiTheme="majorBidi" w:hAnsiTheme="majorBidi" w:cstheme="majorBidi"/>
              </w:rPr>
              <w:t>F</w:t>
            </w:r>
            <w:r>
              <w:rPr>
                <w:rFonts w:asciiTheme="majorBidi" w:hAnsiTheme="majorBidi" w:cstheme="majorBidi"/>
              </w:rPr>
              <w:t xml:space="preserve">inance </w:t>
            </w:r>
            <w:r w:rsidR="00434E99">
              <w:rPr>
                <w:rFonts w:asciiTheme="majorBidi" w:hAnsiTheme="majorBidi" w:cstheme="majorBidi"/>
              </w:rPr>
              <w:t>O</w:t>
            </w:r>
            <w:r>
              <w:rPr>
                <w:rFonts w:asciiTheme="majorBidi" w:hAnsiTheme="majorBidi" w:cstheme="majorBidi"/>
              </w:rPr>
              <w:t>fficer/</w:t>
            </w:r>
            <w:r w:rsidR="00434E99">
              <w:rPr>
                <w:rFonts w:asciiTheme="majorBidi" w:hAnsiTheme="majorBidi" w:cstheme="majorBidi"/>
              </w:rPr>
              <w:t>F</w:t>
            </w:r>
            <w:r>
              <w:rPr>
                <w:rFonts w:asciiTheme="majorBidi" w:hAnsiTheme="majorBidi" w:cstheme="majorBidi"/>
              </w:rPr>
              <w:t>inance Assistant/</w:t>
            </w:r>
            <w:r w:rsidR="00434E99">
              <w:rPr>
                <w:rFonts w:asciiTheme="majorBidi" w:hAnsiTheme="majorBidi" w:cstheme="majorBidi"/>
              </w:rPr>
              <w:t>C</w:t>
            </w:r>
            <w:r>
              <w:rPr>
                <w:rFonts w:asciiTheme="majorBidi" w:hAnsiTheme="majorBidi" w:cstheme="majorBidi"/>
              </w:rPr>
              <w:t xml:space="preserve">apacity </w:t>
            </w:r>
            <w:r w:rsidR="00434E99">
              <w:rPr>
                <w:rFonts w:asciiTheme="majorBidi" w:hAnsiTheme="majorBidi" w:cstheme="majorBidi"/>
              </w:rPr>
              <w:t>B</w:t>
            </w:r>
            <w:r>
              <w:rPr>
                <w:rFonts w:asciiTheme="majorBidi" w:hAnsiTheme="majorBidi" w:cstheme="majorBidi"/>
              </w:rPr>
              <w:t xml:space="preserve">uilding </w:t>
            </w:r>
            <w:r w:rsidR="00434E99">
              <w:rPr>
                <w:rFonts w:asciiTheme="majorBidi" w:hAnsiTheme="majorBidi" w:cstheme="majorBidi"/>
              </w:rPr>
              <w:t>S</w:t>
            </w:r>
            <w:r>
              <w:rPr>
                <w:rFonts w:asciiTheme="majorBidi" w:hAnsiTheme="majorBidi" w:cstheme="majorBidi"/>
              </w:rPr>
              <w:t xml:space="preserve">pecialist </w:t>
            </w:r>
          </w:p>
        </w:tc>
        <w:tc>
          <w:tcPr>
            <w:tcW w:w="5017" w:type="dxa"/>
            <w:shd w:val="clear" w:color="auto" w:fill="auto"/>
          </w:tcPr>
          <w:p w14:paraId="2C3F4A26" w14:textId="77777777" w:rsidR="00924636" w:rsidRPr="00D0478B" w:rsidRDefault="00DF3EC8" w:rsidP="009345E9">
            <w:pPr>
              <w:tabs>
                <w:tab w:val="left" w:pos="342"/>
                <w:tab w:val="left" w:pos="852"/>
              </w:tabs>
              <w:jc w:val="both"/>
              <w:rPr>
                <w:rFonts w:asciiTheme="majorBidi" w:hAnsiTheme="majorBidi" w:cstheme="majorBidi"/>
              </w:rPr>
            </w:pPr>
            <w:r>
              <w:rPr>
                <w:rFonts w:asciiTheme="majorBidi" w:hAnsiTheme="majorBidi" w:cstheme="majorBidi"/>
              </w:rPr>
              <w:t xml:space="preserve">Monitoring quarterly/technical support visits </w:t>
            </w:r>
          </w:p>
        </w:tc>
      </w:tr>
      <w:tr w:rsidR="00924636" w:rsidRPr="00D0478B" w14:paraId="4285CA8E" w14:textId="77777777" w:rsidTr="0017151D">
        <w:trPr>
          <w:trHeight w:val="692"/>
        </w:trPr>
        <w:tc>
          <w:tcPr>
            <w:tcW w:w="2160" w:type="dxa"/>
            <w:shd w:val="clear" w:color="auto" w:fill="auto"/>
          </w:tcPr>
          <w:p w14:paraId="5B30EEA5" w14:textId="77777777" w:rsidR="00924636" w:rsidRPr="00D0478B" w:rsidRDefault="00924636" w:rsidP="009345E9">
            <w:pPr>
              <w:rPr>
                <w:rFonts w:asciiTheme="majorBidi" w:hAnsiTheme="majorBidi" w:cstheme="majorBidi"/>
              </w:rPr>
            </w:pPr>
            <w:r w:rsidRPr="00D0478B">
              <w:rPr>
                <w:rFonts w:asciiTheme="majorBidi" w:hAnsiTheme="majorBidi" w:cstheme="majorBidi"/>
              </w:rPr>
              <w:t>KM Portal Reporting</w:t>
            </w:r>
          </w:p>
        </w:tc>
        <w:tc>
          <w:tcPr>
            <w:tcW w:w="2340" w:type="dxa"/>
            <w:shd w:val="clear" w:color="auto" w:fill="auto"/>
          </w:tcPr>
          <w:p w14:paraId="7F4005F5" w14:textId="093064D6" w:rsidR="00924636" w:rsidRPr="00D0478B" w:rsidRDefault="00931E65" w:rsidP="00434E99">
            <w:pPr>
              <w:tabs>
                <w:tab w:val="left" w:pos="342"/>
                <w:tab w:val="left" w:pos="852"/>
              </w:tabs>
              <w:jc w:val="both"/>
              <w:rPr>
                <w:rFonts w:asciiTheme="majorBidi" w:hAnsiTheme="majorBidi" w:cstheme="majorBidi"/>
              </w:rPr>
            </w:pPr>
            <w:r>
              <w:rPr>
                <w:rFonts w:asciiTheme="majorBidi" w:hAnsiTheme="majorBidi" w:cstheme="majorBidi"/>
              </w:rPr>
              <w:t>Monitoring and Evaluation Officer and Assistant</w:t>
            </w:r>
          </w:p>
        </w:tc>
        <w:tc>
          <w:tcPr>
            <w:tcW w:w="5017" w:type="dxa"/>
            <w:shd w:val="clear" w:color="auto" w:fill="auto"/>
          </w:tcPr>
          <w:p w14:paraId="563175EC" w14:textId="77777777" w:rsidR="00924636" w:rsidRPr="00D0478B" w:rsidRDefault="00DF3EC8" w:rsidP="009345E9">
            <w:pPr>
              <w:tabs>
                <w:tab w:val="left" w:pos="342"/>
                <w:tab w:val="left" w:pos="852"/>
              </w:tabs>
              <w:jc w:val="both"/>
              <w:rPr>
                <w:rFonts w:asciiTheme="majorBidi" w:hAnsiTheme="majorBidi" w:cstheme="majorBidi"/>
              </w:rPr>
            </w:pPr>
            <w:r>
              <w:rPr>
                <w:rFonts w:asciiTheme="majorBidi" w:hAnsiTheme="majorBidi" w:cstheme="majorBidi"/>
              </w:rPr>
              <w:t xml:space="preserve">Quarterly </w:t>
            </w:r>
          </w:p>
        </w:tc>
      </w:tr>
      <w:tr w:rsidR="00924636" w:rsidRPr="00D0478B" w14:paraId="176D0C45" w14:textId="77777777" w:rsidTr="0017151D">
        <w:trPr>
          <w:trHeight w:val="692"/>
        </w:trPr>
        <w:tc>
          <w:tcPr>
            <w:tcW w:w="2160" w:type="dxa"/>
            <w:shd w:val="clear" w:color="auto" w:fill="auto"/>
          </w:tcPr>
          <w:p w14:paraId="21B8920A" w14:textId="77777777" w:rsidR="00924636" w:rsidRPr="00D0478B" w:rsidRDefault="00924636" w:rsidP="009345E9">
            <w:pPr>
              <w:rPr>
                <w:rFonts w:asciiTheme="majorBidi" w:hAnsiTheme="majorBidi" w:cstheme="majorBidi"/>
              </w:rPr>
            </w:pPr>
            <w:r w:rsidRPr="00D0478B">
              <w:rPr>
                <w:rFonts w:asciiTheme="majorBidi" w:hAnsiTheme="majorBidi" w:cstheme="majorBidi"/>
              </w:rPr>
              <w:t>Advocacy Tracking Matrix</w:t>
            </w:r>
          </w:p>
        </w:tc>
        <w:tc>
          <w:tcPr>
            <w:tcW w:w="2340" w:type="dxa"/>
            <w:shd w:val="clear" w:color="auto" w:fill="auto"/>
          </w:tcPr>
          <w:p w14:paraId="40C7450D" w14:textId="77777777" w:rsidR="00924636" w:rsidRPr="00D0478B" w:rsidRDefault="00DF3EC8" w:rsidP="009345E9">
            <w:pPr>
              <w:tabs>
                <w:tab w:val="left" w:pos="342"/>
                <w:tab w:val="left" w:pos="852"/>
              </w:tabs>
              <w:jc w:val="both"/>
              <w:rPr>
                <w:rFonts w:asciiTheme="majorBidi" w:hAnsiTheme="majorBidi" w:cstheme="majorBidi"/>
              </w:rPr>
            </w:pPr>
            <w:r>
              <w:rPr>
                <w:rFonts w:asciiTheme="majorBidi" w:hAnsiTheme="majorBidi" w:cstheme="majorBidi"/>
              </w:rPr>
              <w:t xml:space="preserve">Advocacy and Accountability Specialist/Capacity Building Specialist </w:t>
            </w:r>
          </w:p>
        </w:tc>
        <w:tc>
          <w:tcPr>
            <w:tcW w:w="5017" w:type="dxa"/>
            <w:shd w:val="clear" w:color="auto" w:fill="auto"/>
          </w:tcPr>
          <w:p w14:paraId="37B0DF23" w14:textId="77777777" w:rsidR="00924636" w:rsidRPr="00D0478B" w:rsidRDefault="00DF3EC8" w:rsidP="009345E9">
            <w:pPr>
              <w:tabs>
                <w:tab w:val="left" w:pos="342"/>
                <w:tab w:val="left" w:pos="852"/>
              </w:tabs>
              <w:jc w:val="both"/>
              <w:rPr>
                <w:rFonts w:asciiTheme="majorBidi" w:hAnsiTheme="majorBidi" w:cstheme="majorBidi"/>
              </w:rPr>
            </w:pPr>
            <w:r>
              <w:rPr>
                <w:rFonts w:asciiTheme="majorBidi" w:hAnsiTheme="majorBidi" w:cstheme="majorBidi"/>
              </w:rPr>
              <w:t xml:space="preserve">Quarterly </w:t>
            </w:r>
          </w:p>
        </w:tc>
      </w:tr>
    </w:tbl>
    <w:p w14:paraId="0C0318B0" w14:textId="65F96E45" w:rsidR="00CF5422" w:rsidRPr="00D0478B" w:rsidRDefault="00CF5422" w:rsidP="0017151D">
      <w:pPr>
        <w:pStyle w:val="Heading2"/>
        <w:numPr>
          <w:ilvl w:val="1"/>
          <w:numId w:val="19"/>
        </w:numPr>
      </w:pPr>
      <w:bookmarkStart w:id="114" w:name="_Toc453621889"/>
      <w:r w:rsidRPr="00D0478B">
        <w:t>Ensuring Data Quality</w:t>
      </w:r>
      <w:bookmarkEnd w:id="114"/>
    </w:p>
    <w:p w14:paraId="62E20337" w14:textId="186CBE1D" w:rsidR="00CF5422" w:rsidRPr="00C83B2C" w:rsidRDefault="00CF5422" w:rsidP="00C83B2C">
      <w:pPr>
        <w:spacing w:before="120" w:after="120"/>
        <w:rPr>
          <w:rFonts w:asciiTheme="majorBidi" w:hAnsiTheme="majorBidi" w:cstheme="majorBidi"/>
        </w:rPr>
      </w:pPr>
      <w:r w:rsidRPr="00D0478B">
        <w:rPr>
          <w:rFonts w:asciiTheme="majorBidi" w:hAnsiTheme="majorBidi" w:cstheme="majorBidi"/>
        </w:rPr>
        <w:t xml:space="preserve">Counterpart will follow USAID's data quality standards, a description of which may be found in USAID’s Automated Directives System (ADS), Chapter 203.3.5. They include Validity, Integrity, Precision, Reliability, and Timeliness. We will follow the instructions for conducting data quality assessments included in that chapter. Data Quality Assessments will be conducted by the M&amp;E </w:t>
      </w:r>
      <w:r>
        <w:rPr>
          <w:rFonts w:asciiTheme="majorBidi" w:hAnsiTheme="majorBidi" w:cstheme="majorBidi"/>
        </w:rPr>
        <w:t>Officer</w:t>
      </w:r>
      <w:r w:rsidRPr="00D0478B">
        <w:rPr>
          <w:rFonts w:asciiTheme="majorBidi" w:hAnsiTheme="majorBidi" w:cstheme="majorBidi"/>
        </w:rPr>
        <w:t xml:space="preserve"> semi-annually. </w:t>
      </w:r>
    </w:p>
    <w:p w14:paraId="001AF99C" w14:textId="166494DE" w:rsidR="00AB4FFA" w:rsidRPr="00D0478B" w:rsidRDefault="00CF5422" w:rsidP="00C83B2C">
      <w:pPr>
        <w:spacing w:before="120" w:after="120"/>
        <w:rPr>
          <w:rFonts w:asciiTheme="majorBidi" w:hAnsiTheme="majorBidi" w:cstheme="majorBidi"/>
        </w:rPr>
      </w:pPr>
      <w:r w:rsidRPr="00D0478B">
        <w:rPr>
          <w:rFonts w:asciiTheme="majorBidi" w:hAnsiTheme="majorBidi" w:cstheme="majorBidi"/>
        </w:rPr>
        <w:t xml:space="preserve">Counterpart’s Knowledge Management Portal will be an integral part of </w:t>
      </w:r>
      <w:r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data collection and analysis. As such, </w:t>
      </w:r>
      <w:r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will develop a reporting and review plan that outlines timing of data entry, and stipulates both random and periodic quality reviews by </w:t>
      </w:r>
      <w:r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managers, </w:t>
      </w:r>
      <w:r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M&amp;E</w:t>
      </w:r>
      <w:r>
        <w:rPr>
          <w:rFonts w:asciiTheme="majorBidi" w:hAnsiTheme="majorBidi" w:cstheme="majorBidi"/>
        </w:rPr>
        <w:t xml:space="preserve"> Officer</w:t>
      </w:r>
      <w:r w:rsidRPr="00D0478B">
        <w:rPr>
          <w:rFonts w:asciiTheme="majorBidi" w:hAnsiTheme="majorBidi" w:cstheme="majorBidi"/>
        </w:rPr>
        <w:t xml:space="preserve">, </w:t>
      </w:r>
      <w:r w:rsidRPr="00931E65">
        <w:rPr>
          <w:rFonts w:asciiTheme="majorBidi" w:hAnsiTheme="majorBidi" w:cstheme="majorBidi"/>
          <w:spacing w:val="-1"/>
        </w:rPr>
        <w:t>PRG-PA</w:t>
      </w:r>
      <w:r w:rsidRPr="00931E65">
        <w:rPr>
          <w:rFonts w:asciiTheme="majorBidi" w:hAnsiTheme="majorBidi" w:cstheme="majorBidi"/>
        </w:rPr>
        <w:t xml:space="preserve"> </w:t>
      </w:r>
      <w:r w:rsidRPr="00D0478B">
        <w:rPr>
          <w:rFonts w:asciiTheme="majorBidi" w:hAnsiTheme="majorBidi" w:cstheme="majorBidi"/>
        </w:rPr>
        <w:t xml:space="preserve">COP and Counterpart staff at headquarters to ensure that data collected is accurate, timely, valid, and reliable and reflect activities conducted in the field. Where weaknesses should arise, Counterpart M&amp;E staff in </w:t>
      </w:r>
      <w:r w:rsidRPr="00931E65">
        <w:rPr>
          <w:rFonts w:asciiTheme="majorBidi" w:hAnsiTheme="majorBidi" w:cstheme="majorBidi"/>
        </w:rPr>
        <w:t>Niger</w:t>
      </w:r>
      <w:r w:rsidRPr="00D0478B">
        <w:rPr>
          <w:rFonts w:asciiTheme="majorBidi" w:hAnsiTheme="majorBidi" w:cstheme="majorBidi"/>
        </w:rPr>
        <w:t xml:space="preserve"> and Arlington will provide training and support to staff and institute additional quality controls; monitoring frequency will be increased until data collection and reporting have improved.</w:t>
      </w:r>
    </w:p>
    <w:p w14:paraId="25E675BE" w14:textId="150252EA" w:rsidR="00242BE5" w:rsidRPr="00D0478B" w:rsidRDefault="00242BE5" w:rsidP="0017151D">
      <w:pPr>
        <w:pStyle w:val="Heading2"/>
        <w:numPr>
          <w:ilvl w:val="1"/>
          <w:numId w:val="19"/>
        </w:numPr>
      </w:pPr>
      <w:bookmarkStart w:id="115" w:name="_Toc453621890"/>
      <w:r w:rsidRPr="00D0478B">
        <w:t>Learning through M&amp;E</w:t>
      </w:r>
      <w:bookmarkEnd w:id="115"/>
    </w:p>
    <w:p w14:paraId="153FC9FA" w14:textId="7B21FA86" w:rsidR="00242BE5" w:rsidRPr="006F282B" w:rsidRDefault="00535895" w:rsidP="006F282B">
      <w:pPr>
        <w:spacing w:after="488" w:line="243" w:lineRule="auto"/>
        <w:ind w:right="12"/>
        <w:jc w:val="both"/>
        <w:rPr>
          <w:rFonts w:ascii="Times New Roman" w:hAnsi="Times New Roman"/>
        </w:rPr>
      </w:pPr>
      <w:r w:rsidRPr="006F282B">
        <w:rPr>
          <w:rFonts w:ascii="Times New Roman" w:hAnsi="Times New Roman"/>
        </w:rPr>
        <w:t xml:space="preserve">Counterpart’s approach to learning couples M&amp;E methods and processes that surface data necessary for decision making and reporting with learning goals and activities that support continuous improvement. PRG-PA’s </w:t>
      </w:r>
      <w:r w:rsidRPr="006F282B">
        <w:rPr>
          <w:rFonts w:ascii="Times New Roman" w:hAnsi="Times New Roman"/>
          <w:b/>
        </w:rPr>
        <w:t>Learning Agenda</w:t>
      </w:r>
      <w:r w:rsidRPr="006F282B">
        <w:rPr>
          <w:rFonts w:ascii="Times New Roman" w:hAnsi="Times New Roman"/>
        </w:rPr>
        <w:t>, developed in the first three to six months with stakeholder and USAID input, will not only include the PRG-PA’s key learning questions, it will explain how the Principal Activity will align with the PRG Project so that it is in line with USAID/Niger’s long-term agenda. It will help ensure that appropriate feedback elements and loops are integrated across all Activity Outcomes. The Learning Agenda will articulate the tools and methods the program will use to generate the requisite data, including after action reviews, most significant change activities, interactive evaluation methods, and progress markers. Learning activities will be written into the program’s work plan to become part of overall management activities. Our findings from our implementation of PRG-PA’s learning agenda will be shared with USAID in order to facilitate a collaborative discussion (including the findings of the impact assessment) to detail the best strategy for Phase 2. We may also conduct additional PEA action research under phase 2 to adjust strategies and work in support of collection action strategies.</w:t>
      </w:r>
    </w:p>
    <w:p w14:paraId="4B34366A" w14:textId="2E18BB17" w:rsidR="00242BE5" w:rsidRPr="00D0478B" w:rsidRDefault="00242BE5" w:rsidP="0017151D">
      <w:pPr>
        <w:pStyle w:val="Heading2"/>
        <w:numPr>
          <w:ilvl w:val="1"/>
          <w:numId w:val="19"/>
        </w:numPr>
      </w:pPr>
      <w:bookmarkStart w:id="116" w:name="_Toc453621891"/>
      <w:r w:rsidRPr="00D0478B">
        <w:t>Reporting</w:t>
      </w:r>
      <w:bookmarkEnd w:id="116"/>
    </w:p>
    <w:p w14:paraId="2D185BFF" w14:textId="23041643" w:rsidR="00242BE5" w:rsidRPr="00D0478B" w:rsidRDefault="00242BE5" w:rsidP="0017151D">
      <w:pPr>
        <w:pStyle w:val="Heading3"/>
        <w:numPr>
          <w:ilvl w:val="0"/>
          <w:numId w:val="17"/>
        </w:numPr>
      </w:pPr>
      <w:bookmarkStart w:id="117" w:name="_Toc453621892"/>
      <w:r w:rsidRPr="00D0478B">
        <w:t xml:space="preserve">Annual </w:t>
      </w:r>
      <w:r w:rsidRPr="00DD122D">
        <w:t>Work</w:t>
      </w:r>
      <w:r w:rsidRPr="00D0478B">
        <w:t xml:space="preserve"> Plans</w:t>
      </w:r>
      <w:bookmarkEnd w:id="117"/>
    </w:p>
    <w:p w14:paraId="5123721C" w14:textId="71F996D5" w:rsidR="00905C9D" w:rsidRDefault="00242BE5" w:rsidP="006F282B">
      <w:pPr>
        <w:spacing w:before="120"/>
        <w:ind w:right="475"/>
        <w:rPr>
          <w:rFonts w:asciiTheme="majorBidi" w:hAnsiTheme="majorBidi" w:cstheme="majorBidi"/>
        </w:rPr>
      </w:pPr>
      <w:r w:rsidRPr="00D0478B">
        <w:rPr>
          <w:rFonts w:asciiTheme="majorBidi" w:hAnsiTheme="majorBidi" w:cstheme="majorBidi"/>
        </w:rPr>
        <w:t xml:space="preserve">After </w:t>
      </w:r>
      <w:r w:rsidR="00EA3051">
        <w:rPr>
          <w:rFonts w:asciiTheme="majorBidi" w:hAnsiTheme="majorBidi" w:cstheme="majorBidi"/>
        </w:rPr>
        <w:t>issuance of the cooperative agreement, USAID/Niger requested that Counterpart submit a</w:t>
      </w:r>
      <w:r w:rsidRPr="00D0478B">
        <w:rPr>
          <w:rFonts w:asciiTheme="majorBidi" w:hAnsiTheme="majorBidi" w:cstheme="majorBidi"/>
        </w:rPr>
        <w:t xml:space="preserve"> draft </w:t>
      </w:r>
      <w:r w:rsidR="00931E65">
        <w:rPr>
          <w:rFonts w:asciiTheme="majorBidi" w:hAnsiTheme="majorBidi" w:cstheme="majorBidi"/>
        </w:rPr>
        <w:t>rapid</w:t>
      </w:r>
      <w:r w:rsidRPr="00D0478B">
        <w:rPr>
          <w:rFonts w:asciiTheme="majorBidi" w:hAnsiTheme="majorBidi" w:cstheme="majorBidi"/>
        </w:rPr>
        <w:t xml:space="preserve"> work plan for </w:t>
      </w:r>
      <w:r w:rsidR="00EA3051">
        <w:rPr>
          <w:rFonts w:asciiTheme="majorBidi" w:hAnsiTheme="majorBidi" w:cstheme="majorBidi"/>
        </w:rPr>
        <w:t xml:space="preserve">activities focused on the local elections, then scheduled for May 2016. Counterpart submitted that rapid work plan and a subsequent expanded version per USAID’s request when the local elections were rescheduled to January 2017.  </w:t>
      </w:r>
      <w:r w:rsidR="0039373F">
        <w:rPr>
          <w:rFonts w:asciiTheme="majorBidi" w:hAnsiTheme="majorBidi" w:cstheme="majorBidi"/>
        </w:rPr>
        <w:t xml:space="preserve">The year one annual work plan is due on June 15, 2016. </w:t>
      </w:r>
      <w:r w:rsidRPr="00D0478B">
        <w:rPr>
          <w:rFonts w:asciiTheme="majorBidi" w:hAnsiTheme="majorBidi" w:cstheme="majorBidi"/>
        </w:rPr>
        <w:t xml:space="preserve">Subsequent annual work plans will be submitted following each year of program implementation, respectively. All plans are due to USAID </w:t>
      </w:r>
      <w:r w:rsidR="00905C9D">
        <w:rPr>
          <w:rFonts w:asciiTheme="majorBidi" w:hAnsiTheme="majorBidi" w:cstheme="majorBidi"/>
        </w:rPr>
        <w:t>on January 26</w:t>
      </w:r>
      <w:r w:rsidR="00905C9D" w:rsidRPr="006F282B">
        <w:rPr>
          <w:rFonts w:asciiTheme="majorBidi" w:hAnsiTheme="majorBidi" w:cstheme="majorBidi"/>
          <w:vertAlign w:val="superscript"/>
        </w:rPr>
        <w:t>th</w:t>
      </w:r>
      <w:r w:rsidR="00905C9D">
        <w:rPr>
          <w:rFonts w:asciiTheme="majorBidi" w:hAnsiTheme="majorBidi" w:cstheme="majorBidi"/>
        </w:rPr>
        <w:t xml:space="preserve"> of each year.</w:t>
      </w:r>
      <w:r w:rsidRPr="00D0478B">
        <w:rPr>
          <w:rFonts w:asciiTheme="majorBidi" w:hAnsiTheme="majorBidi" w:cstheme="majorBidi"/>
        </w:rPr>
        <w:t xml:space="preserve"> </w:t>
      </w:r>
    </w:p>
    <w:p w14:paraId="581B4B59" w14:textId="5815C5E8" w:rsidR="00242BE5" w:rsidRPr="00D0478B" w:rsidRDefault="00B33288" w:rsidP="00842724">
      <w:pPr>
        <w:spacing w:before="120"/>
        <w:ind w:right="475"/>
        <w:rPr>
          <w:rFonts w:asciiTheme="majorBidi" w:hAnsiTheme="majorBidi" w:cstheme="majorBidi"/>
        </w:rPr>
      </w:pPr>
      <w:r>
        <w:rPr>
          <w:rFonts w:asciiTheme="majorBidi" w:hAnsiTheme="majorBidi" w:cstheme="majorBidi"/>
        </w:rPr>
        <w:t xml:space="preserve">Unless otherwise instructed by USAID, </w:t>
      </w:r>
      <w:r w:rsidR="00905C9D">
        <w:rPr>
          <w:rFonts w:asciiTheme="majorBidi" w:hAnsiTheme="majorBidi" w:cstheme="majorBidi"/>
        </w:rPr>
        <w:t xml:space="preserve">Counterpart </w:t>
      </w:r>
      <w:r w:rsidR="00905C9D" w:rsidRPr="006F282B">
        <w:rPr>
          <w:rFonts w:asciiTheme="majorBidi" w:hAnsiTheme="majorBidi" w:cstheme="majorBidi"/>
        </w:rPr>
        <w:t>shall submit to USAID 90 days before the end of Phase 1 a Phase 2 program plan (narrative and timeline) proposing activities for a possible Phase 2 continuation and/or scale-up of activities conducted under Phase 1, particularly with regard to Outcomes 1 and 2.</w:t>
      </w:r>
      <w:r>
        <w:rPr>
          <w:rFonts w:asciiTheme="majorBidi" w:hAnsiTheme="majorBidi" w:cstheme="majorBidi"/>
        </w:rPr>
        <w:t xml:space="preserve"> If approved, </w:t>
      </w:r>
      <w:r w:rsidRPr="006F282B">
        <w:rPr>
          <w:rFonts w:asciiTheme="majorBidi" w:hAnsiTheme="majorBidi" w:cstheme="majorBidi"/>
        </w:rPr>
        <w:t>Phase 2 will then begin on the basis of this approved plan and subsequent work plan, to be submitted 30 days before the start of any Phase 2.</w:t>
      </w:r>
    </w:p>
    <w:p w14:paraId="2A266BCD" w14:textId="01EE3B73" w:rsidR="00242BE5" w:rsidRPr="00D0478B" w:rsidRDefault="002A581B" w:rsidP="0017151D">
      <w:pPr>
        <w:pStyle w:val="Heading3"/>
        <w:numPr>
          <w:ilvl w:val="0"/>
          <w:numId w:val="17"/>
        </w:numPr>
      </w:pPr>
      <w:r>
        <w:t xml:space="preserve">   </w:t>
      </w:r>
      <w:bookmarkStart w:id="118" w:name="_Toc453621893"/>
      <w:r w:rsidR="00242BE5" w:rsidRPr="00DD122D">
        <w:t>Quarterly</w:t>
      </w:r>
      <w:r w:rsidR="00242BE5" w:rsidRPr="00D0478B">
        <w:t xml:space="preserve"> Performance Reports</w:t>
      </w:r>
      <w:bookmarkEnd w:id="118"/>
    </w:p>
    <w:p w14:paraId="7A2FB92D" w14:textId="0F1C5D72" w:rsidR="00905C9D" w:rsidRDefault="0003573F" w:rsidP="00C83B2C">
      <w:pPr>
        <w:spacing w:before="120" w:after="120"/>
        <w:jc w:val="both"/>
        <w:rPr>
          <w:rFonts w:asciiTheme="majorBidi" w:hAnsiTheme="majorBidi" w:cstheme="majorBidi"/>
          <w:lang w:eastAsia="en-GB"/>
        </w:rPr>
      </w:pPr>
      <w:r w:rsidRPr="00D0478B">
        <w:rPr>
          <w:rFonts w:asciiTheme="majorBidi" w:hAnsiTheme="majorBidi" w:cstheme="majorBidi"/>
          <w:lang w:eastAsia="en-GB"/>
        </w:rPr>
        <w:t xml:space="preserve">At the heart of the </w:t>
      </w:r>
      <w:r w:rsidR="00D37A43" w:rsidRPr="00931E65">
        <w:rPr>
          <w:rFonts w:asciiTheme="majorBidi" w:hAnsiTheme="majorBidi" w:cstheme="majorBidi"/>
        </w:rPr>
        <w:t>PRG-PA</w:t>
      </w:r>
      <w:r w:rsidRPr="00931E65">
        <w:rPr>
          <w:rFonts w:asciiTheme="majorBidi" w:hAnsiTheme="majorBidi" w:cstheme="majorBidi"/>
          <w:lang w:eastAsia="en-GB"/>
        </w:rPr>
        <w:t xml:space="preserve"> </w:t>
      </w:r>
      <w:r w:rsidRPr="00D0478B">
        <w:rPr>
          <w:rFonts w:asciiTheme="majorBidi" w:hAnsiTheme="majorBidi" w:cstheme="majorBidi"/>
          <w:lang w:eastAsia="en-GB"/>
        </w:rPr>
        <w:t>monitoring and evaluation system will be Quarterly Performance Reports that will track progress against benchmarks and objectives. The reports highlight: (1) outcomes of the project activities; (2) program accomplishments or progress toward results during the reporting period; (3) a comparison of those results to the tasks in the implementation plan and PMP and a discussion of potential  constraints that might prevent Counterpart/</w:t>
      </w:r>
      <w:r w:rsidR="00D37A43" w:rsidRPr="00931E65">
        <w:rPr>
          <w:rFonts w:asciiTheme="majorBidi" w:hAnsiTheme="majorBidi" w:cstheme="majorBidi"/>
        </w:rPr>
        <w:t>PRG-PA</w:t>
      </w:r>
      <w:r w:rsidRPr="00931E65">
        <w:rPr>
          <w:rFonts w:asciiTheme="majorBidi" w:hAnsiTheme="majorBidi" w:cstheme="majorBidi"/>
        </w:rPr>
        <w:t xml:space="preserve"> </w:t>
      </w:r>
      <w:r w:rsidRPr="00931E65">
        <w:rPr>
          <w:rFonts w:asciiTheme="majorBidi" w:hAnsiTheme="majorBidi" w:cstheme="majorBidi"/>
          <w:lang w:eastAsia="en-GB"/>
        </w:rPr>
        <w:t xml:space="preserve"> </w:t>
      </w:r>
      <w:r w:rsidRPr="00D0478B">
        <w:rPr>
          <w:rFonts w:asciiTheme="majorBidi" w:hAnsiTheme="majorBidi" w:cstheme="majorBidi"/>
          <w:lang w:eastAsia="en-GB"/>
        </w:rPr>
        <w:t xml:space="preserve">from meeting targets; (4) progress since the last report; (5) problems encountered and whether/how they were solved or if they are outstanding (i.e. challenges); (6) proposed solutions to new or ongoing problems; (7) success stories; and (8) documentation of best practices.  Quarterly reports also incorporate the final, approved </w:t>
      </w:r>
      <w:r w:rsidR="00D37A43" w:rsidRPr="00931E65">
        <w:rPr>
          <w:rFonts w:asciiTheme="majorBidi" w:hAnsiTheme="majorBidi" w:cstheme="majorBidi"/>
        </w:rPr>
        <w:t>PRG-PA</w:t>
      </w:r>
      <w:r w:rsidRPr="00931E65">
        <w:rPr>
          <w:rFonts w:asciiTheme="majorBidi" w:hAnsiTheme="majorBidi" w:cstheme="majorBidi"/>
        </w:rPr>
        <w:t xml:space="preserve"> </w:t>
      </w:r>
      <w:r w:rsidRPr="00D0478B">
        <w:rPr>
          <w:rFonts w:asciiTheme="majorBidi" w:hAnsiTheme="majorBidi" w:cstheme="majorBidi"/>
          <w:lang w:eastAsia="en-GB"/>
        </w:rPr>
        <w:t xml:space="preserve">Performance Monitoring Plan indicators and targets as a baseline for reporting results, and identify progress made toward the </w:t>
      </w:r>
      <w:r w:rsidR="00D37A43" w:rsidRPr="00931E65">
        <w:rPr>
          <w:rFonts w:asciiTheme="majorBidi" w:hAnsiTheme="majorBidi" w:cstheme="majorBidi"/>
        </w:rPr>
        <w:t>PRG-PA</w:t>
      </w:r>
      <w:r w:rsidRPr="00931E65">
        <w:rPr>
          <w:rFonts w:asciiTheme="majorBidi" w:hAnsiTheme="majorBidi" w:cstheme="majorBidi"/>
          <w:lang w:eastAsia="en-GB"/>
        </w:rPr>
        <w:t xml:space="preserve">’s </w:t>
      </w:r>
      <w:r w:rsidRPr="00D0478B">
        <w:rPr>
          <w:rFonts w:asciiTheme="majorBidi" w:hAnsiTheme="majorBidi" w:cstheme="majorBidi"/>
          <w:lang w:eastAsia="en-GB"/>
        </w:rPr>
        <w:t xml:space="preserve">targets on a quarterly basis.  The quarterly report will be used to compare planned actions and results with actual implementation and results during each reporting period. The reports will be prepared based on regular monitoring by field teams of program implementation with local partners and beneficiaries, and will be finalized by Counterpart’s Headquarters team prior to submission to USAID by the end of the first month of each quarter, for activity in the previous quarter. </w:t>
      </w:r>
      <w:r w:rsidR="00905C9D">
        <w:rPr>
          <w:rFonts w:asciiTheme="majorBidi" w:hAnsiTheme="majorBidi" w:cstheme="majorBidi"/>
          <w:lang w:eastAsia="en-GB"/>
        </w:rPr>
        <w:t xml:space="preserve">Counterpart </w:t>
      </w:r>
      <w:r w:rsidR="00905C9D" w:rsidRPr="006F282B">
        <w:rPr>
          <w:rFonts w:asciiTheme="majorBidi" w:hAnsiTheme="majorBidi" w:cstheme="majorBidi"/>
          <w:lang w:eastAsia="en-GB"/>
        </w:rPr>
        <w:t>shall prepare a Phase 1 final report in lieu of the final quarterly performance report for Phase 1, reporting on performance to date per all indicators established in the performance management plan, summary of activities completed during Phase 1, any challenges encountered during implementation, lessons learned, and opportunities to potentially pursue in a Phase 2 of the project.</w:t>
      </w:r>
    </w:p>
    <w:p w14:paraId="3988B557" w14:textId="4E399FD3" w:rsidR="0003573F" w:rsidRPr="00D0478B" w:rsidRDefault="0003573F" w:rsidP="00C83B2C">
      <w:pPr>
        <w:spacing w:before="120" w:after="120"/>
        <w:jc w:val="both"/>
        <w:rPr>
          <w:rFonts w:asciiTheme="majorBidi" w:hAnsiTheme="majorBidi" w:cstheme="majorBidi"/>
          <w:lang w:eastAsia="en-GB"/>
        </w:rPr>
      </w:pPr>
      <w:r w:rsidRPr="00D0478B">
        <w:rPr>
          <w:rFonts w:asciiTheme="majorBidi" w:hAnsiTheme="majorBidi" w:cstheme="majorBidi"/>
          <w:lang w:eastAsia="en-GB"/>
        </w:rPr>
        <w:t>All programmatic reporting will be housed in Counterpart’s Knowledge Management Portal, and will be accessible to Counterpart and USAID/</w:t>
      </w:r>
      <w:r w:rsidR="00D37A43" w:rsidRPr="00931E65">
        <w:rPr>
          <w:rFonts w:asciiTheme="majorBidi" w:hAnsiTheme="majorBidi" w:cstheme="majorBidi"/>
        </w:rPr>
        <w:t>Niger</w:t>
      </w:r>
      <w:r w:rsidRPr="00931E65">
        <w:rPr>
          <w:rFonts w:asciiTheme="majorBidi" w:hAnsiTheme="majorBidi" w:cstheme="majorBidi"/>
          <w:lang w:eastAsia="en-GB"/>
        </w:rPr>
        <w:t>,</w:t>
      </w:r>
      <w:r w:rsidRPr="00D0478B">
        <w:rPr>
          <w:rFonts w:asciiTheme="majorBidi" w:hAnsiTheme="majorBidi" w:cstheme="majorBidi"/>
          <w:lang w:eastAsia="en-GB"/>
        </w:rPr>
        <w:t xml:space="preserve"> who will all have real-time access to qualitative and quantitative data demonstrating program implementation progress.</w:t>
      </w:r>
    </w:p>
    <w:p w14:paraId="4CA1AE56" w14:textId="1315578E" w:rsidR="0003573F" w:rsidRPr="00D0478B" w:rsidRDefault="0003573F" w:rsidP="0017151D">
      <w:pPr>
        <w:pStyle w:val="Heading3"/>
        <w:numPr>
          <w:ilvl w:val="0"/>
          <w:numId w:val="17"/>
        </w:numPr>
        <w:rPr>
          <w:lang w:eastAsia="en-GB"/>
        </w:rPr>
      </w:pPr>
      <w:bookmarkStart w:id="119" w:name="_Toc453621894"/>
      <w:r w:rsidRPr="00D0478B">
        <w:rPr>
          <w:lang w:eastAsia="en-GB"/>
        </w:rPr>
        <w:t xml:space="preserve">Quarterly </w:t>
      </w:r>
      <w:r w:rsidRPr="00D0478B">
        <w:t>Financial</w:t>
      </w:r>
      <w:r w:rsidRPr="00D0478B">
        <w:rPr>
          <w:lang w:eastAsia="en-GB"/>
        </w:rPr>
        <w:t xml:space="preserve"> Reports</w:t>
      </w:r>
      <w:bookmarkEnd w:id="119"/>
    </w:p>
    <w:p w14:paraId="1E836DF4" w14:textId="43DEC3FC" w:rsidR="0003573F" w:rsidRPr="00D0478B" w:rsidRDefault="0003573F" w:rsidP="0003573F">
      <w:pPr>
        <w:jc w:val="both"/>
        <w:rPr>
          <w:rFonts w:asciiTheme="majorBidi" w:hAnsiTheme="majorBidi" w:cstheme="majorBidi"/>
          <w:lang w:eastAsia="en-GB"/>
        </w:rPr>
      </w:pPr>
      <w:r w:rsidRPr="00D0478B">
        <w:rPr>
          <w:rFonts w:asciiTheme="majorBidi" w:hAnsiTheme="majorBidi" w:cstheme="majorBidi"/>
          <w:lang w:eastAsia="en-GB"/>
        </w:rPr>
        <w:t xml:space="preserve">Counterpart also prepares quarterly financial reports for USAID, which are submitted within 30 days of the completion of each quarter. The Finance and Administration Department in Counterpart's headquarters office supports the field-based finance staff, backstopping the field staff as they monitor the grant program and all expenditures to ensure compliance with USAID regulations. The HQ Finance and Administration Department also provides pipeline reports to the Counterpart </w:t>
      </w:r>
      <w:r w:rsidR="00D37A43" w:rsidRPr="00931E65">
        <w:rPr>
          <w:rFonts w:asciiTheme="majorBidi" w:hAnsiTheme="majorBidi" w:cstheme="majorBidi"/>
          <w:lang w:eastAsia="en-GB"/>
        </w:rPr>
        <w:t>Niger</w:t>
      </w:r>
      <w:r w:rsidRPr="00931E65">
        <w:rPr>
          <w:rFonts w:asciiTheme="majorBidi" w:hAnsiTheme="majorBidi" w:cstheme="majorBidi"/>
          <w:lang w:eastAsia="en-GB"/>
        </w:rPr>
        <w:t xml:space="preserve"> </w:t>
      </w:r>
      <w:r w:rsidRPr="00D0478B">
        <w:rPr>
          <w:rFonts w:asciiTheme="majorBidi" w:hAnsiTheme="majorBidi" w:cstheme="majorBidi"/>
          <w:lang w:eastAsia="en-GB"/>
        </w:rPr>
        <w:t>office on a monthly basis.</w:t>
      </w:r>
    </w:p>
    <w:p w14:paraId="331DDCAB" w14:textId="20245DB7" w:rsidR="0003573F" w:rsidRPr="00D0478B" w:rsidRDefault="0003573F" w:rsidP="0017151D">
      <w:pPr>
        <w:pStyle w:val="Heading3"/>
        <w:numPr>
          <w:ilvl w:val="0"/>
          <w:numId w:val="17"/>
        </w:numPr>
        <w:rPr>
          <w:lang w:eastAsia="en-GB"/>
        </w:rPr>
      </w:pPr>
      <w:bookmarkStart w:id="120" w:name="_Toc453621895"/>
      <w:r w:rsidRPr="00D0478B">
        <w:rPr>
          <w:lang w:eastAsia="en-GB"/>
        </w:rPr>
        <w:t>End-of-</w:t>
      </w:r>
      <w:r w:rsidRPr="00DD122D">
        <w:t>Project</w:t>
      </w:r>
      <w:r w:rsidRPr="00D0478B">
        <w:rPr>
          <w:lang w:eastAsia="en-GB"/>
        </w:rPr>
        <w:t xml:space="preserve"> Report</w:t>
      </w:r>
      <w:bookmarkEnd w:id="120"/>
    </w:p>
    <w:p w14:paraId="7E41D415" w14:textId="2E025C8E" w:rsidR="00242BE5" w:rsidRPr="00D0478B" w:rsidRDefault="0003573F" w:rsidP="006F282B">
      <w:pPr>
        <w:jc w:val="both"/>
        <w:rPr>
          <w:rFonts w:asciiTheme="majorBidi" w:hAnsiTheme="majorBidi" w:cstheme="majorBidi"/>
        </w:rPr>
      </w:pPr>
      <w:r w:rsidRPr="00D0478B">
        <w:rPr>
          <w:rFonts w:asciiTheme="majorBidi" w:hAnsiTheme="majorBidi" w:cstheme="majorBidi"/>
          <w:lang w:eastAsia="en-GB"/>
        </w:rPr>
        <w:t>Counterpart will prepare a final report on the program within 90 days of the close of the project.  The final report, among other things, will: (1) contain an overall description of the activities under the program during the period of the agreement, and the significance of the activities; (2) describe the methods of assistance used and the pros and cons of these methods; (3) present life of project results toward achieving the project objectives and the performance indicators, as well as an analysis of how the indicators illustrate the project’s impact on the accomplishment of the program’s  overall objectives; (4) summarize the program’s accomplishments, as well as any unmet targets and the reasons for them including leveraging; and (5) discuss the issues and problems that emerged during program implementation and the lessons learned in dealing with them (i.e. challenges, Lessons Learned).</w:t>
      </w:r>
    </w:p>
    <w:p w14:paraId="3E721BF8" w14:textId="2BA57AC5" w:rsidR="0003573F" w:rsidRPr="00D0478B" w:rsidRDefault="0003573F" w:rsidP="0017151D">
      <w:pPr>
        <w:pStyle w:val="Heading3"/>
        <w:numPr>
          <w:ilvl w:val="0"/>
          <w:numId w:val="17"/>
        </w:numPr>
      </w:pPr>
      <w:bookmarkStart w:id="121" w:name="_Toc453621896"/>
      <w:r w:rsidRPr="00D0478B">
        <w:rPr>
          <w:lang w:eastAsia="en-GB"/>
        </w:rPr>
        <w:t>Lessons</w:t>
      </w:r>
      <w:r w:rsidRPr="00D0478B">
        <w:t xml:space="preserve"> </w:t>
      </w:r>
      <w:r w:rsidRPr="00DD122D">
        <w:t>Learned</w:t>
      </w:r>
      <w:r w:rsidRPr="00D0478B">
        <w:t xml:space="preserve"> Documentation</w:t>
      </w:r>
      <w:bookmarkEnd w:id="121"/>
    </w:p>
    <w:p w14:paraId="3AA7DA20" w14:textId="77777777" w:rsidR="0003573F" w:rsidRPr="00D0478B" w:rsidRDefault="0003573F" w:rsidP="0003573F">
      <w:pPr>
        <w:spacing w:after="120"/>
        <w:jc w:val="both"/>
        <w:rPr>
          <w:rFonts w:asciiTheme="majorBidi" w:hAnsiTheme="majorBidi" w:cstheme="majorBidi"/>
        </w:rPr>
      </w:pPr>
      <w:r w:rsidRPr="00D0478B">
        <w:rPr>
          <w:rFonts w:asciiTheme="majorBidi" w:hAnsiTheme="majorBidi" w:cstheme="majorBidi"/>
        </w:rPr>
        <w:t xml:space="preserve">Counterpart will organize annual meetings of </w:t>
      </w:r>
      <w:r w:rsidR="00D37A43" w:rsidRPr="00931E65">
        <w:rPr>
          <w:rFonts w:asciiTheme="majorBidi" w:hAnsiTheme="majorBidi" w:cstheme="majorBidi"/>
        </w:rPr>
        <w:t>PRG-PA</w:t>
      </w:r>
      <w:r w:rsidRPr="00931E65">
        <w:rPr>
          <w:rFonts w:asciiTheme="majorBidi" w:hAnsiTheme="majorBidi" w:cstheme="majorBidi"/>
        </w:rPr>
        <w:t xml:space="preserve"> </w:t>
      </w:r>
      <w:r w:rsidRPr="00D0478B">
        <w:rPr>
          <w:rFonts w:asciiTheme="majorBidi" w:hAnsiTheme="majorBidi" w:cstheme="majorBidi"/>
        </w:rPr>
        <w:t xml:space="preserve">staff and partners to take stock of program activities and develop work plans for the following year. Integral to this planning will be the identification and articulation of lessons learned and best practices in program implementation during the course of the previous years.  This will involve review of information entered into the KM Portal, grantee files, internal and external evaluations as well as IP implementation experience.  The lessons learned and best practices will serve as the basis for developing the following year’s work plan.  </w:t>
      </w:r>
    </w:p>
    <w:p w14:paraId="3CDB02C2" w14:textId="77777777" w:rsidR="00842724" w:rsidRDefault="0003573F" w:rsidP="00842724">
      <w:pPr>
        <w:spacing w:after="120"/>
        <w:jc w:val="both"/>
        <w:rPr>
          <w:rFonts w:asciiTheme="majorBidi" w:hAnsiTheme="majorBidi" w:cstheme="majorBidi"/>
        </w:rPr>
      </w:pPr>
      <w:r w:rsidRPr="00D0478B">
        <w:rPr>
          <w:rFonts w:asciiTheme="majorBidi" w:hAnsiTheme="majorBidi" w:cstheme="majorBidi"/>
        </w:rPr>
        <w:t>Best practices will also be gleaned from evaluations, reports to USAID, and internal monitoring guidelines.</w:t>
      </w:r>
    </w:p>
    <w:p w14:paraId="63DA25BB" w14:textId="0DC73B0F" w:rsidR="0003573F" w:rsidRPr="00842724" w:rsidRDefault="0003573F" w:rsidP="0017151D">
      <w:pPr>
        <w:pStyle w:val="Heading2"/>
        <w:numPr>
          <w:ilvl w:val="1"/>
          <w:numId w:val="19"/>
        </w:numPr>
        <w:rPr>
          <w:rFonts w:asciiTheme="majorBidi" w:hAnsiTheme="majorBidi"/>
        </w:rPr>
      </w:pPr>
      <w:bookmarkStart w:id="122" w:name="_Toc453621897"/>
      <w:r w:rsidRPr="00D0478B">
        <w:t>Evaluation</w:t>
      </w:r>
      <w:r w:rsidR="002A581B">
        <w:t>s</w:t>
      </w:r>
      <w:bookmarkEnd w:id="122"/>
    </w:p>
    <w:p w14:paraId="42E6703E" w14:textId="39075E32" w:rsidR="0003573F" w:rsidRPr="00D0478B" w:rsidRDefault="0003573F" w:rsidP="0003573F">
      <w:pPr>
        <w:tabs>
          <w:tab w:val="num" w:pos="720"/>
        </w:tabs>
        <w:spacing w:after="120"/>
        <w:jc w:val="both"/>
        <w:rPr>
          <w:rFonts w:asciiTheme="majorBidi" w:hAnsiTheme="majorBidi" w:cstheme="majorBidi"/>
          <w:spacing w:val="-4"/>
        </w:rPr>
      </w:pPr>
      <w:r w:rsidRPr="00D0478B">
        <w:rPr>
          <w:rFonts w:asciiTheme="majorBidi" w:hAnsiTheme="majorBidi" w:cstheme="majorBidi"/>
          <w:spacing w:val="-4"/>
        </w:rPr>
        <w:t xml:space="preserve">Counterpart’s evaluation methodology </w:t>
      </w:r>
      <w:r w:rsidRPr="00931E65">
        <w:rPr>
          <w:rFonts w:asciiTheme="majorBidi" w:hAnsiTheme="majorBidi" w:cstheme="majorBidi"/>
          <w:spacing w:val="-4"/>
        </w:rPr>
        <w:t xml:space="preserve">for </w:t>
      </w:r>
      <w:r w:rsidR="00D37A43" w:rsidRPr="00931E65">
        <w:rPr>
          <w:rFonts w:asciiTheme="majorBidi" w:hAnsiTheme="majorBidi" w:cstheme="majorBidi"/>
        </w:rPr>
        <w:t>PRG-PA</w:t>
      </w:r>
      <w:r w:rsidRPr="00931E65">
        <w:rPr>
          <w:rFonts w:asciiTheme="majorBidi" w:hAnsiTheme="majorBidi" w:cstheme="majorBidi"/>
          <w:spacing w:val="-4"/>
        </w:rPr>
        <w:t xml:space="preserve"> </w:t>
      </w:r>
      <w:r w:rsidRPr="00D0478B">
        <w:rPr>
          <w:rFonts w:asciiTheme="majorBidi" w:hAnsiTheme="majorBidi" w:cstheme="majorBidi"/>
          <w:spacing w:val="-4"/>
        </w:rPr>
        <w:t>comprises of a three wave evaluation process that includes a baseline assessment</w:t>
      </w:r>
      <w:r w:rsidR="00EE2BD2">
        <w:rPr>
          <w:rFonts w:asciiTheme="majorBidi" w:hAnsiTheme="majorBidi" w:cstheme="majorBidi"/>
          <w:spacing w:val="-4"/>
        </w:rPr>
        <w:t xml:space="preserve"> </w:t>
      </w:r>
      <w:r w:rsidRPr="00D0478B">
        <w:rPr>
          <w:rFonts w:asciiTheme="majorBidi" w:hAnsiTheme="majorBidi" w:cstheme="majorBidi"/>
          <w:spacing w:val="-4"/>
        </w:rPr>
        <w:t xml:space="preserve">and final evaluation.  These are described below. </w:t>
      </w:r>
    </w:p>
    <w:p w14:paraId="1D6CD749" w14:textId="609EE461" w:rsidR="0003573F" w:rsidRDefault="0003573F" w:rsidP="0003573F">
      <w:pPr>
        <w:rPr>
          <w:rFonts w:asciiTheme="majorBidi" w:hAnsiTheme="majorBidi" w:cstheme="majorBidi"/>
        </w:rPr>
      </w:pPr>
    </w:p>
    <w:p w14:paraId="4AAC3E1F" w14:textId="4CD7FFC8" w:rsidR="002A581B" w:rsidRDefault="002A581B" w:rsidP="0003573F">
      <w:pPr>
        <w:rPr>
          <w:rFonts w:asciiTheme="majorBidi" w:hAnsiTheme="majorBidi" w:cstheme="majorBidi"/>
        </w:rPr>
      </w:pPr>
    </w:p>
    <w:p w14:paraId="16E2379D" w14:textId="77777777" w:rsidR="00842724" w:rsidRDefault="00842724" w:rsidP="0003573F">
      <w:pPr>
        <w:rPr>
          <w:rFonts w:asciiTheme="majorBidi" w:hAnsiTheme="majorBidi" w:cstheme="majorBidi"/>
        </w:rPr>
        <w:sectPr w:rsidR="00842724" w:rsidSect="000128B7">
          <w:footerReference w:type="default" r:id="rId13"/>
          <w:pgSz w:w="12240" w:h="15840"/>
          <w:pgMar w:top="1440" w:right="1440" w:bottom="1440" w:left="1440" w:header="720" w:footer="720" w:gutter="0"/>
          <w:pgNumType w:start="1"/>
          <w:cols w:space="720"/>
          <w:docGrid w:linePitch="360"/>
        </w:sectPr>
      </w:pPr>
    </w:p>
    <w:p w14:paraId="52A7C8D3" w14:textId="11169B36" w:rsidR="000128B7" w:rsidRDefault="000128B7" w:rsidP="000128B7">
      <w:pPr>
        <w:pStyle w:val="Heading1"/>
      </w:pPr>
      <w:bookmarkStart w:id="123" w:name="_Toc453621898"/>
      <w:r>
        <w:t>Annex A Performance Indicator Tracking Table</w:t>
      </w:r>
      <w:bookmarkEnd w:id="123"/>
    </w:p>
    <w:tbl>
      <w:tblPr>
        <w:tblpPr w:leftFromText="180" w:rightFromText="180" w:vertAnchor="text" w:tblpY="1"/>
        <w:tblOverlap w:val="never"/>
        <w:tblW w:w="14480" w:type="dxa"/>
        <w:tblCellMar>
          <w:left w:w="115" w:type="dxa"/>
          <w:right w:w="115" w:type="dxa"/>
        </w:tblCellMar>
        <w:tblLook w:val="04A0" w:firstRow="1" w:lastRow="0" w:firstColumn="1" w:lastColumn="0" w:noHBand="0" w:noVBand="1"/>
      </w:tblPr>
      <w:tblGrid>
        <w:gridCol w:w="551"/>
        <w:gridCol w:w="3268"/>
        <w:gridCol w:w="1605"/>
        <w:gridCol w:w="1602"/>
        <w:gridCol w:w="1690"/>
        <w:gridCol w:w="1033"/>
        <w:gridCol w:w="862"/>
        <w:gridCol w:w="673"/>
        <w:gridCol w:w="672"/>
        <w:gridCol w:w="672"/>
        <w:gridCol w:w="672"/>
        <w:gridCol w:w="671"/>
        <w:gridCol w:w="608"/>
      </w:tblGrid>
      <w:tr w:rsidR="00842724" w:rsidRPr="00842724" w14:paraId="564FED42" w14:textId="77777777" w:rsidTr="00B91F87">
        <w:trPr>
          <w:trHeight w:val="480"/>
        </w:trPr>
        <w:tc>
          <w:tcPr>
            <w:tcW w:w="14480" w:type="dxa"/>
            <w:gridSpan w:val="13"/>
            <w:tcBorders>
              <w:top w:val="single" w:sz="8" w:space="0" w:color="auto"/>
              <w:left w:val="single" w:sz="8" w:space="0" w:color="auto"/>
              <w:bottom w:val="nil"/>
              <w:right w:val="single" w:sz="4" w:space="0" w:color="auto"/>
            </w:tcBorders>
            <w:shd w:val="clear" w:color="auto" w:fill="auto"/>
            <w:noWrap/>
            <w:vAlign w:val="center"/>
            <w:hideMark/>
          </w:tcPr>
          <w:p w14:paraId="36B19939" w14:textId="77777777" w:rsidR="00842724" w:rsidRPr="00842724" w:rsidRDefault="00842724" w:rsidP="00B91F87">
            <w:pPr>
              <w:jc w:val="center"/>
              <w:rPr>
                <w:rFonts w:ascii="Arial" w:eastAsia="Times New Roman" w:hAnsi="Arial" w:cs="Arial"/>
                <w:b/>
                <w:bCs/>
                <w:sz w:val="36"/>
                <w:szCs w:val="36"/>
              </w:rPr>
            </w:pPr>
            <w:r w:rsidRPr="00842724">
              <w:rPr>
                <w:rFonts w:ascii="Arial" w:eastAsia="Times New Roman" w:hAnsi="Arial" w:cs="Arial"/>
                <w:b/>
                <w:bCs/>
                <w:sz w:val="36"/>
                <w:szCs w:val="36"/>
              </w:rPr>
              <w:t>Participatory and Responsive Governance -- Principal Activity</w:t>
            </w:r>
          </w:p>
        </w:tc>
      </w:tr>
      <w:tr w:rsidR="00BF216F" w:rsidRPr="00842724" w14:paraId="39B3C13E" w14:textId="77777777" w:rsidTr="00B91F87">
        <w:trPr>
          <w:trHeight w:val="375"/>
        </w:trPr>
        <w:tc>
          <w:tcPr>
            <w:tcW w:w="0" w:type="auto"/>
            <w:gridSpan w:val="2"/>
            <w:tcBorders>
              <w:top w:val="single" w:sz="8" w:space="0" w:color="auto"/>
              <w:left w:val="single" w:sz="8" w:space="0" w:color="auto"/>
              <w:bottom w:val="single" w:sz="8" w:space="0" w:color="auto"/>
              <w:right w:val="nil"/>
            </w:tcBorders>
            <w:shd w:val="clear" w:color="000000" w:fill="000000"/>
            <w:noWrap/>
            <w:vAlign w:val="center"/>
            <w:hideMark/>
          </w:tcPr>
          <w:p w14:paraId="534DD6BD" w14:textId="11A1A70F" w:rsidR="00BF216F" w:rsidRPr="00842724" w:rsidRDefault="00BF216F" w:rsidP="00B91F87">
            <w:pPr>
              <w:jc w:val="center"/>
              <w:rPr>
                <w:rFonts w:ascii="Arial" w:eastAsia="Times New Roman" w:hAnsi="Arial" w:cs="Arial"/>
                <w:b/>
                <w:bCs/>
                <w:color w:val="FFFFFF"/>
                <w:sz w:val="28"/>
                <w:szCs w:val="28"/>
              </w:rPr>
            </w:pPr>
            <w:r>
              <w:rPr>
                <w:rFonts w:ascii="Arial" w:eastAsia="Times New Roman" w:hAnsi="Arial" w:cs="Arial"/>
                <w:b/>
                <w:bCs/>
                <w:color w:val="FFFFFF"/>
                <w:sz w:val="28"/>
                <w:szCs w:val="28"/>
              </w:rPr>
              <w:t>Annex 1</w:t>
            </w:r>
          </w:p>
        </w:tc>
        <w:tc>
          <w:tcPr>
            <w:tcW w:w="0" w:type="auto"/>
            <w:tcBorders>
              <w:top w:val="single" w:sz="8" w:space="0" w:color="auto"/>
              <w:left w:val="nil"/>
              <w:bottom w:val="nil"/>
              <w:right w:val="nil"/>
            </w:tcBorders>
            <w:shd w:val="clear" w:color="000000" w:fill="000000"/>
            <w:noWrap/>
            <w:vAlign w:val="center"/>
            <w:hideMark/>
          </w:tcPr>
          <w:p w14:paraId="6C3401B9" w14:textId="25AF283F" w:rsidR="00BF216F" w:rsidRPr="00842724" w:rsidRDefault="00BF216F" w:rsidP="00B91F87">
            <w:pPr>
              <w:jc w:val="center"/>
              <w:rPr>
                <w:rFonts w:ascii="Arial" w:eastAsia="Times New Roman" w:hAnsi="Arial" w:cs="Arial"/>
                <w:color w:val="FFFFFF"/>
                <w:sz w:val="28"/>
                <w:szCs w:val="28"/>
              </w:rPr>
            </w:pPr>
          </w:p>
        </w:tc>
        <w:tc>
          <w:tcPr>
            <w:tcW w:w="9151" w:type="dxa"/>
            <w:gridSpan w:val="10"/>
            <w:tcBorders>
              <w:top w:val="single" w:sz="8" w:space="0" w:color="auto"/>
              <w:left w:val="nil"/>
              <w:bottom w:val="nil"/>
            </w:tcBorders>
            <w:shd w:val="clear" w:color="000000" w:fill="000000"/>
            <w:noWrap/>
            <w:vAlign w:val="center"/>
            <w:hideMark/>
          </w:tcPr>
          <w:p w14:paraId="365D708E" w14:textId="66A78FA7" w:rsidR="00BF216F" w:rsidRPr="00BF216F" w:rsidRDefault="00BF216F" w:rsidP="00B91F87">
            <w:pPr>
              <w:jc w:val="center"/>
              <w:rPr>
                <w:rFonts w:ascii="Arial" w:eastAsia="Times New Roman" w:hAnsi="Arial" w:cs="Arial"/>
                <w:b/>
                <w:bCs/>
                <w:color w:val="FFFFFF"/>
                <w:sz w:val="28"/>
                <w:szCs w:val="28"/>
              </w:rPr>
            </w:pPr>
            <w:r w:rsidRPr="00842724">
              <w:rPr>
                <w:rFonts w:ascii="Arial" w:eastAsia="Times New Roman" w:hAnsi="Arial" w:cs="Arial"/>
                <w:b/>
                <w:bCs/>
                <w:color w:val="FFFFFF"/>
                <w:sz w:val="28"/>
                <w:szCs w:val="28"/>
              </w:rPr>
              <w:t>Performance Indicator Tracking Table</w:t>
            </w:r>
          </w:p>
        </w:tc>
      </w:tr>
      <w:tr w:rsidR="00842724" w:rsidRPr="00842724" w14:paraId="3B8B1C13" w14:textId="77777777" w:rsidTr="00B91F87">
        <w:trPr>
          <w:trHeight w:val="300"/>
        </w:trPr>
        <w:tc>
          <w:tcPr>
            <w:tcW w:w="14480" w:type="dxa"/>
            <w:gridSpan w:val="13"/>
            <w:vMerge w:val="restart"/>
            <w:tcBorders>
              <w:top w:val="single" w:sz="8" w:space="0" w:color="auto"/>
              <w:left w:val="single" w:sz="8" w:space="0" w:color="auto"/>
              <w:bottom w:val="single" w:sz="8" w:space="0" w:color="000000"/>
              <w:right w:val="single" w:sz="4" w:space="0" w:color="auto"/>
            </w:tcBorders>
            <w:shd w:val="clear" w:color="000000" w:fill="C0C0C0"/>
            <w:vAlign w:val="center"/>
            <w:hideMark/>
          </w:tcPr>
          <w:p w14:paraId="40093034" w14:textId="77777777" w:rsidR="00842724" w:rsidRPr="00842724" w:rsidRDefault="00842724" w:rsidP="00B91F87">
            <w:pPr>
              <w:jc w:val="center"/>
              <w:rPr>
                <w:rFonts w:ascii="Arial" w:eastAsia="Times New Roman" w:hAnsi="Arial" w:cs="Arial"/>
                <w:b/>
                <w:bCs/>
              </w:rPr>
            </w:pPr>
            <w:r w:rsidRPr="00842724">
              <w:rPr>
                <w:rFonts w:ascii="Arial" w:eastAsia="Times New Roman" w:hAnsi="Arial" w:cs="Arial"/>
                <w:b/>
                <w:bCs/>
              </w:rPr>
              <w:t>Program Goal: Improved collective (government and citizen) responsiveness to public needs</w:t>
            </w:r>
          </w:p>
        </w:tc>
      </w:tr>
      <w:tr w:rsidR="00842724" w:rsidRPr="00842724" w14:paraId="19CF6BFC" w14:textId="77777777" w:rsidTr="00B91F87">
        <w:trPr>
          <w:trHeight w:val="300"/>
        </w:trPr>
        <w:tc>
          <w:tcPr>
            <w:tcW w:w="14480" w:type="dxa"/>
            <w:gridSpan w:val="13"/>
            <w:vMerge/>
            <w:tcBorders>
              <w:top w:val="single" w:sz="8" w:space="0" w:color="auto"/>
              <w:left w:val="single" w:sz="8" w:space="0" w:color="auto"/>
              <w:bottom w:val="single" w:sz="8" w:space="0" w:color="000000"/>
              <w:right w:val="single" w:sz="4" w:space="0" w:color="auto"/>
            </w:tcBorders>
            <w:vAlign w:val="center"/>
            <w:hideMark/>
          </w:tcPr>
          <w:p w14:paraId="62C0CEEE" w14:textId="77777777" w:rsidR="00842724" w:rsidRPr="00842724" w:rsidRDefault="00842724" w:rsidP="00B91F87">
            <w:pPr>
              <w:jc w:val="center"/>
              <w:rPr>
                <w:rFonts w:ascii="Arial" w:eastAsia="Times New Roman" w:hAnsi="Arial" w:cs="Arial"/>
                <w:b/>
                <w:bCs/>
              </w:rPr>
            </w:pPr>
          </w:p>
        </w:tc>
      </w:tr>
      <w:tr w:rsidR="00842724" w:rsidRPr="00842724" w14:paraId="38A9EA87" w14:textId="77777777" w:rsidTr="00B91F87">
        <w:trPr>
          <w:trHeight w:val="276"/>
        </w:trPr>
        <w:tc>
          <w:tcPr>
            <w:tcW w:w="14480" w:type="dxa"/>
            <w:gridSpan w:val="13"/>
            <w:vMerge/>
            <w:tcBorders>
              <w:top w:val="single" w:sz="8" w:space="0" w:color="auto"/>
              <w:left w:val="single" w:sz="8" w:space="0" w:color="auto"/>
              <w:bottom w:val="single" w:sz="8" w:space="0" w:color="000000"/>
              <w:right w:val="single" w:sz="4" w:space="0" w:color="auto"/>
            </w:tcBorders>
            <w:vAlign w:val="center"/>
            <w:hideMark/>
          </w:tcPr>
          <w:p w14:paraId="456E6F20" w14:textId="77777777" w:rsidR="00842724" w:rsidRPr="00842724" w:rsidRDefault="00842724" w:rsidP="00B91F87">
            <w:pPr>
              <w:jc w:val="center"/>
              <w:rPr>
                <w:rFonts w:ascii="Arial" w:eastAsia="Times New Roman" w:hAnsi="Arial" w:cs="Arial"/>
                <w:b/>
                <w:bCs/>
              </w:rPr>
            </w:pPr>
          </w:p>
        </w:tc>
      </w:tr>
      <w:tr w:rsidR="00842724" w:rsidRPr="00842724" w14:paraId="343EC836" w14:textId="77777777" w:rsidTr="00B91F87">
        <w:trPr>
          <w:trHeight w:val="315"/>
        </w:trPr>
        <w:tc>
          <w:tcPr>
            <w:tcW w:w="0" w:type="auto"/>
            <w:tcBorders>
              <w:top w:val="nil"/>
              <w:left w:val="single" w:sz="8" w:space="0" w:color="auto"/>
              <w:bottom w:val="single" w:sz="8" w:space="0" w:color="auto"/>
              <w:right w:val="single" w:sz="8" w:space="0" w:color="auto"/>
            </w:tcBorders>
            <w:shd w:val="clear" w:color="000000" w:fill="C0C0C0"/>
            <w:vAlign w:val="center"/>
            <w:hideMark/>
          </w:tcPr>
          <w:p w14:paraId="699716F4" w14:textId="4BA7C2B1" w:rsidR="00842724" w:rsidRPr="00842724" w:rsidRDefault="00842724" w:rsidP="00B91F87">
            <w:pPr>
              <w:rPr>
                <w:rFonts w:ascii="Arial" w:eastAsia="Times New Roman" w:hAnsi="Arial" w:cs="Arial"/>
                <w:b/>
                <w:bCs/>
                <w:sz w:val="20"/>
                <w:szCs w:val="20"/>
              </w:rPr>
            </w:pPr>
          </w:p>
        </w:tc>
        <w:tc>
          <w:tcPr>
            <w:tcW w:w="13929" w:type="dxa"/>
            <w:gridSpan w:val="12"/>
            <w:tcBorders>
              <w:top w:val="single" w:sz="8" w:space="0" w:color="auto"/>
              <w:left w:val="nil"/>
              <w:bottom w:val="single" w:sz="8" w:space="0" w:color="auto"/>
              <w:right w:val="single" w:sz="4" w:space="0" w:color="auto"/>
            </w:tcBorders>
            <w:shd w:val="clear" w:color="000000" w:fill="C0C0C0"/>
            <w:vAlign w:val="center"/>
            <w:hideMark/>
          </w:tcPr>
          <w:p w14:paraId="64588DA4" w14:textId="77777777" w:rsidR="00842724" w:rsidRPr="00842724" w:rsidRDefault="00842724" w:rsidP="00B91F87">
            <w:pPr>
              <w:rPr>
                <w:rFonts w:ascii="Arial" w:eastAsia="Times New Roman" w:hAnsi="Arial" w:cs="Arial"/>
                <w:b/>
                <w:bCs/>
                <w:sz w:val="20"/>
                <w:szCs w:val="20"/>
              </w:rPr>
            </w:pPr>
            <w:r w:rsidRPr="00842724">
              <w:rPr>
                <w:rFonts w:ascii="Arial" w:eastAsia="Times New Roman" w:hAnsi="Arial" w:cs="Arial"/>
                <w:b/>
                <w:bCs/>
                <w:sz w:val="20"/>
                <w:szCs w:val="20"/>
              </w:rPr>
              <w:t>Cross-cutting</w:t>
            </w:r>
          </w:p>
        </w:tc>
      </w:tr>
      <w:tr w:rsidR="00BF216F" w:rsidRPr="00842724" w14:paraId="7F7341CE" w14:textId="77777777" w:rsidTr="00B91F87">
        <w:trPr>
          <w:trHeight w:val="480"/>
        </w:trPr>
        <w:tc>
          <w:tcPr>
            <w:tcW w:w="0" w:type="auto"/>
            <w:tcBorders>
              <w:top w:val="nil"/>
              <w:left w:val="single" w:sz="8" w:space="0" w:color="auto"/>
              <w:bottom w:val="nil"/>
              <w:right w:val="single" w:sz="4" w:space="0" w:color="auto"/>
            </w:tcBorders>
            <w:shd w:val="clear" w:color="000000" w:fill="C0C0C0"/>
            <w:vAlign w:val="center"/>
            <w:hideMark/>
          </w:tcPr>
          <w:p w14:paraId="67938E37"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Ind.</w:t>
            </w:r>
          </w:p>
        </w:tc>
        <w:tc>
          <w:tcPr>
            <w:tcW w:w="0" w:type="auto"/>
            <w:tcBorders>
              <w:top w:val="nil"/>
              <w:left w:val="nil"/>
              <w:bottom w:val="nil"/>
              <w:right w:val="single" w:sz="4" w:space="0" w:color="auto"/>
            </w:tcBorders>
            <w:shd w:val="clear" w:color="000000" w:fill="C0C0C0"/>
            <w:vAlign w:val="center"/>
            <w:hideMark/>
          </w:tcPr>
          <w:p w14:paraId="22C3C294"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Indicators</w:t>
            </w:r>
          </w:p>
        </w:tc>
        <w:tc>
          <w:tcPr>
            <w:tcW w:w="0" w:type="auto"/>
            <w:tcBorders>
              <w:top w:val="nil"/>
              <w:left w:val="nil"/>
              <w:bottom w:val="nil"/>
              <w:right w:val="single" w:sz="4" w:space="0" w:color="auto"/>
            </w:tcBorders>
            <w:shd w:val="clear" w:color="000000" w:fill="C0C0C0"/>
            <w:vAlign w:val="center"/>
            <w:hideMark/>
          </w:tcPr>
          <w:p w14:paraId="4B0C5F23"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Data Source</w:t>
            </w:r>
          </w:p>
        </w:tc>
        <w:tc>
          <w:tcPr>
            <w:tcW w:w="0" w:type="auto"/>
            <w:tcBorders>
              <w:top w:val="nil"/>
              <w:left w:val="nil"/>
              <w:bottom w:val="nil"/>
              <w:right w:val="single" w:sz="4" w:space="0" w:color="auto"/>
            </w:tcBorders>
            <w:shd w:val="clear" w:color="000000" w:fill="C0C0C0"/>
            <w:vAlign w:val="center"/>
            <w:hideMark/>
          </w:tcPr>
          <w:p w14:paraId="34AAA479"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Method and frequency of data collection; frequency of reporting</w:t>
            </w:r>
          </w:p>
        </w:tc>
        <w:tc>
          <w:tcPr>
            <w:tcW w:w="0" w:type="auto"/>
            <w:tcBorders>
              <w:top w:val="nil"/>
              <w:left w:val="nil"/>
              <w:bottom w:val="nil"/>
              <w:right w:val="single" w:sz="4" w:space="0" w:color="auto"/>
            </w:tcBorders>
            <w:shd w:val="clear" w:color="000000" w:fill="C0C0C0"/>
            <w:vAlign w:val="center"/>
            <w:hideMark/>
          </w:tcPr>
          <w:p w14:paraId="117478DF"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Disaggregation</w:t>
            </w:r>
          </w:p>
        </w:tc>
        <w:tc>
          <w:tcPr>
            <w:tcW w:w="0" w:type="auto"/>
            <w:tcBorders>
              <w:top w:val="nil"/>
              <w:left w:val="nil"/>
              <w:bottom w:val="nil"/>
              <w:right w:val="single" w:sz="4" w:space="0" w:color="auto"/>
            </w:tcBorders>
            <w:shd w:val="clear" w:color="000000" w:fill="C0C0C0"/>
            <w:vAlign w:val="center"/>
            <w:hideMark/>
          </w:tcPr>
          <w:p w14:paraId="3C4DBE5B"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Baseline</w:t>
            </w:r>
          </w:p>
        </w:tc>
        <w:tc>
          <w:tcPr>
            <w:tcW w:w="0" w:type="auto"/>
            <w:tcBorders>
              <w:top w:val="nil"/>
              <w:left w:val="nil"/>
              <w:bottom w:val="nil"/>
              <w:right w:val="single" w:sz="4" w:space="0" w:color="auto"/>
            </w:tcBorders>
            <w:shd w:val="clear" w:color="000000" w:fill="C0C0C0"/>
            <w:vAlign w:val="center"/>
            <w:hideMark/>
          </w:tcPr>
          <w:p w14:paraId="0D8C7D82" w14:textId="7DE4E54D" w:rsidR="00842724" w:rsidRPr="00842724" w:rsidRDefault="00842724" w:rsidP="00B91F87">
            <w:pPr>
              <w:rPr>
                <w:rFonts w:ascii="Arial" w:eastAsia="Times New Roman" w:hAnsi="Arial" w:cs="Arial"/>
                <w:b/>
                <w:bCs/>
                <w:sz w:val="18"/>
                <w:szCs w:val="18"/>
              </w:rPr>
            </w:pPr>
          </w:p>
        </w:tc>
        <w:tc>
          <w:tcPr>
            <w:tcW w:w="0" w:type="auto"/>
            <w:tcBorders>
              <w:top w:val="nil"/>
              <w:left w:val="single" w:sz="4" w:space="0" w:color="auto"/>
              <w:bottom w:val="nil"/>
              <w:right w:val="single" w:sz="4" w:space="0" w:color="auto"/>
            </w:tcBorders>
            <w:shd w:val="clear" w:color="000000" w:fill="FFFFFF"/>
            <w:vAlign w:val="center"/>
            <w:hideMark/>
          </w:tcPr>
          <w:p w14:paraId="61B78C89"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Year 1</w:t>
            </w:r>
          </w:p>
        </w:tc>
        <w:tc>
          <w:tcPr>
            <w:tcW w:w="0" w:type="auto"/>
            <w:tcBorders>
              <w:top w:val="nil"/>
              <w:left w:val="nil"/>
              <w:bottom w:val="nil"/>
              <w:right w:val="single" w:sz="4" w:space="0" w:color="auto"/>
            </w:tcBorders>
            <w:shd w:val="clear" w:color="000000" w:fill="F2F2F2"/>
            <w:vAlign w:val="center"/>
            <w:hideMark/>
          </w:tcPr>
          <w:p w14:paraId="59975955"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Year 2</w:t>
            </w:r>
          </w:p>
        </w:tc>
        <w:tc>
          <w:tcPr>
            <w:tcW w:w="0" w:type="auto"/>
            <w:tcBorders>
              <w:top w:val="nil"/>
              <w:left w:val="nil"/>
              <w:bottom w:val="nil"/>
              <w:right w:val="single" w:sz="4" w:space="0" w:color="auto"/>
            </w:tcBorders>
            <w:shd w:val="clear" w:color="000000" w:fill="FFFFFF"/>
            <w:vAlign w:val="center"/>
            <w:hideMark/>
          </w:tcPr>
          <w:p w14:paraId="1E4AEB7F"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Year 3</w:t>
            </w:r>
          </w:p>
        </w:tc>
        <w:tc>
          <w:tcPr>
            <w:tcW w:w="0" w:type="auto"/>
            <w:tcBorders>
              <w:top w:val="nil"/>
              <w:left w:val="nil"/>
              <w:bottom w:val="nil"/>
              <w:right w:val="single" w:sz="4" w:space="0" w:color="auto"/>
            </w:tcBorders>
            <w:shd w:val="clear" w:color="000000" w:fill="F2F2F2"/>
            <w:vAlign w:val="center"/>
            <w:hideMark/>
          </w:tcPr>
          <w:p w14:paraId="3B3923E7"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Year 4</w:t>
            </w:r>
          </w:p>
        </w:tc>
        <w:tc>
          <w:tcPr>
            <w:tcW w:w="0" w:type="auto"/>
            <w:tcBorders>
              <w:top w:val="nil"/>
              <w:left w:val="nil"/>
              <w:bottom w:val="nil"/>
              <w:right w:val="single" w:sz="4" w:space="0" w:color="auto"/>
            </w:tcBorders>
            <w:shd w:val="clear" w:color="000000" w:fill="FFFFFF"/>
            <w:vAlign w:val="center"/>
            <w:hideMark/>
          </w:tcPr>
          <w:p w14:paraId="1A233AAC"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Year 5</w:t>
            </w:r>
          </w:p>
        </w:tc>
        <w:tc>
          <w:tcPr>
            <w:tcW w:w="654" w:type="dxa"/>
            <w:tcBorders>
              <w:top w:val="nil"/>
              <w:left w:val="nil"/>
              <w:bottom w:val="nil"/>
              <w:right w:val="single" w:sz="4" w:space="0" w:color="auto"/>
            </w:tcBorders>
            <w:shd w:val="clear" w:color="000000" w:fill="F2F2F2"/>
            <w:vAlign w:val="center"/>
            <w:hideMark/>
          </w:tcPr>
          <w:p w14:paraId="548EA596"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LOP</w:t>
            </w:r>
          </w:p>
        </w:tc>
      </w:tr>
      <w:tr w:rsidR="00842724" w:rsidRPr="00842724" w14:paraId="26034CD4" w14:textId="77777777" w:rsidTr="00B91F87">
        <w:trPr>
          <w:trHeight w:val="300"/>
        </w:trPr>
        <w:tc>
          <w:tcPr>
            <w:tcW w:w="14480" w:type="dxa"/>
            <w:gridSpan w:val="13"/>
            <w:tcBorders>
              <w:top w:val="single" w:sz="4" w:space="0" w:color="auto"/>
              <w:left w:val="single" w:sz="8" w:space="0" w:color="auto"/>
              <w:bottom w:val="single" w:sz="4" w:space="0" w:color="auto"/>
              <w:right w:val="single" w:sz="4" w:space="0" w:color="auto"/>
            </w:tcBorders>
            <w:shd w:val="clear" w:color="000000" w:fill="F79646"/>
            <w:noWrap/>
            <w:vAlign w:val="center"/>
            <w:hideMark/>
          </w:tcPr>
          <w:p w14:paraId="03B085A2" w14:textId="77777777" w:rsidR="00842724" w:rsidRPr="00842724" w:rsidRDefault="00842724" w:rsidP="00B91F87">
            <w:pPr>
              <w:rPr>
                <w:rFonts w:ascii="Arial" w:eastAsia="Times New Roman" w:hAnsi="Arial" w:cs="Arial"/>
                <w:b/>
                <w:bCs/>
                <w:sz w:val="18"/>
                <w:szCs w:val="18"/>
              </w:rPr>
            </w:pPr>
            <w:r w:rsidRPr="00842724">
              <w:rPr>
                <w:rFonts w:ascii="Arial" w:eastAsia="Times New Roman" w:hAnsi="Arial" w:cs="Arial"/>
                <w:b/>
                <w:bCs/>
                <w:sz w:val="18"/>
                <w:szCs w:val="18"/>
              </w:rPr>
              <w:t>Output Indicators</w:t>
            </w:r>
          </w:p>
        </w:tc>
      </w:tr>
      <w:tr w:rsidR="00BF216F" w:rsidRPr="00842724" w14:paraId="224479D8" w14:textId="77777777" w:rsidTr="00B91F87">
        <w:trPr>
          <w:trHeight w:val="675"/>
        </w:trPr>
        <w:tc>
          <w:tcPr>
            <w:tcW w:w="0" w:type="auto"/>
            <w:vMerge w:val="restart"/>
            <w:tcBorders>
              <w:top w:val="nil"/>
              <w:left w:val="single" w:sz="8" w:space="0" w:color="auto"/>
              <w:bottom w:val="nil"/>
              <w:right w:val="single" w:sz="4" w:space="0" w:color="auto"/>
            </w:tcBorders>
            <w:shd w:val="clear" w:color="auto" w:fill="auto"/>
            <w:vAlign w:val="center"/>
            <w:hideMark/>
          </w:tcPr>
          <w:p w14:paraId="67A72499" w14:textId="77777777" w:rsidR="00842724" w:rsidRPr="00842724" w:rsidRDefault="00842724" w:rsidP="00B91F87">
            <w:pPr>
              <w:rPr>
                <w:rFonts w:ascii="Arial" w:eastAsia="Times New Roman" w:hAnsi="Arial" w:cs="Arial"/>
                <w:color w:val="000000"/>
                <w:sz w:val="16"/>
                <w:szCs w:val="16"/>
              </w:rPr>
            </w:pPr>
            <w:r w:rsidRPr="00842724">
              <w:rPr>
                <w:rFonts w:ascii="Arial" w:eastAsia="Times New Roman" w:hAnsi="Arial" w:cs="Arial"/>
                <w:color w:val="000000"/>
                <w:sz w:val="16"/>
                <w:szCs w:val="16"/>
              </w:rPr>
              <w:t>CC1</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233FBA5" w14:textId="77777777" w:rsidR="00842724" w:rsidRPr="00842724" w:rsidRDefault="00842724" w:rsidP="00B91F87">
            <w:pPr>
              <w:rPr>
                <w:rFonts w:ascii="Arial" w:eastAsia="Times New Roman" w:hAnsi="Arial" w:cs="Arial"/>
                <w:color w:val="000000"/>
                <w:sz w:val="16"/>
                <w:szCs w:val="16"/>
              </w:rPr>
            </w:pPr>
            <w:r w:rsidRPr="00842724">
              <w:rPr>
                <w:rFonts w:ascii="Arial" w:eastAsia="Times New Roman" w:hAnsi="Arial" w:cs="Arial"/>
                <w:color w:val="000000"/>
                <w:sz w:val="16"/>
                <w:szCs w:val="16"/>
              </w:rPr>
              <w:t># of people trained (Outcomes 1, 2, 3)</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F49984B"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Counterpart</w:t>
            </w:r>
          </w:p>
        </w:tc>
        <w:tc>
          <w:tcPr>
            <w:tcW w:w="0" w:type="auto"/>
            <w:tcBorders>
              <w:top w:val="nil"/>
              <w:left w:val="nil"/>
              <w:bottom w:val="single" w:sz="4" w:space="0" w:color="auto"/>
              <w:right w:val="single" w:sz="4" w:space="0" w:color="auto"/>
            </w:tcBorders>
            <w:shd w:val="clear" w:color="auto" w:fill="auto"/>
            <w:vAlign w:val="center"/>
            <w:hideMark/>
          </w:tcPr>
          <w:p w14:paraId="75646DA7"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Method: KM Portal, sign-in sheets, training curriculum, event agendas, invitation letters, and activity reports.</w:t>
            </w:r>
          </w:p>
        </w:tc>
        <w:tc>
          <w:tcPr>
            <w:tcW w:w="0" w:type="auto"/>
            <w:vMerge w:val="restart"/>
            <w:tcBorders>
              <w:top w:val="nil"/>
              <w:left w:val="single" w:sz="4" w:space="0" w:color="auto"/>
              <w:bottom w:val="nil"/>
              <w:right w:val="single" w:sz="4" w:space="0" w:color="auto"/>
            </w:tcBorders>
            <w:shd w:val="clear" w:color="auto" w:fill="auto"/>
            <w:vAlign w:val="center"/>
            <w:hideMark/>
          </w:tcPr>
          <w:p w14:paraId="28CF9BFA"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Sex; Youth: binary; Sector; Third-level administrative division; Training topic/subject; Training format</w:t>
            </w:r>
          </w:p>
        </w:tc>
        <w:tc>
          <w:tcPr>
            <w:tcW w:w="0" w:type="auto"/>
            <w:vMerge w:val="restart"/>
            <w:tcBorders>
              <w:top w:val="nil"/>
              <w:left w:val="single" w:sz="4" w:space="0" w:color="auto"/>
              <w:bottom w:val="nil"/>
              <w:right w:val="single" w:sz="4" w:space="0" w:color="auto"/>
            </w:tcBorders>
            <w:shd w:val="clear" w:color="auto" w:fill="auto"/>
            <w:vAlign w:val="center"/>
            <w:hideMark/>
          </w:tcPr>
          <w:p w14:paraId="3F9F867C" w14:textId="77777777" w:rsidR="00842724" w:rsidRPr="00842724" w:rsidRDefault="00842724" w:rsidP="00B91F87">
            <w:pPr>
              <w:rPr>
                <w:rFonts w:ascii="Arial" w:eastAsia="Times New Roman" w:hAnsi="Arial" w:cs="Arial"/>
                <w:color w:val="000000"/>
                <w:sz w:val="16"/>
                <w:szCs w:val="16"/>
              </w:rPr>
            </w:pPr>
            <w:r w:rsidRPr="00842724">
              <w:rPr>
                <w:rFonts w:ascii="Arial" w:eastAsia="Times New Roman"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65F71385"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2B4B24D"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50</w:t>
            </w:r>
          </w:p>
        </w:tc>
        <w:tc>
          <w:tcPr>
            <w:tcW w:w="0" w:type="auto"/>
            <w:tcBorders>
              <w:top w:val="nil"/>
              <w:left w:val="nil"/>
              <w:bottom w:val="single" w:sz="4" w:space="0" w:color="auto"/>
              <w:right w:val="single" w:sz="4" w:space="0" w:color="auto"/>
            </w:tcBorders>
            <w:shd w:val="clear" w:color="000000" w:fill="F2F2F2"/>
            <w:vAlign w:val="center"/>
            <w:hideMark/>
          </w:tcPr>
          <w:p w14:paraId="79291DC5"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170</w:t>
            </w:r>
          </w:p>
        </w:tc>
        <w:tc>
          <w:tcPr>
            <w:tcW w:w="0" w:type="auto"/>
            <w:tcBorders>
              <w:top w:val="nil"/>
              <w:left w:val="nil"/>
              <w:bottom w:val="single" w:sz="4" w:space="0" w:color="auto"/>
              <w:right w:val="single" w:sz="4" w:space="0" w:color="auto"/>
            </w:tcBorders>
            <w:shd w:val="clear" w:color="auto" w:fill="auto"/>
            <w:vAlign w:val="center"/>
            <w:hideMark/>
          </w:tcPr>
          <w:p w14:paraId="3967FAB0"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100</w:t>
            </w:r>
          </w:p>
        </w:tc>
        <w:tc>
          <w:tcPr>
            <w:tcW w:w="0" w:type="auto"/>
            <w:tcBorders>
              <w:top w:val="nil"/>
              <w:left w:val="nil"/>
              <w:bottom w:val="single" w:sz="4" w:space="0" w:color="auto"/>
              <w:right w:val="single" w:sz="4" w:space="0" w:color="auto"/>
            </w:tcBorders>
            <w:shd w:val="clear" w:color="000000" w:fill="F2F2F2"/>
            <w:vAlign w:val="center"/>
            <w:hideMark/>
          </w:tcPr>
          <w:p w14:paraId="65090FF8"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70</w:t>
            </w:r>
          </w:p>
        </w:tc>
        <w:tc>
          <w:tcPr>
            <w:tcW w:w="0" w:type="auto"/>
            <w:tcBorders>
              <w:top w:val="nil"/>
              <w:left w:val="nil"/>
              <w:bottom w:val="single" w:sz="4" w:space="0" w:color="auto"/>
              <w:right w:val="single" w:sz="4" w:space="0" w:color="auto"/>
            </w:tcBorders>
            <w:shd w:val="clear" w:color="auto" w:fill="auto"/>
            <w:vAlign w:val="center"/>
            <w:hideMark/>
          </w:tcPr>
          <w:p w14:paraId="27B69BB9"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50</w:t>
            </w:r>
          </w:p>
        </w:tc>
        <w:tc>
          <w:tcPr>
            <w:tcW w:w="654" w:type="dxa"/>
            <w:tcBorders>
              <w:top w:val="nil"/>
              <w:left w:val="nil"/>
              <w:bottom w:val="single" w:sz="4" w:space="0" w:color="auto"/>
              <w:right w:val="single" w:sz="4" w:space="0" w:color="auto"/>
            </w:tcBorders>
            <w:shd w:val="clear" w:color="000000" w:fill="F2F2F2"/>
            <w:vAlign w:val="center"/>
            <w:hideMark/>
          </w:tcPr>
          <w:p w14:paraId="2380E100"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440</w:t>
            </w:r>
          </w:p>
        </w:tc>
      </w:tr>
      <w:tr w:rsidR="00BF216F" w:rsidRPr="00842724" w14:paraId="0C9CE198" w14:textId="77777777" w:rsidTr="00B91F87">
        <w:trPr>
          <w:trHeight w:val="300"/>
        </w:trPr>
        <w:tc>
          <w:tcPr>
            <w:tcW w:w="0" w:type="auto"/>
            <w:vMerge/>
            <w:tcBorders>
              <w:top w:val="nil"/>
              <w:left w:val="single" w:sz="8" w:space="0" w:color="auto"/>
              <w:bottom w:val="nil"/>
              <w:right w:val="single" w:sz="4" w:space="0" w:color="auto"/>
            </w:tcBorders>
            <w:vAlign w:val="center"/>
            <w:hideMark/>
          </w:tcPr>
          <w:p w14:paraId="380319D4"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6A02A2FE"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0233E755"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C3E616D"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nil"/>
              <w:left w:val="single" w:sz="4" w:space="0" w:color="auto"/>
              <w:bottom w:val="nil"/>
              <w:right w:val="single" w:sz="4" w:space="0" w:color="auto"/>
            </w:tcBorders>
            <w:vAlign w:val="center"/>
            <w:hideMark/>
          </w:tcPr>
          <w:p w14:paraId="202C5942" w14:textId="77777777" w:rsidR="00842724" w:rsidRPr="00842724" w:rsidRDefault="00842724" w:rsidP="00B91F87">
            <w:pP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60690E78" w14:textId="77777777" w:rsidR="00842724" w:rsidRPr="00842724" w:rsidRDefault="00842724" w:rsidP="00B91F87">
            <w:pP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95CF519"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E33A250" w14:textId="513DB57B"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DE6B5EC" w14:textId="476808EC"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6DDF6EC" w14:textId="7D2B2C62"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C56B3EB" w14:textId="7C52A5F5"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54125B2" w14:textId="09B599AC" w:rsidR="00842724" w:rsidRPr="00842724" w:rsidRDefault="00842724" w:rsidP="00B91F87">
            <w:pP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0F500A03" w14:textId="16D52418" w:rsidR="00842724" w:rsidRPr="00842724" w:rsidRDefault="00842724" w:rsidP="00B91F87">
            <w:pPr>
              <w:rPr>
                <w:rFonts w:ascii="Arial" w:eastAsia="Times New Roman" w:hAnsi="Arial" w:cs="Arial"/>
                <w:b/>
                <w:bCs/>
                <w:sz w:val="16"/>
                <w:szCs w:val="16"/>
              </w:rPr>
            </w:pPr>
          </w:p>
        </w:tc>
      </w:tr>
      <w:tr w:rsidR="00BF216F" w:rsidRPr="00842724" w14:paraId="0D711CFD" w14:textId="77777777" w:rsidTr="00B91F87">
        <w:trPr>
          <w:trHeight w:val="450"/>
        </w:trPr>
        <w:tc>
          <w:tcPr>
            <w:tcW w:w="0" w:type="auto"/>
            <w:vMerge/>
            <w:tcBorders>
              <w:top w:val="nil"/>
              <w:left w:val="single" w:sz="8" w:space="0" w:color="auto"/>
              <w:bottom w:val="nil"/>
              <w:right w:val="single" w:sz="4" w:space="0" w:color="auto"/>
            </w:tcBorders>
            <w:vAlign w:val="center"/>
            <w:hideMark/>
          </w:tcPr>
          <w:p w14:paraId="79874926"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560E3B34"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7B02123A"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9824132" w14:textId="09D66093"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nil"/>
              <w:left w:val="single" w:sz="4" w:space="0" w:color="auto"/>
              <w:bottom w:val="nil"/>
              <w:right w:val="single" w:sz="4" w:space="0" w:color="auto"/>
            </w:tcBorders>
            <w:vAlign w:val="center"/>
            <w:hideMark/>
          </w:tcPr>
          <w:p w14:paraId="350BD409" w14:textId="77777777" w:rsidR="00842724" w:rsidRPr="00842724" w:rsidRDefault="00842724" w:rsidP="00B91F87">
            <w:pP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21D231F1" w14:textId="77777777" w:rsidR="00842724" w:rsidRPr="00842724" w:rsidRDefault="00842724" w:rsidP="00B91F87">
            <w:pP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7D2A7C5"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77AF368" w14:textId="00438F32"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2D89129" w14:textId="3AD90F96"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9458419" w14:textId="3437BD98"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AE98162" w14:textId="597138C0"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B155F53" w14:textId="679AF0FE" w:rsidR="00842724" w:rsidRPr="00842724" w:rsidRDefault="00842724" w:rsidP="00B91F87">
            <w:pP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4DF6BB02" w14:textId="3E1C38E9" w:rsidR="00842724" w:rsidRPr="00842724" w:rsidRDefault="00842724" w:rsidP="00B91F87">
            <w:pPr>
              <w:rPr>
                <w:rFonts w:ascii="Arial" w:eastAsia="Times New Roman" w:hAnsi="Arial" w:cs="Arial"/>
                <w:b/>
                <w:bCs/>
                <w:sz w:val="16"/>
                <w:szCs w:val="16"/>
              </w:rPr>
            </w:pPr>
          </w:p>
        </w:tc>
      </w:tr>
      <w:tr w:rsidR="00BF216F" w:rsidRPr="00842724" w14:paraId="6FE217A9" w14:textId="77777777" w:rsidTr="00B91F87">
        <w:trPr>
          <w:trHeight w:val="675"/>
        </w:trPr>
        <w:tc>
          <w:tcPr>
            <w:tcW w:w="0" w:type="auto"/>
            <w:vMerge w:val="restart"/>
            <w:tcBorders>
              <w:top w:val="single" w:sz="4" w:space="0" w:color="auto"/>
              <w:left w:val="single" w:sz="8" w:space="0" w:color="auto"/>
              <w:bottom w:val="nil"/>
              <w:right w:val="single" w:sz="4" w:space="0" w:color="auto"/>
            </w:tcBorders>
            <w:shd w:val="clear" w:color="auto" w:fill="auto"/>
            <w:vAlign w:val="center"/>
            <w:hideMark/>
          </w:tcPr>
          <w:p w14:paraId="4771C08B" w14:textId="77777777" w:rsidR="00842724" w:rsidRPr="00842724" w:rsidRDefault="00842724" w:rsidP="00B91F87">
            <w:pPr>
              <w:rPr>
                <w:rFonts w:ascii="Arial" w:eastAsia="Times New Roman" w:hAnsi="Arial" w:cs="Arial"/>
                <w:color w:val="000000"/>
                <w:sz w:val="16"/>
                <w:szCs w:val="16"/>
              </w:rPr>
            </w:pPr>
            <w:r w:rsidRPr="00842724">
              <w:rPr>
                <w:rFonts w:ascii="Arial" w:eastAsia="Times New Roman" w:hAnsi="Arial" w:cs="Arial"/>
                <w:color w:val="000000"/>
                <w:sz w:val="16"/>
                <w:szCs w:val="16"/>
              </w:rPr>
              <w:t>CC2</w:t>
            </w:r>
          </w:p>
        </w:tc>
        <w:tc>
          <w:tcPr>
            <w:tcW w:w="0" w:type="auto"/>
            <w:vMerge w:val="restart"/>
            <w:tcBorders>
              <w:top w:val="nil"/>
              <w:left w:val="single" w:sz="4" w:space="0" w:color="auto"/>
              <w:bottom w:val="nil"/>
              <w:right w:val="single" w:sz="4" w:space="0" w:color="auto"/>
            </w:tcBorders>
            <w:shd w:val="clear" w:color="auto" w:fill="auto"/>
            <w:vAlign w:val="center"/>
            <w:hideMark/>
          </w:tcPr>
          <w:p w14:paraId="71F47BE5"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 of CSOs/Social Organizations/Government Agencies/Media Outlets assisted (Outcomes 1, 2, 3)</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B41F381"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Counterpart</w:t>
            </w:r>
          </w:p>
        </w:tc>
        <w:tc>
          <w:tcPr>
            <w:tcW w:w="0" w:type="auto"/>
            <w:tcBorders>
              <w:top w:val="nil"/>
              <w:left w:val="nil"/>
              <w:bottom w:val="single" w:sz="4" w:space="0" w:color="auto"/>
              <w:right w:val="single" w:sz="4" w:space="0" w:color="auto"/>
            </w:tcBorders>
            <w:shd w:val="clear" w:color="auto" w:fill="auto"/>
            <w:vAlign w:val="center"/>
            <w:hideMark/>
          </w:tcPr>
          <w:p w14:paraId="3C278AAF" w14:textId="5BC0070D"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Method: KM Portal, sign-in sheets, training curriculum, event agendas, invitation letters, and activity reports.</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540027DA"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Sector; Third-level administrative division; New/Continuing; Leader sex</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2505AC97" w14:textId="77777777" w:rsidR="00842724" w:rsidRPr="00842724" w:rsidRDefault="00842724" w:rsidP="00B91F87">
            <w:pPr>
              <w:rPr>
                <w:rFonts w:ascii="Arial" w:eastAsia="Times New Roman" w:hAnsi="Arial" w:cs="Arial"/>
                <w:color w:val="000000"/>
                <w:sz w:val="16"/>
                <w:szCs w:val="16"/>
              </w:rPr>
            </w:pPr>
            <w:r w:rsidRPr="00842724">
              <w:rPr>
                <w:rFonts w:ascii="Arial" w:eastAsia="Times New Roman"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65BAE0E3"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D5261F8"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6C854A72"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10</w:t>
            </w:r>
          </w:p>
        </w:tc>
        <w:tc>
          <w:tcPr>
            <w:tcW w:w="0" w:type="auto"/>
            <w:tcBorders>
              <w:top w:val="nil"/>
              <w:left w:val="nil"/>
              <w:bottom w:val="single" w:sz="4" w:space="0" w:color="auto"/>
              <w:right w:val="single" w:sz="4" w:space="0" w:color="auto"/>
            </w:tcBorders>
            <w:shd w:val="clear" w:color="auto" w:fill="auto"/>
            <w:vAlign w:val="center"/>
            <w:hideMark/>
          </w:tcPr>
          <w:p w14:paraId="5085F212"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3DA483B7"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10</w:t>
            </w:r>
          </w:p>
        </w:tc>
        <w:tc>
          <w:tcPr>
            <w:tcW w:w="0" w:type="auto"/>
            <w:tcBorders>
              <w:top w:val="nil"/>
              <w:left w:val="nil"/>
              <w:bottom w:val="single" w:sz="4" w:space="0" w:color="auto"/>
              <w:right w:val="single" w:sz="4" w:space="0" w:color="auto"/>
            </w:tcBorders>
            <w:shd w:val="clear" w:color="auto" w:fill="auto"/>
            <w:vAlign w:val="center"/>
            <w:hideMark/>
          </w:tcPr>
          <w:p w14:paraId="6B5DE1E3"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0</w:t>
            </w:r>
          </w:p>
        </w:tc>
        <w:tc>
          <w:tcPr>
            <w:tcW w:w="654" w:type="dxa"/>
            <w:tcBorders>
              <w:top w:val="nil"/>
              <w:left w:val="nil"/>
              <w:bottom w:val="single" w:sz="4" w:space="0" w:color="auto"/>
              <w:right w:val="single" w:sz="4" w:space="0" w:color="auto"/>
            </w:tcBorders>
            <w:shd w:val="clear" w:color="000000" w:fill="F2F2F2"/>
            <w:vAlign w:val="center"/>
            <w:hideMark/>
          </w:tcPr>
          <w:p w14:paraId="0BAFBC93"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20</w:t>
            </w:r>
          </w:p>
        </w:tc>
      </w:tr>
      <w:tr w:rsidR="00BF216F" w:rsidRPr="00842724" w14:paraId="3F61559F" w14:textId="77777777" w:rsidTr="00B91F87">
        <w:trPr>
          <w:trHeight w:val="300"/>
        </w:trPr>
        <w:tc>
          <w:tcPr>
            <w:tcW w:w="0" w:type="auto"/>
            <w:vMerge/>
            <w:tcBorders>
              <w:top w:val="single" w:sz="4" w:space="0" w:color="auto"/>
              <w:left w:val="single" w:sz="8" w:space="0" w:color="auto"/>
              <w:bottom w:val="nil"/>
              <w:right w:val="single" w:sz="4" w:space="0" w:color="auto"/>
            </w:tcBorders>
            <w:vAlign w:val="center"/>
            <w:hideMark/>
          </w:tcPr>
          <w:p w14:paraId="4FB29A71"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nil"/>
              <w:left w:val="single" w:sz="4" w:space="0" w:color="auto"/>
              <w:bottom w:val="nil"/>
              <w:right w:val="single" w:sz="4" w:space="0" w:color="auto"/>
            </w:tcBorders>
            <w:vAlign w:val="center"/>
            <w:hideMark/>
          </w:tcPr>
          <w:p w14:paraId="11DBB832" w14:textId="77777777" w:rsidR="00842724" w:rsidRPr="00842724" w:rsidRDefault="00842724" w:rsidP="00B91F87">
            <w:pP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35361328"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689B9D3"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single" w:sz="4" w:space="0" w:color="auto"/>
              <w:left w:val="single" w:sz="4" w:space="0" w:color="auto"/>
              <w:bottom w:val="nil"/>
              <w:right w:val="single" w:sz="4" w:space="0" w:color="auto"/>
            </w:tcBorders>
            <w:vAlign w:val="center"/>
            <w:hideMark/>
          </w:tcPr>
          <w:p w14:paraId="1CAABAC2"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5CCB558E" w14:textId="77777777" w:rsidR="00842724" w:rsidRPr="00842724" w:rsidRDefault="00842724" w:rsidP="00B91F87">
            <w:pP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F9E0173"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BAA82F3" w14:textId="70DB77B4"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76E8CF5" w14:textId="2E8C2981"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7223D0A" w14:textId="5221101B"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78C7EA7" w14:textId="5973B845"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3E3943A" w14:textId="47710E73" w:rsidR="00842724" w:rsidRPr="00842724" w:rsidRDefault="00842724" w:rsidP="00B91F87">
            <w:pP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6CBA3A74" w14:textId="57443462" w:rsidR="00842724" w:rsidRPr="00842724" w:rsidRDefault="00842724" w:rsidP="00B91F87">
            <w:pPr>
              <w:rPr>
                <w:rFonts w:ascii="Arial" w:eastAsia="Times New Roman" w:hAnsi="Arial" w:cs="Arial"/>
                <w:b/>
                <w:bCs/>
                <w:sz w:val="16"/>
                <w:szCs w:val="16"/>
              </w:rPr>
            </w:pPr>
          </w:p>
        </w:tc>
      </w:tr>
      <w:tr w:rsidR="00BF216F" w:rsidRPr="00842724" w14:paraId="1F84E940" w14:textId="77777777" w:rsidTr="00B91F87">
        <w:trPr>
          <w:trHeight w:val="450"/>
        </w:trPr>
        <w:tc>
          <w:tcPr>
            <w:tcW w:w="0" w:type="auto"/>
            <w:vMerge/>
            <w:tcBorders>
              <w:top w:val="single" w:sz="4" w:space="0" w:color="auto"/>
              <w:left w:val="single" w:sz="8" w:space="0" w:color="auto"/>
              <w:bottom w:val="single" w:sz="4" w:space="0" w:color="auto"/>
              <w:right w:val="single" w:sz="4" w:space="0" w:color="auto"/>
            </w:tcBorders>
            <w:vAlign w:val="center"/>
            <w:hideMark/>
          </w:tcPr>
          <w:p w14:paraId="141E9ABE"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752326AA" w14:textId="77777777" w:rsidR="00842724" w:rsidRPr="00842724" w:rsidRDefault="00842724" w:rsidP="00B91F87">
            <w:pP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08F3813"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1671587" w14:textId="6E9A6EF0"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1DA13"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07D276" w14:textId="77777777" w:rsidR="00842724" w:rsidRPr="00842724" w:rsidRDefault="00842724" w:rsidP="00B91F87">
            <w:pP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B21BE41"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88C7EBB" w14:textId="359ED723"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0E6B1D6" w14:textId="29B02D90"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D4139C8" w14:textId="66D0AA9A"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A527BBC" w14:textId="6E2DC61C"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961991E" w14:textId="6D161D26" w:rsidR="00842724" w:rsidRPr="00842724" w:rsidRDefault="00842724" w:rsidP="00B91F87">
            <w:pP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03BC1C1" w14:textId="04693A1D" w:rsidR="00842724" w:rsidRPr="00842724" w:rsidRDefault="00842724" w:rsidP="00B91F87">
            <w:pPr>
              <w:rPr>
                <w:rFonts w:ascii="Arial" w:eastAsia="Times New Roman" w:hAnsi="Arial" w:cs="Arial"/>
                <w:b/>
                <w:bCs/>
                <w:sz w:val="16"/>
                <w:szCs w:val="16"/>
              </w:rPr>
            </w:pPr>
          </w:p>
        </w:tc>
      </w:tr>
      <w:tr w:rsidR="00BF216F" w:rsidRPr="00842724" w14:paraId="56887884" w14:textId="77777777" w:rsidTr="00B91F87">
        <w:trPr>
          <w:trHeight w:val="900"/>
        </w:trPr>
        <w:tc>
          <w:tcPr>
            <w:tcW w:w="0" w:type="auto"/>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48F4F173" w14:textId="77777777" w:rsidR="00842724" w:rsidRPr="00842724" w:rsidRDefault="00842724" w:rsidP="00B91F87">
            <w:pPr>
              <w:rPr>
                <w:rFonts w:ascii="Arial" w:eastAsia="Times New Roman" w:hAnsi="Arial" w:cs="Arial"/>
                <w:color w:val="000000"/>
                <w:sz w:val="16"/>
                <w:szCs w:val="16"/>
              </w:rPr>
            </w:pPr>
            <w:r w:rsidRPr="00842724">
              <w:rPr>
                <w:rFonts w:ascii="Arial" w:eastAsia="Times New Roman" w:hAnsi="Arial" w:cs="Arial"/>
                <w:color w:val="000000"/>
                <w:sz w:val="16"/>
                <w:szCs w:val="16"/>
              </w:rPr>
              <w:t>CC3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DFA144"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(F Indicator) # of civil society organizations (CSOs) receiving USG assistance engaged in advocacy interventions (Outcomes 1, 2, 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3A9B66"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Partners/grantees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686EE6"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Method: KM Portal, advocacy plans or strategies, implementation plans, recording of press conference, copy of testimony or press release, advocacy campaign materials, etc.</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73350A"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Third-level administrative division; New/Continuing; Leader sex; Advocacy topic</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C67F0C"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104D4F7"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6AC6E5"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085D1DC1"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4B316D"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5</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1AB42B45"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ECB589"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0</w:t>
            </w:r>
          </w:p>
        </w:tc>
        <w:tc>
          <w:tcPr>
            <w:tcW w:w="654" w:type="dxa"/>
            <w:tcBorders>
              <w:top w:val="single" w:sz="4" w:space="0" w:color="auto"/>
              <w:left w:val="nil"/>
              <w:bottom w:val="single" w:sz="4" w:space="0" w:color="auto"/>
              <w:right w:val="single" w:sz="4" w:space="0" w:color="auto"/>
            </w:tcBorders>
            <w:shd w:val="clear" w:color="000000" w:fill="F2F2F2"/>
            <w:vAlign w:val="center"/>
            <w:hideMark/>
          </w:tcPr>
          <w:p w14:paraId="6FFCF679"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20</w:t>
            </w:r>
          </w:p>
        </w:tc>
      </w:tr>
      <w:tr w:rsidR="00BF216F" w:rsidRPr="00842724" w14:paraId="49304AFA" w14:textId="77777777" w:rsidTr="00B91F87">
        <w:trPr>
          <w:trHeight w:val="300"/>
        </w:trPr>
        <w:tc>
          <w:tcPr>
            <w:tcW w:w="0" w:type="auto"/>
            <w:vMerge/>
            <w:tcBorders>
              <w:top w:val="single" w:sz="4" w:space="0" w:color="auto"/>
              <w:left w:val="single" w:sz="8" w:space="0" w:color="auto"/>
              <w:bottom w:val="single" w:sz="4" w:space="0" w:color="auto"/>
              <w:right w:val="single" w:sz="4" w:space="0" w:color="auto"/>
            </w:tcBorders>
            <w:vAlign w:val="center"/>
            <w:hideMark/>
          </w:tcPr>
          <w:p w14:paraId="4C8443D5"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2B2118"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A1399C" w14:textId="77777777" w:rsidR="00842724" w:rsidRPr="00842724" w:rsidRDefault="00842724" w:rsidP="00B91F87">
            <w:pP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2BEFBD"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8E5DF"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B78F68" w14:textId="77777777" w:rsidR="00842724" w:rsidRPr="00842724" w:rsidRDefault="00842724" w:rsidP="00B91F87">
            <w:pP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0548C5"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4C58C0E" w14:textId="53E70F06" w:rsidR="00842724" w:rsidRPr="00842724" w:rsidRDefault="00842724" w:rsidP="00B91F87">
            <w:pP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499AAA6F" w14:textId="623844A0" w:rsidR="00842724" w:rsidRPr="00842724" w:rsidRDefault="00842724" w:rsidP="00B91F87">
            <w:pP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894AC0" w14:textId="23AD9A19" w:rsidR="00842724" w:rsidRPr="00842724" w:rsidRDefault="00842724" w:rsidP="00B91F87">
            <w:pP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27058D34" w14:textId="55FD811B" w:rsidR="00842724" w:rsidRPr="00842724" w:rsidRDefault="00842724" w:rsidP="00B91F87">
            <w:pP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06DB7C" w14:textId="794EC258" w:rsidR="00842724" w:rsidRPr="00842724" w:rsidRDefault="00842724" w:rsidP="00B91F87">
            <w:pPr>
              <w:rPr>
                <w:rFonts w:ascii="Arial" w:eastAsia="Times New Roman" w:hAnsi="Arial" w:cs="Arial"/>
                <w:b/>
                <w:bCs/>
                <w:sz w:val="16"/>
                <w:szCs w:val="16"/>
              </w:rPr>
            </w:pPr>
          </w:p>
        </w:tc>
        <w:tc>
          <w:tcPr>
            <w:tcW w:w="654" w:type="dxa"/>
            <w:tcBorders>
              <w:top w:val="single" w:sz="4" w:space="0" w:color="auto"/>
              <w:left w:val="nil"/>
              <w:bottom w:val="single" w:sz="4" w:space="0" w:color="auto"/>
              <w:right w:val="single" w:sz="4" w:space="0" w:color="auto"/>
            </w:tcBorders>
            <w:shd w:val="clear" w:color="000000" w:fill="F2F2F2"/>
            <w:vAlign w:val="center"/>
            <w:hideMark/>
          </w:tcPr>
          <w:p w14:paraId="711EE47C" w14:textId="5D82AC7E" w:rsidR="00842724" w:rsidRPr="00842724" w:rsidRDefault="00842724" w:rsidP="00B91F87">
            <w:pPr>
              <w:rPr>
                <w:rFonts w:ascii="Arial" w:eastAsia="Times New Roman" w:hAnsi="Arial" w:cs="Arial"/>
                <w:b/>
                <w:bCs/>
                <w:sz w:val="16"/>
                <w:szCs w:val="16"/>
              </w:rPr>
            </w:pPr>
          </w:p>
        </w:tc>
      </w:tr>
      <w:tr w:rsidR="00BF216F" w:rsidRPr="00842724" w14:paraId="260F78E7" w14:textId="77777777" w:rsidTr="00B91F87">
        <w:trPr>
          <w:trHeight w:val="450"/>
        </w:trPr>
        <w:tc>
          <w:tcPr>
            <w:tcW w:w="0" w:type="auto"/>
            <w:vMerge/>
            <w:tcBorders>
              <w:top w:val="single" w:sz="4" w:space="0" w:color="auto"/>
              <w:left w:val="single" w:sz="8" w:space="0" w:color="auto"/>
              <w:bottom w:val="nil"/>
              <w:right w:val="single" w:sz="4" w:space="0" w:color="auto"/>
            </w:tcBorders>
            <w:vAlign w:val="center"/>
            <w:hideMark/>
          </w:tcPr>
          <w:p w14:paraId="5CB9423E"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4A2F342B"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FF121D4" w14:textId="77777777" w:rsidR="00842724" w:rsidRPr="00842724" w:rsidRDefault="00842724" w:rsidP="00B91F87">
            <w:pP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AB6B14"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single" w:sz="4" w:space="0" w:color="auto"/>
              <w:left w:val="single" w:sz="4" w:space="0" w:color="auto"/>
              <w:bottom w:val="nil"/>
              <w:right w:val="single" w:sz="4" w:space="0" w:color="auto"/>
            </w:tcBorders>
            <w:vAlign w:val="center"/>
            <w:hideMark/>
          </w:tcPr>
          <w:p w14:paraId="3B37A66C"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60F85400" w14:textId="77777777" w:rsidR="00842724" w:rsidRPr="00842724" w:rsidRDefault="00842724" w:rsidP="00B91F87">
            <w:pP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BB6AE1"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FFFC45" w14:textId="792047CB" w:rsidR="00842724" w:rsidRPr="00842724" w:rsidRDefault="00842724" w:rsidP="00B91F87">
            <w:pP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607DEEA8" w14:textId="666F37C5" w:rsidR="00842724" w:rsidRPr="00842724" w:rsidRDefault="00842724" w:rsidP="00B91F87">
            <w:pP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A398C28" w14:textId="53BB78AD" w:rsidR="00842724" w:rsidRPr="00842724" w:rsidRDefault="00842724" w:rsidP="00B91F87">
            <w:pP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6CC2AE4C" w14:textId="5A116534" w:rsidR="00842724" w:rsidRPr="00842724" w:rsidRDefault="00842724" w:rsidP="00B91F87">
            <w:pP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A59CAA" w14:textId="68646C5B" w:rsidR="00842724" w:rsidRPr="00842724" w:rsidRDefault="00842724" w:rsidP="00B91F87">
            <w:pPr>
              <w:rPr>
                <w:rFonts w:ascii="Arial" w:eastAsia="Times New Roman" w:hAnsi="Arial" w:cs="Arial"/>
                <w:b/>
                <w:bCs/>
                <w:sz w:val="16"/>
                <w:szCs w:val="16"/>
              </w:rPr>
            </w:pPr>
          </w:p>
        </w:tc>
        <w:tc>
          <w:tcPr>
            <w:tcW w:w="654" w:type="dxa"/>
            <w:tcBorders>
              <w:top w:val="single" w:sz="4" w:space="0" w:color="auto"/>
              <w:left w:val="nil"/>
              <w:bottom w:val="single" w:sz="4" w:space="0" w:color="auto"/>
              <w:right w:val="single" w:sz="4" w:space="0" w:color="auto"/>
            </w:tcBorders>
            <w:shd w:val="clear" w:color="000000" w:fill="F2F2F2"/>
            <w:vAlign w:val="center"/>
            <w:hideMark/>
          </w:tcPr>
          <w:p w14:paraId="0377CD66" w14:textId="6F9DD18C" w:rsidR="00842724" w:rsidRPr="00842724" w:rsidRDefault="00842724" w:rsidP="00B91F87">
            <w:pPr>
              <w:rPr>
                <w:rFonts w:ascii="Arial" w:eastAsia="Times New Roman" w:hAnsi="Arial" w:cs="Arial"/>
                <w:b/>
                <w:bCs/>
                <w:sz w:val="16"/>
                <w:szCs w:val="16"/>
              </w:rPr>
            </w:pPr>
          </w:p>
        </w:tc>
      </w:tr>
      <w:tr w:rsidR="00BF216F" w:rsidRPr="00842724" w14:paraId="05DDA49F" w14:textId="77777777" w:rsidTr="00B91F87">
        <w:trPr>
          <w:trHeight w:val="675"/>
        </w:trPr>
        <w:tc>
          <w:tcPr>
            <w:tcW w:w="0" w:type="auto"/>
            <w:vMerge w:val="restart"/>
            <w:tcBorders>
              <w:top w:val="single" w:sz="4" w:space="0" w:color="auto"/>
              <w:left w:val="single" w:sz="8" w:space="0" w:color="auto"/>
              <w:bottom w:val="nil"/>
              <w:right w:val="single" w:sz="4" w:space="0" w:color="auto"/>
            </w:tcBorders>
            <w:shd w:val="clear" w:color="auto" w:fill="auto"/>
            <w:vAlign w:val="center"/>
            <w:hideMark/>
          </w:tcPr>
          <w:p w14:paraId="3A9E0E42" w14:textId="77777777" w:rsidR="00842724" w:rsidRPr="00842724" w:rsidRDefault="00842724" w:rsidP="00B91F87">
            <w:pPr>
              <w:rPr>
                <w:rFonts w:ascii="Arial" w:eastAsia="Times New Roman" w:hAnsi="Arial" w:cs="Arial"/>
                <w:color w:val="000000"/>
                <w:sz w:val="16"/>
                <w:szCs w:val="16"/>
              </w:rPr>
            </w:pPr>
            <w:r w:rsidRPr="00842724">
              <w:rPr>
                <w:rFonts w:ascii="Arial" w:eastAsia="Times New Roman" w:hAnsi="Arial" w:cs="Arial"/>
                <w:color w:val="000000"/>
                <w:sz w:val="16"/>
                <w:szCs w:val="16"/>
              </w:rPr>
              <w:t>CC4</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5C95D9BC"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(F Indicator) # of consensus building forums (multi-party, civil/security sector, and/or civil/political) held with USG assistance (Outcomes 1, 2)</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BCEE061"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Partners/grantees</w:t>
            </w:r>
          </w:p>
        </w:tc>
        <w:tc>
          <w:tcPr>
            <w:tcW w:w="0" w:type="auto"/>
            <w:tcBorders>
              <w:top w:val="nil"/>
              <w:left w:val="nil"/>
              <w:bottom w:val="single" w:sz="4" w:space="0" w:color="auto"/>
              <w:right w:val="single" w:sz="4" w:space="0" w:color="auto"/>
            </w:tcBorders>
            <w:shd w:val="clear" w:color="auto" w:fill="auto"/>
            <w:vAlign w:val="center"/>
            <w:hideMark/>
          </w:tcPr>
          <w:p w14:paraId="4A82D655"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Method: KM Portal, activity plans, sign-in sheets, recording of press conference, copy of testimony or press release etc.</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186566B4"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Primary topic/subject; Third-level administrative division</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0521C97B"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7C3B2F19"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58AD3DD"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52</w:t>
            </w:r>
          </w:p>
        </w:tc>
        <w:tc>
          <w:tcPr>
            <w:tcW w:w="0" w:type="auto"/>
            <w:tcBorders>
              <w:top w:val="nil"/>
              <w:left w:val="nil"/>
              <w:bottom w:val="single" w:sz="4" w:space="0" w:color="auto"/>
              <w:right w:val="single" w:sz="4" w:space="0" w:color="auto"/>
            </w:tcBorders>
            <w:shd w:val="clear" w:color="000000" w:fill="F2F2F2"/>
            <w:vAlign w:val="center"/>
            <w:hideMark/>
          </w:tcPr>
          <w:p w14:paraId="39EE697A"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52</w:t>
            </w:r>
          </w:p>
        </w:tc>
        <w:tc>
          <w:tcPr>
            <w:tcW w:w="0" w:type="auto"/>
            <w:tcBorders>
              <w:top w:val="nil"/>
              <w:left w:val="nil"/>
              <w:bottom w:val="single" w:sz="4" w:space="0" w:color="auto"/>
              <w:right w:val="single" w:sz="4" w:space="0" w:color="auto"/>
            </w:tcBorders>
            <w:shd w:val="clear" w:color="auto" w:fill="auto"/>
            <w:vAlign w:val="center"/>
            <w:hideMark/>
          </w:tcPr>
          <w:p w14:paraId="0A513CE6"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52</w:t>
            </w:r>
          </w:p>
        </w:tc>
        <w:tc>
          <w:tcPr>
            <w:tcW w:w="0" w:type="auto"/>
            <w:tcBorders>
              <w:top w:val="nil"/>
              <w:left w:val="nil"/>
              <w:bottom w:val="single" w:sz="4" w:space="0" w:color="auto"/>
              <w:right w:val="single" w:sz="4" w:space="0" w:color="auto"/>
            </w:tcBorders>
            <w:shd w:val="clear" w:color="000000" w:fill="F2F2F2"/>
            <w:vAlign w:val="center"/>
            <w:hideMark/>
          </w:tcPr>
          <w:p w14:paraId="6999F348"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52</w:t>
            </w:r>
          </w:p>
        </w:tc>
        <w:tc>
          <w:tcPr>
            <w:tcW w:w="0" w:type="auto"/>
            <w:tcBorders>
              <w:top w:val="nil"/>
              <w:left w:val="nil"/>
              <w:bottom w:val="single" w:sz="4" w:space="0" w:color="auto"/>
              <w:right w:val="single" w:sz="4" w:space="0" w:color="auto"/>
            </w:tcBorders>
            <w:shd w:val="clear" w:color="auto" w:fill="auto"/>
            <w:vAlign w:val="center"/>
            <w:hideMark/>
          </w:tcPr>
          <w:p w14:paraId="5217060B"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52</w:t>
            </w:r>
          </w:p>
        </w:tc>
        <w:tc>
          <w:tcPr>
            <w:tcW w:w="654" w:type="dxa"/>
            <w:tcBorders>
              <w:top w:val="nil"/>
              <w:left w:val="nil"/>
              <w:bottom w:val="single" w:sz="4" w:space="0" w:color="auto"/>
              <w:right w:val="single" w:sz="4" w:space="0" w:color="auto"/>
            </w:tcBorders>
            <w:shd w:val="clear" w:color="000000" w:fill="F2F2F2"/>
            <w:vAlign w:val="center"/>
            <w:hideMark/>
          </w:tcPr>
          <w:p w14:paraId="584FBB9F"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260</w:t>
            </w:r>
          </w:p>
        </w:tc>
      </w:tr>
      <w:tr w:rsidR="00BF216F" w:rsidRPr="00842724" w14:paraId="0CB8EDB5" w14:textId="77777777" w:rsidTr="00B91F87">
        <w:trPr>
          <w:trHeight w:val="300"/>
        </w:trPr>
        <w:tc>
          <w:tcPr>
            <w:tcW w:w="0" w:type="auto"/>
            <w:vMerge/>
            <w:tcBorders>
              <w:top w:val="single" w:sz="4" w:space="0" w:color="auto"/>
              <w:left w:val="single" w:sz="8" w:space="0" w:color="auto"/>
              <w:bottom w:val="nil"/>
              <w:right w:val="single" w:sz="4" w:space="0" w:color="auto"/>
            </w:tcBorders>
            <w:vAlign w:val="center"/>
            <w:hideMark/>
          </w:tcPr>
          <w:p w14:paraId="230123C8"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7DC67616" w14:textId="77777777" w:rsidR="00842724" w:rsidRPr="00842724" w:rsidRDefault="00842724" w:rsidP="00B91F87">
            <w:pP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41AD204E"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9BD22FC"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single" w:sz="4" w:space="0" w:color="auto"/>
              <w:left w:val="single" w:sz="4" w:space="0" w:color="auto"/>
              <w:bottom w:val="nil"/>
              <w:right w:val="single" w:sz="4" w:space="0" w:color="auto"/>
            </w:tcBorders>
            <w:vAlign w:val="center"/>
            <w:hideMark/>
          </w:tcPr>
          <w:p w14:paraId="57F3DE6F"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41A92DB4"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24B2304"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78B1503" w14:textId="147CD6AE"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DB1F5A5" w14:textId="14449D91"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F29A7D1" w14:textId="275D7AAD"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4C17AD7B" w14:textId="4837FEC3"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3671622" w14:textId="2735565C" w:rsidR="00842724" w:rsidRPr="00842724" w:rsidRDefault="00842724" w:rsidP="00B91F87">
            <w:pP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64C8F702" w14:textId="443EC0E4" w:rsidR="00842724" w:rsidRPr="00842724" w:rsidRDefault="00842724" w:rsidP="00B91F87">
            <w:pPr>
              <w:rPr>
                <w:rFonts w:ascii="Arial" w:eastAsia="Times New Roman" w:hAnsi="Arial" w:cs="Arial"/>
                <w:b/>
                <w:bCs/>
                <w:sz w:val="16"/>
                <w:szCs w:val="16"/>
              </w:rPr>
            </w:pPr>
          </w:p>
        </w:tc>
      </w:tr>
      <w:tr w:rsidR="00BF216F" w:rsidRPr="00842724" w14:paraId="6CF44C04" w14:textId="77777777" w:rsidTr="00B91F87">
        <w:trPr>
          <w:trHeight w:val="450"/>
        </w:trPr>
        <w:tc>
          <w:tcPr>
            <w:tcW w:w="0" w:type="auto"/>
            <w:vMerge/>
            <w:tcBorders>
              <w:top w:val="single" w:sz="4" w:space="0" w:color="auto"/>
              <w:left w:val="single" w:sz="8" w:space="0" w:color="auto"/>
              <w:bottom w:val="nil"/>
              <w:right w:val="single" w:sz="4" w:space="0" w:color="auto"/>
            </w:tcBorders>
            <w:vAlign w:val="center"/>
            <w:hideMark/>
          </w:tcPr>
          <w:p w14:paraId="2D83F466"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3A43B702" w14:textId="77777777" w:rsidR="00842724" w:rsidRPr="00842724" w:rsidRDefault="00842724" w:rsidP="00B91F87">
            <w:pP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52D0AC48"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A6E16DB"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single" w:sz="4" w:space="0" w:color="auto"/>
              <w:left w:val="single" w:sz="4" w:space="0" w:color="auto"/>
              <w:bottom w:val="nil"/>
              <w:right w:val="single" w:sz="4" w:space="0" w:color="auto"/>
            </w:tcBorders>
            <w:vAlign w:val="center"/>
            <w:hideMark/>
          </w:tcPr>
          <w:p w14:paraId="5C6F9B16"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409D786E"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421DAD7"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1D563DD" w14:textId="367AD0E2"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264F592" w14:textId="20AC30B7"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62DA52C" w14:textId="08D5A251"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0267F99" w14:textId="06C0BBFF"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FF9EFAA" w14:textId="2AF8CC74" w:rsidR="00842724" w:rsidRPr="00842724" w:rsidRDefault="00842724" w:rsidP="00B91F87">
            <w:pP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626C39DA" w14:textId="25C83511" w:rsidR="00842724" w:rsidRPr="00842724" w:rsidRDefault="00842724" w:rsidP="00B91F87">
            <w:pPr>
              <w:rPr>
                <w:rFonts w:ascii="Arial" w:eastAsia="Times New Roman" w:hAnsi="Arial" w:cs="Arial"/>
                <w:b/>
                <w:bCs/>
                <w:sz w:val="16"/>
                <w:szCs w:val="16"/>
              </w:rPr>
            </w:pPr>
          </w:p>
        </w:tc>
      </w:tr>
      <w:tr w:rsidR="00BF216F" w:rsidRPr="00842724" w14:paraId="2C18075F" w14:textId="77777777" w:rsidTr="00B91F87">
        <w:trPr>
          <w:trHeight w:val="926"/>
        </w:trPr>
        <w:tc>
          <w:tcPr>
            <w:tcW w:w="0" w:type="auto"/>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73151DE6" w14:textId="77777777" w:rsidR="00842724" w:rsidRPr="00842724" w:rsidRDefault="00842724" w:rsidP="00B91F87">
            <w:pPr>
              <w:rPr>
                <w:rFonts w:ascii="Arial" w:eastAsia="Times New Roman" w:hAnsi="Arial" w:cs="Arial"/>
                <w:color w:val="000000"/>
                <w:sz w:val="16"/>
                <w:szCs w:val="16"/>
              </w:rPr>
            </w:pPr>
            <w:r w:rsidRPr="00842724">
              <w:rPr>
                <w:rFonts w:ascii="Arial" w:eastAsia="Times New Roman" w:hAnsi="Arial" w:cs="Arial"/>
                <w:color w:val="000000"/>
                <w:sz w:val="16"/>
                <w:szCs w:val="16"/>
              </w:rPr>
              <w:t>CC5</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2908DA"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 of participants in consensus building forums (multi-party, civil/security sector, and/or civil/political) held with USG assistance (Outcomes 1, 2)</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D455642"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Partners/grantees</w:t>
            </w:r>
          </w:p>
        </w:tc>
        <w:tc>
          <w:tcPr>
            <w:tcW w:w="0" w:type="auto"/>
            <w:tcBorders>
              <w:top w:val="nil"/>
              <w:left w:val="nil"/>
              <w:bottom w:val="single" w:sz="4" w:space="0" w:color="auto"/>
              <w:right w:val="single" w:sz="4" w:space="0" w:color="auto"/>
            </w:tcBorders>
            <w:shd w:val="clear" w:color="auto" w:fill="auto"/>
            <w:vAlign w:val="center"/>
            <w:hideMark/>
          </w:tcPr>
          <w:p w14:paraId="080AEB43"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Method: KM Portal, activity plans, sign-in sheets, recording of press conference, copy of testimony or press release etc.</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25F00F2E" w14:textId="0CA88620"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Sex; Youth: binary; Sector; Third-level administrative division; Primary topic/subject;</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05832724"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138131E0"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5E630EC7" w14:textId="77777777" w:rsidR="00842724" w:rsidRPr="00842724" w:rsidRDefault="00842724" w:rsidP="00B91F87">
            <w:pPr>
              <w:rPr>
                <w:rFonts w:ascii="Arial" w:eastAsia="Times New Roman" w:hAnsi="Arial" w:cs="Arial"/>
                <w:b/>
                <w:bCs/>
                <w:sz w:val="18"/>
                <w:szCs w:val="18"/>
              </w:rPr>
            </w:pPr>
            <w:r w:rsidRPr="000128B7">
              <w:rPr>
                <w:rFonts w:ascii="Arial" w:eastAsia="Times New Roman" w:hAnsi="Arial" w:cs="Arial"/>
                <w:b/>
                <w:bCs/>
                <w:sz w:val="16"/>
                <w:szCs w:val="18"/>
              </w:rPr>
              <w:t>171</w:t>
            </w:r>
          </w:p>
        </w:tc>
        <w:tc>
          <w:tcPr>
            <w:tcW w:w="0" w:type="auto"/>
            <w:tcBorders>
              <w:top w:val="nil"/>
              <w:left w:val="nil"/>
              <w:bottom w:val="single" w:sz="4" w:space="0" w:color="auto"/>
              <w:right w:val="single" w:sz="4" w:space="0" w:color="auto"/>
            </w:tcBorders>
            <w:shd w:val="clear" w:color="000000" w:fill="F2F2F2"/>
            <w:vAlign w:val="center"/>
            <w:hideMark/>
          </w:tcPr>
          <w:p w14:paraId="193ACF2C"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171</w:t>
            </w:r>
          </w:p>
        </w:tc>
        <w:tc>
          <w:tcPr>
            <w:tcW w:w="0" w:type="auto"/>
            <w:tcBorders>
              <w:top w:val="nil"/>
              <w:left w:val="nil"/>
              <w:bottom w:val="single" w:sz="4" w:space="0" w:color="auto"/>
              <w:right w:val="single" w:sz="4" w:space="0" w:color="auto"/>
            </w:tcBorders>
            <w:shd w:val="clear" w:color="auto" w:fill="auto"/>
            <w:vAlign w:val="center"/>
            <w:hideMark/>
          </w:tcPr>
          <w:p w14:paraId="002A8D86"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171</w:t>
            </w:r>
          </w:p>
        </w:tc>
        <w:tc>
          <w:tcPr>
            <w:tcW w:w="0" w:type="auto"/>
            <w:tcBorders>
              <w:top w:val="nil"/>
              <w:left w:val="nil"/>
              <w:bottom w:val="single" w:sz="4" w:space="0" w:color="auto"/>
              <w:right w:val="single" w:sz="4" w:space="0" w:color="auto"/>
            </w:tcBorders>
            <w:shd w:val="clear" w:color="000000" w:fill="F2F2F2"/>
            <w:vAlign w:val="center"/>
            <w:hideMark/>
          </w:tcPr>
          <w:p w14:paraId="7B840C8B"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171</w:t>
            </w:r>
          </w:p>
        </w:tc>
        <w:tc>
          <w:tcPr>
            <w:tcW w:w="0" w:type="auto"/>
            <w:tcBorders>
              <w:top w:val="nil"/>
              <w:left w:val="nil"/>
              <w:bottom w:val="single" w:sz="4" w:space="0" w:color="auto"/>
              <w:right w:val="single" w:sz="4" w:space="0" w:color="auto"/>
            </w:tcBorders>
            <w:shd w:val="clear" w:color="auto" w:fill="auto"/>
            <w:vAlign w:val="center"/>
            <w:hideMark/>
          </w:tcPr>
          <w:p w14:paraId="13E2198D"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171</w:t>
            </w:r>
          </w:p>
        </w:tc>
        <w:tc>
          <w:tcPr>
            <w:tcW w:w="654" w:type="dxa"/>
            <w:tcBorders>
              <w:top w:val="nil"/>
              <w:left w:val="nil"/>
              <w:bottom w:val="single" w:sz="4" w:space="0" w:color="auto"/>
              <w:right w:val="single" w:sz="4" w:space="0" w:color="auto"/>
            </w:tcBorders>
            <w:shd w:val="clear" w:color="000000" w:fill="F2F2F2"/>
            <w:vAlign w:val="center"/>
            <w:hideMark/>
          </w:tcPr>
          <w:p w14:paraId="63FAEB0C" w14:textId="77777777" w:rsidR="00842724" w:rsidRPr="00842724" w:rsidRDefault="00842724" w:rsidP="00B91F87">
            <w:pPr>
              <w:rPr>
                <w:rFonts w:ascii="Arial" w:eastAsia="Times New Roman" w:hAnsi="Arial" w:cs="Arial"/>
                <w:b/>
                <w:bCs/>
                <w:sz w:val="16"/>
                <w:szCs w:val="16"/>
              </w:rPr>
            </w:pPr>
            <w:r w:rsidRPr="00842724">
              <w:rPr>
                <w:rFonts w:ascii="Arial" w:eastAsia="Times New Roman" w:hAnsi="Arial" w:cs="Arial"/>
                <w:b/>
                <w:bCs/>
                <w:sz w:val="16"/>
                <w:szCs w:val="16"/>
              </w:rPr>
              <w:t>855</w:t>
            </w:r>
          </w:p>
        </w:tc>
      </w:tr>
      <w:tr w:rsidR="00BF216F" w:rsidRPr="00842724" w14:paraId="2C2F1FFB" w14:textId="77777777" w:rsidTr="00B91F87">
        <w:trPr>
          <w:trHeight w:val="300"/>
        </w:trPr>
        <w:tc>
          <w:tcPr>
            <w:tcW w:w="0" w:type="auto"/>
            <w:vMerge/>
            <w:tcBorders>
              <w:top w:val="single" w:sz="4" w:space="0" w:color="auto"/>
              <w:left w:val="single" w:sz="8" w:space="0" w:color="auto"/>
              <w:bottom w:val="single" w:sz="4" w:space="0" w:color="auto"/>
              <w:right w:val="single" w:sz="4" w:space="0" w:color="auto"/>
            </w:tcBorders>
            <w:vAlign w:val="center"/>
            <w:hideMark/>
          </w:tcPr>
          <w:p w14:paraId="30DFA373"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E47C0" w14:textId="77777777" w:rsidR="00842724" w:rsidRPr="00842724" w:rsidRDefault="00842724" w:rsidP="00B91F87">
            <w:pP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0363437B"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220780A"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single" w:sz="4" w:space="0" w:color="auto"/>
              <w:left w:val="single" w:sz="4" w:space="0" w:color="auto"/>
              <w:bottom w:val="nil"/>
              <w:right w:val="single" w:sz="4" w:space="0" w:color="auto"/>
            </w:tcBorders>
            <w:vAlign w:val="center"/>
            <w:hideMark/>
          </w:tcPr>
          <w:p w14:paraId="02A9CD83"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473DBEB5"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6C9EE5D"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BCA30A4" w14:textId="382E2EE6"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6B8C8AA" w14:textId="5ECA0D03"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9F6E75D" w14:textId="086215AB"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016D12D" w14:textId="35E5F1FA"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6635E86" w14:textId="5180C7C8" w:rsidR="00842724" w:rsidRPr="00842724" w:rsidRDefault="00842724" w:rsidP="00B91F87">
            <w:pP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3D2E16D8" w14:textId="547D13D4" w:rsidR="00842724" w:rsidRPr="00842724" w:rsidRDefault="00842724" w:rsidP="00B91F87">
            <w:pPr>
              <w:rPr>
                <w:rFonts w:ascii="Arial" w:eastAsia="Times New Roman" w:hAnsi="Arial" w:cs="Arial"/>
                <w:b/>
                <w:bCs/>
                <w:sz w:val="16"/>
                <w:szCs w:val="16"/>
              </w:rPr>
            </w:pPr>
          </w:p>
        </w:tc>
      </w:tr>
      <w:tr w:rsidR="00BF216F" w:rsidRPr="00842724" w14:paraId="7C4C31FB" w14:textId="77777777" w:rsidTr="00B91F87">
        <w:trPr>
          <w:trHeight w:val="450"/>
        </w:trPr>
        <w:tc>
          <w:tcPr>
            <w:tcW w:w="0" w:type="auto"/>
            <w:vMerge/>
            <w:tcBorders>
              <w:top w:val="single" w:sz="4" w:space="0" w:color="auto"/>
              <w:left w:val="single" w:sz="8" w:space="0" w:color="auto"/>
              <w:bottom w:val="nil"/>
              <w:right w:val="single" w:sz="4" w:space="0" w:color="auto"/>
            </w:tcBorders>
            <w:vAlign w:val="center"/>
            <w:hideMark/>
          </w:tcPr>
          <w:p w14:paraId="26EAACE9" w14:textId="77777777" w:rsidR="00842724" w:rsidRPr="00842724" w:rsidRDefault="00842724" w:rsidP="00B91F87">
            <w:pP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13F8407D" w14:textId="77777777" w:rsidR="00842724" w:rsidRPr="00842724" w:rsidRDefault="00842724" w:rsidP="00B91F87">
            <w:pP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35CEA6B8"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3DEBA3B"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single" w:sz="4" w:space="0" w:color="auto"/>
              <w:left w:val="single" w:sz="4" w:space="0" w:color="auto"/>
              <w:bottom w:val="nil"/>
              <w:right w:val="single" w:sz="4" w:space="0" w:color="auto"/>
            </w:tcBorders>
            <w:vAlign w:val="center"/>
            <w:hideMark/>
          </w:tcPr>
          <w:p w14:paraId="229B5E06" w14:textId="77777777" w:rsidR="00842724" w:rsidRPr="00842724" w:rsidRDefault="00842724" w:rsidP="00B91F87">
            <w:pP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3D72D7EF" w14:textId="77777777" w:rsidR="00842724" w:rsidRPr="00842724" w:rsidRDefault="00842724" w:rsidP="00B91F87">
            <w:pP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9D2B7CC" w14:textId="77777777" w:rsidR="00842724" w:rsidRPr="00842724" w:rsidRDefault="00842724" w:rsidP="00B91F87">
            <w:pP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3E2145B" w14:textId="5D6E937D"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333BBA7" w14:textId="761D1CB1"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2B2D247" w14:textId="55E29CEC"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139DB1E" w14:textId="71AAF5DA" w:rsidR="00842724" w:rsidRPr="00842724" w:rsidRDefault="00842724" w:rsidP="00B91F87">
            <w:pP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397C1E7" w14:textId="46A6B085" w:rsidR="00842724" w:rsidRPr="00842724" w:rsidRDefault="00842724" w:rsidP="00B91F87">
            <w:pP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0FF670A5" w14:textId="03CEAFC4" w:rsidR="00842724" w:rsidRPr="00842724" w:rsidRDefault="00842724" w:rsidP="00B91F87">
            <w:pPr>
              <w:rPr>
                <w:rFonts w:ascii="Arial" w:eastAsia="Times New Roman" w:hAnsi="Arial" w:cs="Arial"/>
                <w:b/>
                <w:bCs/>
                <w:sz w:val="16"/>
                <w:szCs w:val="16"/>
              </w:rPr>
            </w:pPr>
          </w:p>
        </w:tc>
      </w:tr>
      <w:tr w:rsidR="00842724" w:rsidRPr="00842724" w14:paraId="67A52FFC" w14:textId="77777777" w:rsidTr="00B91F87">
        <w:trPr>
          <w:trHeight w:val="300"/>
        </w:trPr>
        <w:tc>
          <w:tcPr>
            <w:tcW w:w="14480" w:type="dxa"/>
            <w:gridSpan w:val="13"/>
            <w:tcBorders>
              <w:top w:val="single" w:sz="4" w:space="0" w:color="auto"/>
              <w:left w:val="single" w:sz="8" w:space="0" w:color="auto"/>
              <w:bottom w:val="single" w:sz="4" w:space="0" w:color="auto"/>
              <w:right w:val="nil"/>
            </w:tcBorders>
            <w:shd w:val="clear" w:color="000000" w:fill="F79646"/>
            <w:noWrap/>
            <w:vAlign w:val="center"/>
            <w:hideMark/>
          </w:tcPr>
          <w:p w14:paraId="1226700C"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Outcome  Indicators</w:t>
            </w:r>
          </w:p>
        </w:tc>
      </w:tr>
      <w:tr w:rsidR="00BF216F" w:rsidRPr="00842724" w14:paraId="40FD8B3A" w14:textId="77777777" w:rsidTr="00B91F87">
        <w:trPr>
          <w:trHeight w:val="675"/>
        </w:trPr>
        <w:tc>
          <w:tcPr>
            <w:tcW w:w="0" w:type="auto"/>
            <w:vMerge w:val="restart"/>
            <w:tcBorders>
              <w:top w:val="nil"/>
              <w:left w:val="single" w:sz="8" w:space="0" w:color="auto"/>
              <w:bottom w:val="nil"/>
              <w:right w:val="single" w:sz="4" w:space="0" w:color="auto"/>
            </w:tcBorders>
            <w:shd w:val="clear" w:color="auto" w:fill="auto"/>
            <w:vAlign w:val="center"/>
            <w:hideMark/>
          </w:tcPr>
          <w:p w14:paraId="472EB628"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CC6</w:t>
            </w:r>
          </w:p>
        </w:tc>
        <w:tc>
          <w:tcPr>
            <w:tcW w:w="0" w:type="auto"/>
            <w:vMerge w:val="restart"/>
            <w:tcBorders>
              <w:top w:val="nil"/>
              <w:left w:val="single" w:sz="4" w:space="0" w:color="auto"/>
              <w:bottom w:val="nil"/>
              <w:right w:val="single" w:sz="4" w:space="0" w:color="auto"/>
            </w:tcBorders>
            <w:shd w:val="clear" w:color="auto" w:fill="auto"/>
            <w:vAlign w:val="center"/>
            <w:hideMark/>
          </w:tcPr>
          <w:p w14:paraId="660EEDA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broadcasts through new and traditional media in the course of CSO led public outreach campaigns (Outcomes 1, 2)</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5C0FB2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Partners/grantees</w:t>
            </w:r>
          </w:p>
        </w:tc>
        <w:tc>
          <w:tcPr>
            <w:tcW w:w="0" w:type="auto"/>
            <w:tcBorders>
              <w:top w:val="nil"/>
              <w:left w:val="nil"/>
              <w:bottom w:val="single" w:sz="4" w:space="0" w:color="auto"/>
              <w:right w:val="single" w:sz="4" w:space="0" w:color="auto"/>
            </w:tcBorders>
            <w:shd w:val="clear" w:color="auto" w:fill="auto"/>
            <w:vAlign w:val="center"/>
            <w:hideMark/>
          </w:tcPr>
          <w:p w14:paraId="37712526" w14:textId="2B39B6B0"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KM Portal, activity plans, sign-in sheets, recording of press conference, copy of testimony or press release etc.</w:t>
            </w:r>
          </w:p>
        </w:tc>
        <w:tc>
          <w:tcPr>
            <w:tcW w:w="0" w:type="auto"/>
            <w:vMerge w:val="restart"/>
            <w:tcBorders>
              <w:top w:val="nil"/>
              <w:left w:val="single" w:sz="4" w:space="0" w:color="auto"/>
              <w:bottom w:val="nil"/>
              <w:right w:val="single" w:sz="4" w:space="0" w:color="auto"/>
            </w:tcBorders>
            <w:shd w:val="clear" w:color="auto" w:fill="auto"/>
            <w:vAlign w:val="center"/>
            <w:hideMark/>
          </w:tcPr>
          <w:p w14:paraId="0AAAEBF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Broadcast type; Messaging topic</w:t>
            </w:r>
          </w:p>
        </w:tc>
        <w:tc>
          <w:tcPr>
            <w:tcW w:w="0" w:type="auto"/>
            <w:vMerge w:val="restart"/>
            <w:tcBorders>
              <w:top w:val="nil"/>
              <w:left w:val="single" w:sz="4" w:space="0" w:color="auto"/>
              <w:bottom w:val="nil"/>
              <w:right w:val="single" w:sz="4" w:space="0" w:color="auto"/>
            </w:tcBorders>
            <w:shd w:val="clear" w:color="auto" w:fill="auto"/>
            <w:vAlign w:val="center"/>
            <w:hideMark/>
          </w:tcPr>
          <w:p w14:paraId="5A2A147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1B5F7DC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96A359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3A97591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350</w:t>
            </w:r>
          </w:p>
        </w:tc>
        <w:tc>
          <w:tcPr>
            <w:tcW w:w="0" w:type="auto"/>
            <w:tcBorders>
              <w:top w:val="nil"/>
              <w:left w:val="nil"/>
              <w:bottom w:val="single" w:sz="4" w:space="0" w:color="auto"/>
              <w:right w:val="single" w:sz="4" w:space="0" w:color="auto"/>
            </w:tcBorders>
            <w:shd w:val="clear" w:color="auto" w:fill="auto"/>
            <w:vAlign w:val="center"/>
            <w:hideMark/>
          </w:tcPr>
          <w:p w14:paraId="5B42BD9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100</w:t>
            </w:r>
          </w:p>
        </w:tc>
        <w:tc>
          <w:tcPr>
            <w:tcW w:w="0" w:type="auto"/>
            <w:tcBorders>
              <w:top w:val="nil"/>
              <w:left w:val="nil"/>
              <w:bottom w:val="single" w:sz="4" w:space="0" w:color="auto"/>
              <w:right w:val="single" w:sz="4" w:space="0" w:color="auto"/>
            </w:tcBorders>
            <w:shd w:val="clear" w:color="000000" w:fill="F2F2F2"/>
            <w:vAlign w:val="center"/>
            <w:hideMark/>
          </w:tcPr>
          <w:p w14:paraId="2A7161E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200</w:t>
            </w:r>
          </w:p>
        </w:tc>
        <w:tc>
          <w:tcPr>
            <w:tcW w:w="0" w:type="auto"/>
            <w:tcBorders>
              <w:top w:val="nil"/>
              <w:left w:val="nil"/>
              <w:bottom w:val="single" w:sz="4" w:space="0" w:color="auto"/>
              <w:right w:val="single" w:sz="4" w:space="0" w:color="auto"/>
            </w:tcBorders>
            <w:shd w:val="clear" w:color="auto" w:fill="auto"/>
            <w:vAlign w:val="center"/>
            <w:hideMark/>
          </w:tcPr>
          <w:p w14:paraId="5AC6301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150</w:t>
            </w:r>
          </w:p>
        </w:tc>
        <w:tc>
          <w:tcPr>
            <w:tcW w:w="654" w:type="dxa"/>
            <w:tcBorders>
              <w:top w:val="nil"/>
              <w:left w:val="nil"/>
              <w:bottom w:val="single" w:sz="4" w:space="0" w:color="auto"/>
              <w:right w:val="single" w:sz="4" w:space="0" w:color="auto"/>
            </w:tcBorders>
            <w:shd w:val="clear" w:color="000000" w:fill="F2F2F2"/>
            <w:vAlign w:val="center"/>
            <w:hideMark/>
          </w:tcPr>
          <w:p w14:paraId="002FB34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800</w:t>
            </w:r>
          </w:p>
        </w:tc>
      </w:tr>
      <w:tr w:rsidR="00BF216F" w:rsidRPr="00842724" w14:paraId="727B2D6E" w14:textId="77777777" w:rsidTr="00B91F87">
        <w:trPr>
          <w:trHeight w:val="300"/>
        </w:trPr>
        <w:tc>
          <w:tcPr>
            <w:tcW w:w="0" w:type="auto"/>
            <w:vMerge/>
            <w:tcBorders>
              <w:top w:val="nil"/>
              <w:left w:val="single" w:sz="8" w:space="0" w:color="auto"/>
              <w:bottom w:val="nil"/>
              <w:right w:val="single" w:sz="4" w:space="0" w:color="auto"/>
            </w:tcBorders>
            <w:vAlign w:val="center"/>
            <w:hideMark/>
          </w:tcPr>
          <w:p w14:paraId="59D30125"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nil"/>
              <w:right w:val="single" w:sz="4" w:space="0" w:color="auto"/>
            </w:tcBorders>
            <w:vAlign w:val="center"/>
            <w:hideMark/>
          </w:tcPr>
          <w:p w14:paraId="0EDFBED6"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38A8DBC7"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104386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nil"/>
              <w:left w:val="single" w:sz="4" w:space="0" w:color="auto"/>
              <w:bottom w:val="nil"/>
              <w:right w:val="single" w:sz="4" w:space="0" w:color="auto"/>
            </w:tcBorders>
            <w:vAlign w:val="center"/>
            <w:hideMark/>
          </w:tcPr>
          <w:p w14:paraId="59F5DDAE"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48463081"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7BFABF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F34FA2D" w14:textId="6022588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4E6E42D9" w14:textId="20AAFDA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7076901" w14:textId="5AD2860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25433F6" w14:textId="596C8C8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35A5416" w14:textId="345772DB"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B58A33C" w14:textId="19DDF94D" w:rsidR="00842724" w:rsidRPr="00842724" w:rsidRDefault="00842724" w:rsidP="00B91F87">
            <w:pPr>
              <w:jc w:val="center"/>
              <w:rPr>
                <w:rFonts w:ascii="Arial" w:eastAsia="Times New Roman" w:hAnsi="Arial" w:cs="Arial"/>
                <w:b/>
                <w:bCs/>
                <w:sz w:val="16"/>
                <w:szCs w:val="16"/>
              </w:rPr>
            </w:pPr>
          </w:p>
        </w:tc>
      </w:tr>
      <w:tr w:rsidR="00BF216F" w:rsidRPr="00842724" w14:paraId="149775D8" w14:textId="77777777" w:rsidTr="00B91F87">
        <w:trPr>
          <w:trHeight w:val="300"/>
        </w:trPr>
        <w:tc>
          <w:tcPr>
            <w:tcW w:w="0" w:type="auto"/>
            <w:vMerge/>
            <w:tcBorders>
              <w:top w:val="nil"/>
              <w:left w:val="single" w:sz="8" w:space="0" w:color="auto"/>
              <w:bottom w:val="nil"/>
              <w:right w:val="single" w:sz="4" w:space="0" w:color="auto"/>
            </w:tcBorders>
            <w:vAlign w:val="center"/>
            <w:hideMark/>
          </w:tcPr>
          <w:p w14:paraId="7A8ABFBB"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7EA62FE"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5E48011"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A11E53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nil"/>
              <w:left w:val="single" w:sz="4" w:space="0" w:color="auto"/>
              <w:bottom w:val="nil"/>
              <w:right w:val="single" w:sz="4" w:space="0" w:color="auto"/>
            </w:tcBorders>
            <w:vAlign w:val="center"/>
            <w:hideMark/>
          </w:tcPr>
          <w:p w14:paraId="3B925A8C"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78A88D37"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53E677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61372FA" w14:textId="73B1CC3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32ED6AE" w14:textId="06F48AF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6EEC6C7" w14:textId="6E83DAB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14C738B" w14:textId="536A155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CF97EA0" w14:textId="27C17E74"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1A7BA5E1" w14:textId="451CE56F" w:rsidR="00842724" w:rsidRPr="00842724" w:rsidRDefault="00842724" w:rsidP="00B91F87">
            <w:pPr>
              <w:jc w:val="center"/>
              <w:rPr>
                <w:rFonts w:ascii="Arial" w:eastAsia="Times New Roman" w:hAnsi="Arial" w:cs="Arial"/>
                <w:b/>
                <w:bCs/>
                <w:sz w:val="16"/>
                <w:szCs w:val="16"/>
              </w:rPr>
            </w:pPr>
          </w:p>
        </w:tc>
      </w:tr>
      <w:tr w:rsidR="00BF216F" w:rsidRPr="00842724" w14:paraId="3459C2B4" w14:textId="77777777" w:rsidTr="00B91F87">
        <w:trPr>
          <w:trHeight w:val="900"/>
        </w:trPr>
        <w:tc>
          <w:tcPr>
            <w:tcW w:w="0" w:type="auto"/>
            <w:vMerge w:val="restart"/>
            <w:tcBorders>
              <w:top w:val="single" w:sz="4" w:space="0" w:color="auto"/>
              <w:left w:val="single" w:sz="8" w:space="0" w:color="auto"/>
              <w:bottom w:val="nil"/>
              <w:right w:val="single" w:sz="4" w:space="0" w:color="auto"/>
            </w:tcBorders>
            <w:shd w:val="clear" w:color="auto" w:fill="auto"/>
            <w:vAlign w:val="center"/>
            <w:hideMark/>
          </w:tcPr>
          <w:p w14:paraId="11908F6D"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CC7</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DB05A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 indicator) # of mechanisms for external oversight of public resource use supported by USG assistance (Outcomes 1, 2)</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75260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Counterpart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4070F1" w14:textId="009A9D22"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Oversight mechanism development and implementation matrix, public resource use analysis reports, mechanism procedure guides, copy of testimony or press release.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39D9B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Type of mechanism; Sub-sector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63222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22A4D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1B7293"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6A07456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FE254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37E9231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F3B40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654" w:type="dxa"/>
            <w:tcBorders>
              <w:top w:val="single" w:sz="4" w:space="0" w:color="auto"/>
              <w:left w:val="nil"/>
              <w:bottom w:val="single" w:sz="4" w:space="0" w:color="auto"/>
              <w:right w:val="single" w:sz="4" w:space="0" w:color="auto"/>
            </w:tcBorders>
            <w:shd w:val="clear" w:color="000000" w:fill="F2F2F2"/>
            <w:vAlign w:val="center"/>
            <w:hideMark/>
          </w:tcPr>
          <w:p w14:paraId="714D0F8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11</w:t>
            </w:r>
          </w:p>
        </w:tc>
      </w:tr>
      <w:tr w:rsidR="00BF216F" w:rsidRPr="00842724" w14:paraId="14C66531" w14:textId="77777777" w:rsidTr="00B91F87">
        <w:trPr>
          <w:trHeight w:val="300"/>
        </w:trPr>
        <w:tc>
          <w:tcPr>
            <w:tcW w:w="0" w:type="auto"/>
            <w:vMerge/>
            <w:tcBorders>
              <w:top w:val="single" w:sz="4" w:space="0" w:color="auto"/>
              <w:left w:val="single" w:sz="8" w:space="0" w:color="auto"/>
              <w:bottom w:val="nil"/>
              <w:right w:val="single" w:sz="4" w:space="0" w:color="auto"/>
            </w:tcBorders>
            <w:vAlign w:val="center"/>
            <w:hideMark/>
          </w:tcPr>
          <w:p w14:paraId="728F3540"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7AFACB7D"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25D6257"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39254AF" w14:textId="0192A9EB"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w:t>
            </w:r>
            <w:r w:rsidR="00BF216F">
              <w:rPr>
                <w:rFonts w:ascii="Arial" w:eastAsia="Times New Roman" w:hAnsi="Arial" w:cs="Arial"/>
                <w:sz w:val="16"/>
                <w:szCs w:val="16"/>
              </w:rPr>
              <w:t xml:space="preserve"> </w:t>
            </w:r>
            <w:r w:rsidRPr="00842724">
              <w:rPr>
                <w:rFonts w:ascii="Arial" w:eastAsia="Times New Roman" w:hAnsi="Arial" w:cs="Arial"/>
                <w:sz w:val="16"/>
                <w:szCs w:val="16"/>
              </w:rPr>
              <w:t>Quarterly</w:t>
            </w:r>
          </w:p>
        </w:tc>
        <w:tc>
          <w:tcPr>
            <w:tcW w:w="0" w:type="auto"/>
            <w:vMerge/>
            <w:tcBorders>
              <w:top w:val="single" w:sz="4" w:space="0" w:color="auto"/>
              <w:left w:val="single" w:sz="4" w:space="0" w:color="auto"/>
              <w:bottom w:val="nil"/>
              <w:right w:val="single" w:sz="4" w:space="0" w:color="auto"/>
            </w:tcBorders>
            <w:vAlign w:val="center"/>
            <w:hideMark/>
          </w:tcPr>
          <w:p w14:paraId="2FC79671"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16E347DE"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848C8D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4CEA79" w14:textId="468AD19B"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20CBD0B1" w14:textId="56980040"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11DAA3" w14:textId="204E6D7F"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35FD6BDE" w14:textId="7BCB573B"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1FF685" w14:textId="42DE782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2341221D" w14:textId="6BB55F64" w:rsidR="00842724" w:rsidRPr="00842724" w:rsidRDefault="00842724" w:rsidP="00B91F87">
            <w:pPr>
              <w:jc w:val="center"/>
              <w:rPr>
                <w:rFonts w:ascii="Arial" w:eastAsia="Times New Roman" w:hAnsi="Arial" w:cs="Arial"/>
                <w:b/>
                <w:bCs/>
                <w:sz w:val="16"/>
                <w:szCs w:val="16"/>
              </w:rPr>
            </w:pPr>
          </w:p>
        </w:tc>
      </w:tr>
      <w:tr w:rsidR="00BF216F" w:rsidRPr="00842724" w14:paraId="7F6E8DD1" w14:textId="77777777" w:rsidTr="00B91F87">
        <w:trPr>
          <w:trHeight w:val="450"/>
        </w:trPr>
        <w:tc>
          <w:tcPr>
            <w:tcW w:w="0" w:type="auto"/>
            <w:vMerge/>
            <w:tcBorders>
              <w:top w:val="single" w:sz="4" w:space="0" w:color="auto"/>
              <w:left w:val="single" w:sz="8" w:space="0" w:color="auto"/>
              <w:bottom w:val="nil"/>
              <w:right w:val="single" w:sz="4" w:space="0" w:color="auto"/>
            </w:tcBorders>
            <w:vAlign w:val="center"/>
            <w:hideMark/>
          </w:tcPr>
          <w:p w14:paraId="1A24B430"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0D214F6F"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51F11F6D"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A4F8B1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Annually</w:t>
            </w:r>
          </w:p>
        </w:tc>
        <w:tc>
          <w:tcPr>
            <w:tcW w:w="0" w:type="auto"/>
            <w:vMerge/>
            <w:tcBorders>
              <w:top w:val="single" w:sz="4" w:space="0" w:color="auto"/>
              <w:left w:val="single" w:sz="4" w:space="0" w:color="auto"/>
              <w:bottom w:val="nil"/>
              <w:right w:val="single" w:sz="4" w:space="0" w:color="auto"/>
            </w:tcBorders>
            <w:vAlign w:val="center"/>
            <w:hideMark/>
          </w:tcPr>
          <w:p w14:paraId="4897B9D0"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7FC02CD6"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A850A8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CF0949C" w14:textId="281961A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248202C9" w14:textId="70C369AD"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AB191E4" w14:textId="13BA0C4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936AC7E" w14:textId="6375F88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18467B7" w14:textId="3FCB383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0F8BC0C2" w14:textId="72397205" w:rsidR="00842724" w:rsidRPr="00842724" w:rsidRDefault="00842724" w:rsidP="00B91F87">
            <w:pPr>
              <w:jc w:val="center"/>
              <w:rPr>
                <w:rFonts w:ascii="Arial" w:eastAsia="Times New Roman" w:hAnsi="Arial" w:cs="Arial"/>
                <w:b/>
                <w:bCs/>
                <w:sz w:val="16"/>
                <w:szCs w:val="16"/>
              </w:rPr>
            </w:pPr>
          </w:p>
        </w:tc>
      </w:tr>
      <w:tr w:rsidR="00842724" w:rsidRPr="00842724" w14:paraId="6C6E4C0B" w14:textId="77777777" w:rsidTr="00B91F87">
        <w:trPr>
          <w:trHeight w:val="300"/>
        </w:trPr>
        <w:tc>
          <w:tcPr>
            <w:tcW w:w="14480" w:type="dxa"/>
            <w:gridSpan w:val="13"/>
            <w:tcBorders>
              <w:top w:val="single" w:sz="4" w:space="0" w:color="auto"/>
              <w:left w:val="single" w:sz="8" w:space="0" w:color="auto"/>
              <w:bottom w:val="single" w:sz="4" w:space="0" w:color="auto"/>
              <w:right w:val="nil"/>
            </w:tcBorders>
            <w:shd w:val="clear" w:color="000000" w:fill="F79646"/>
            <w:noWrap/>
            <w:vAlign w:val="center"/>
            <w:hideMark/>
          </w:tcPr>
          <w:p w14:paraId="4F4385BC"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Impact Indicators</w:t>
            </w:r>
          </w:p>
        </w:tc>
      </w:tr>
      <w:tr w:rsidR="00BF216F" w:rsidRPr="00842724" w14:paraId="5F8B64EB" w14:textId="77777777" w:rsidTr="00B91F87">
        <w:trPr>
          <w:trHeight w:val="675"/>
        </w:trPr>
        <w:tc>
          <w:tcPr>
            <w:tcW w:w="0" w:type="auto"/>
            <w:vMerge w:val="restart"/>
            <w:tcBorders>
              <w:top w:val="single" w:sz="4" w:space="0" w:color="auto"/>
              <w:left w:val="single" w:sz="8" w:space="0" w:color="auto"/>
              <w:bottom w:val="nil"/>
              <w:right w:val="single" w:sz="4" w:space="0" w:color="auto"/>
            </w:tcBorders>
            <w:shd w:val="clear" w:color="auto" w:fill="auto"/>
            <w:vAlign w:val="center"/>
            <w:hideMark/>
          </w:tcPr>
          <w:p w14:paraId="5E683E87"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CC8</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603396A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public policies changed consistent with citizen input (Outcomes 1, 2)</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628A90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Counterpart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E8D871" w14:textId="20D81F4E"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Policy advocacy matrix, public session sign-in sheets, meeting agendas, event photos, activity reports, etc.</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0FC446A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Sub-sector; Stage</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77D7928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1DAD7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94BFD1"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628F8BF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37FA6BA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w:t>
            </w:r>
          </w:p>
        </w:tc>
        <w:tc>
          <w:tcPr>
            <w:tcW w:w="0" w:type="auto"/>
            <w:tcBorders>
              <w:top w:val="nil"/>
              <w:left w:val="nil"/>
              <w:bottom w:val="single" w:sz="4" w:space="0" w:color="auto"/>
              <w:right w:val="single" w:sz="4" w:space="0" w:color="auto"/>
            </w:tcBorders>
            <w:shd w:val="clear" w:color="000000" w:fill="F2F2F2"/>
            <w:vAlign w:val="center"/>
            <w:hideMark/>
          </w:tcPr>
          <w:p w14:paraId="1D010AD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w:t>
            </w:r>
          </w:p>
        </w:tc>
        <w:tc>
          <w:tcPr>
            <w:tcW w:w="0" w:type="auto"/>
            <w:tcBorders>
              <w:top w:val="nil"/>
              <w:left w:val="nil"/>
              <w:bottom w:val="single" w:sz="4" w:space="0" w:color="auto"/>
              <w:right w:val="single" w:sz="4" w:space="0" w:color="auto"/>
            </w:tcBorders>
            <w:shd w:val="clear" w:color="auto" w:fill="auto"/>
            <w:vAlign w:val="center"/>
            <w:hideMark/>
          </w:tcPr>
          <w:p w14:paraId="4C088DE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w:t>
            </w:r>
          </w:p>
        </w:tc>
        <w:tc>
          <w:tcPr>
            <w:tcW w:w="654" w:type="dxa"/>
            <w:tcBorders>
              <w:top w:val="nil"/>
              <w:left w:val="nil"/>
              <w:bottom w:val="single" w:sz="4" w:space="0" w:color="auto"/>
              <w:right w:val="single" w:sz="4" w:space="0" w:color="auto"/>
            </w:tcBorders>
            <w:shd w:val="clear" w:color="000000" w:fill="F2F2F2"/>
            <w:vAlign w:val="center"/>
            <w:hideMark/>
          </w:tcPr>
          <w:p w14:paraId="7F39980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w:t>
            </w:r>
          </w:p>
        </w:tc>
      </w:tr>
      <w:tr w:rsidR="00BF216F" w:rsidRPr="00842724" w14:paraId="022CDD37" w14:textId="77777777" w:rsidTr="00B91F87">
        <w:trPr>
          <w:trHeight w:val="300"/>
        </w:trPr>
        <w:tc>
          <w:tcPr>
            <w:tcW w:w="0" w:type="auto"/>
            <w:vMerge/>
            <w:tcBorders>
              <w:top w:val="nil"/>
              <w:left w:val="single" w:sz="8" w:space="0" w:color="auto"/>
              <w:bottom w:val="nil"/>
              <w:right w:val="single" w:sz="4" w:space="0" w:color="auto"/>
            </w:tcBorders>
            <w:vAlign w:val="center"/>
            <w:hideMark/>
          </w:tcPr>
          <w:p w14:paraId="01AB73C0"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nil"/>
              <w:right w:val="single" w:sz="4" w:space="0" w:color="auto"/>
            </w:tcBorders>
            <w:vAlign w:val="center"/>
            <w:hideMark/>
          </w:tcPr>
          <w:p w14:paraId="29844134"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51C62110"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8EF43F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Annually</w:t>
            </w:r>
          </w:p>
        </w:tc>
        <w:tc>
          <w:tcPr>
            <w:tcW w:w="0" w:type="auto"/>
            <w:vMerge/>
            <w:tcBorders>
              <w:top w:val="nil"/>
              <w:left w:val="single" w:sz="4" w:space="0" w:color="auto"/>
              <w:bottom w:val="nil"/>
              <w:right w:val="single" w:sz="4" w:space="0" w:color="auto"/>
            </w:tcBorders>
            <w:vAlign w:val="center"/>
            <w:hideMark/>
          </w:tcPr>
          <w:p w14:paraId="4E1057AA"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64000047"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F1796B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6FE7632" w14:textId="1E35C5F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B095C85" w14:textId="0FF9157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12F13A3" w14:textId="61B828B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6112C55" w14:textId="70FE520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BDE83BC" w14:textId="679D2803"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12708862" w14:textId="1314DCB9" w:rsidR="00842724" w:rsidRPr="00842724" w:rsidRDefault="00842724" w:rsidP="00B91F87">
            <w:pPr>
              <w:jc w:val="center"/>
              <w:rPr>
                <w:rFonts w:ascii="Arial" w:eastAsia="Times New Roman" w:hAnsi="Arial" w:cs="Arial"/>
                <w:b/>
                <w:bCs/>
                <w:sz w:val="16"/>
                <w:szCs w:val="16"/>
              </w:rPr>
            </w:pPr>
          </w:p>
        </w:tc>
      </w:tr>
      <w:tr w:rsidR="00BF216F" w:rsidRPr="00842724" w14:paraId="32DC2A84" w14:textId="77777777" w:rsidTr="00B91F87">
        <w:trPr>
          <w:trHeight w:val="315"/>
        </w:trPr>
        <w:tc>
          <w:tcPr>
            <w:tcW w:w="0" w:type="auto"/>
            <w:vMerge/>
            <w:tcBorders>
              <w:top w:val="nil"/>
              <w:left w:val="single" w:sz="8" w:space="0" w:color="auto"/>
              <w:bottom w:val="nil"/>
              <w:right w:val="single" w:sz="4" w:space="0" w:color="auto"/>
            </w:tcBorders>
            <w:vAlign w:val="center"/>
            <w:hideMark/>
          </w:tcPr>
          <w:p w14:paraId="0E2F30A5"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nil"/>
              <w:right w:val="single" w:sz="4" w:space="0" w:color="auto"/>
            </w:tcBorders>
            <w:vAlign w:val="center"/>
            <w:hideMark/>
          </w:tcPr>
          <w:p w14:paraId="4369DD1F"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4F54BB10"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09935A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Annually</w:t>
            </w:r>
          </w:p>
        </w:tc>
        <w:tc>
          <w:tcPr>
            <w:tcW w:w="0" w:type="auto"/>
            <w:vMerge/>
            <w:tcBorders>
              <w:top w:val="nil"/>
              <w:left w:val="single" w:sz="4" w:space="0" w:color="auto"/>
              <w:bottom w:val="nil"/>
              <w:right w:val="single" w:sz="4" w:space="0" w:color="auto"/>
            </w:tcBorders>
            <w:vAlign w:val="center"/>
            <w:hideMark/>
          </w:tcPr>
          <w:p w14:paraId="10AAE251"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06B8F0D5"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FFBCB3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9B00F80" w14:textId="226472A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24F9629" w14:textId="0290766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2409C0D" w14:textId="7B19E95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3AF93FD" w14:textId="2C19656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1CD0EB9" w14:textId="6553229D"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62BAC9CA" w14:textId="4163BBD9" w:rsidR="00842724" w:rsidRPr="00842724" w:rsidRDefault="00842724" w:rsidP="00B91F87">
            <w:pPr>
              <w:jc w:val="center"/>
              <w:rPr>
                <w:rFonts w:ascii="Arial" w:eastAsia="Times New Roman" w:hAnsi="Arial" w:cs="Arial"/>
                <w:b/>
                <w:bCs/>
                <w:sz w:val="16"/>
                <w:szCs w:val="16"/>
              </w:rPr>
            </w:pPr>
          </w:p>
        </w:tc>
      </w:tr>
      <w:tr w:rsidR="00842724" w:rsidRPr="00842724" w14:paraId="6CCBC9BE" w14:textId="77777777" w:rsidTr="00B91F87">
        <w:trPr>
          <w:trHeight w:val="315"/>
        </w:trPr>
        <w:tc>
          <w:tcPr>
            <w:tcW w:w="0" w:type="auto"/>
            <w:tcBorders>
              <w:top w:val="single" w:sz="8" w:space="0" w:color="auto"/>
              <w:left w:val="single" w:sz="8" w:space="0" w:color="auto"/>
              <w:bottom w:val="single" w:sz="8" w:space="0" w:color="auto"/>
              <w:right w:val="single" w:sz="8" w:space="0" w:color="auto"/>
            </w:tcBorders>
            <w:shd w:val="clear" w:color="000000" w:fill="C0C0C0"/>
            <w:vAlign w:val="center"/>
            <w:hideMark/>
          </w:tcPr>
          <w:p w14:paraId="4357E584" w14:textId="2A2A535E" w:rsidR="00842724" w:rsidRPr="00842724" w:rsidRDefault="00842724" w:rsidP="00B91F87">
            <w:pPr>
              <w:jc w:val="center"/>
              <w:rPr>
                <w:rFonts w:ascii="Arial" w:eastAsia="Times New Roman" w:hAnsi="Arial" w:cs="Arial"/>
                <w:b/>
                <w:bCs/>
                <w:sz w:val="20"/>
                <w:szCs w:val="20"/>
              </w:rPr>
            </w:pPr>
          </w:p>
        </w:tc>
        <w:tc>
          <w:tcPr>
            <w:tcW w:w="13929" w:type="dxa"/>
            <w:gridSpan w:val="12"/>
            <w:tcBorders>
              <w:top w:val="single" w:sz="8" w:space="0" w:color="auto"/>
              <w:left w:val="nil"/>
              <w:bottom w:val="single" w:sz="8" w:space="0" w:color="auto"/>
              <w:right w:val="nil"/>
            </w:tcBorders>
            <w:shd w:val="clear" w:color="000000" w:fill="C0C0C0"/>
            <w:vAlign w:val="center"/>
            <w:hideMark/>
          </w:tcPr>
          <w:p w14:paraId="1E0CD172" w14:textId="34CD0754" w:rsidR="00842724" w:rsidRPr="00842724" w:rsidRDefault="00842724" w:rsidP="00B91F87">
            <w:pPr>
              <w:jc w:val="center"/>
              <w:rPr>
                <w:rFonts w:ascii="Arial" w:eastAsia="Times New Roman" w:hAnsi="Arial" w:cs="Arial"/>
                <w:b/>
                <w:bCs/>
                <w:sz w:val="20"/>
                <w:szCs w:val="20"/>
              </w:rPr>
            </w:pPr>
            <w:r w:rsidRPr="00842724">
              <w:rPr>
                <w:rFonts w:ascii="Arial" w:eastAsia="Times New Roman" w:hAnsi="Arial" w:cs="Arial"/>
                <w:b/>
                <w:bCs/>
                <w:sz w:val="20"/>
                <w:szCs w:val="20"/>
              </w:rPr>
              <w:t>Outcome 1: Elections are more responsive to priority public needs</w:t>
            </w:r>
          </w:p>
        </w:tc>
      </w:tr>
      <w:tr w:rsidR="00BF216F" w:rsidRPr="00842724" w14:paraId="1958B7F1" w14:textId="77777777" w:rsidTr="00B91F87">
        <w:trPr>
          <w:trHeight w:val="480"/>
        </w:trPr>
        <w:tc>
          <w:tcPr>
            <w:tcW w:w="0" w:type="auto"/>
            <w:tcBorders>
              <w:top w:val="nil"/>
              <w:left w:val="single" w:sz="8" w:space="0" w:color="auto"/>
              <w:bottom w:val="nil"/>
              <w:right w:val="single" w:sz="4" w:space="0" w:color="auto"/>
            </w:tcBorders>
            <w:shd w:val="clear" w:color="000000" w:fill="C0C0C0"/>
            <w:vAlign w:val="center"/>
            <w:hideMark/>
          </w:tcPr>
          <w:p w14:paraId="61077B3A"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Ind.</w:t>
            </w:r>
          </w:p>
        </w:tc>
        <w:tc>
          <w:tcPr>
            <w:tcW w:w="0" w:type="auto"/>
            <w:tcBorders>
              <w:top w:val="nil"/>
              <w:left w:val="nil"/>
              <w:bottom w:val="nil"/>
              <w:right w:val="single" w:sz="4" w:space="0" w:color="auto"/>
            </w:tcBorders>
            <w:shd w:val="clear" w:color="000000" w:fill="C0C0C0"/>
            <w:vAlign w:val="center"/>
            <w:hideMark/>
          </w:tcPr>
          <w:p w14:paraId="770F4DFD"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Indicators</w:t>
            </w:r>
          </w:p>
        </w:tc>
        <w:tc>
          <w:tcPr>
            <w:tcW w:w="0" w:type="auto"/>
            <w:tcBorders>
              <w:top w:val="nil"/>
              <w:left w:val="nil"/>
              <w:bottom w:val="nil"/>
              <w:right w:val="single" w:sz="4" w:space="0" w:color="auto"/>
            </w:tcBorders>
            <w:shd w:val="clear" w:color="000000" w:fill="C0C0C0"/>
            <w:vAlign w:val="center"/>
            <w:hideMark/>
          </w:tcPr>
          <w:p w14:paraId="212FCEA9"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Data Source</w:t>
            </w:r>
          </w:p>
        </w:tc>
        <w:tc>
          <w:tcPr>
            <w:tcW w:w="0" w:type="auto"/>
            <w:tcBorders>
              <w:top w:val="nil"/>
              <w:left w:val="nil"/>
              <w:bottom w:val="nil"/>
              <w:right w:val="single" w:sz="4" w:space="0" w:color="auto"/>
            </w:tcBorders>
            <w:shd w:val="clear" w:color="000000" w:fill="C0C0C0"/>
            <w:vAlign w:val="center"/>
            <w:hideMark/>
          </w:tcPr>
          <w:p w14:paraId="4217E4AA"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Method of data collection; frequency</w:t>
            </w:r>
          </w:p>
        </w:tc>
        <w:tc>
          <w:tcPr>
            <w:tcW w:w="0" w:type="auto"/>
            <w:tcBorders>
              <w:top w:val="nil"/>
              <w:left w:val="nil"/>
              <w:bottom w:val="nil"/>
              <w:right w:val="single" w:sz="4" w:space="0" w:color="auto"/>
            </w:tcBorders>
            <w:shd w:val="clear" w:color="000000" w:fill="C0C0C0"/>
            <w:vAlign w:val="center"/>
            <w:hideMark/>
          </w:tcPr>
          <w:p w14:paraId="29AC1B3C"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Disaggregation</w:t>
            </w:r>
          </w:p>
        </w:tc>
        <w:tc>
          <w:tcPr>
            <w:tcW w:w="0" w:type="auto"/>
            <w:tcBorders>
              <w:top w:val="nil"/>
              <w:left w:val="nil"/>
              <w:bottom w:val="nil"/>
              <w:right w:val="single" w:sz="4" w:space="0" w:color="auto"/>
            </w:tcBorders>
            <w:shd w:val="clear" w:color="000000" w:fill="C0C0C0"/>
            <w:vAlign w:val="center"/>
            <w:hideMark/>
          </w:tcPr>
          <w:p w14:paraId="4A9D9F98"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Baseline</w:t>
            </w:r>
          </w:p>
        </w:tc>
        <w:tc>
          <w:tcPr>
            <w:tcW w:w="0" w:type="auto"/>
            <w:tcBorders>
              <w:top w:val="nil"/>
              <w:left w:val="nil"/>
              <w:bottom w:val="nil"/>
              <w:right w:val="single" w:sz="4" w:space="0" w:color="auto"/>
            </w:tcBorders>
            <w:shd w:val="clear" w:color="000000" w:fill="C0C0C0"/>
            <w:vAlign w:val="center"/>
            <w:hideMark/>
          </w:tcPr>
          <w:p w14:paraId="1C00590C" w14:textId="389EF49D" w:rsidR="00842724" w:rsidRPr="00842724" w:rsidRDefault="00842724" w:rsidP="00B91F87">
            <w:pPr>
              <w:jc w:val="center"/>
              <w:rPr>
                <w:rFonts w:ascii="Arial" w:eastAsia="Times New Roman" w:hAnsi="Arial" w:cs="Arial"/>
                <w:b/>
                <w:bCs/>
                <w:sz w:val="18"/>
                <w:szCs w:val="18"/>
              </w:rPr>
            </w:pPr>
          </w:p>
        </w:tc>
        <w:tc>
          <w:tcPr>
            <w:tcW w:w="0" w:type="auto"/>
            <w:tcBorders>
              <w:top w:val="nil"/>
              <w:left w:val="single" w:sz="4" w:space="0" w:color="auto"/>
              <w:bottom w:val="nil"/>
              <w:right w:val="single" w:sz="4" w:space="0" w:color="auto"/>
            </w:tcBorders>
            <w:shd w:val="clear" w:color="000000" w:fill="FFFFFF"/>
            <w:vAlign w:val="center"/>
            <w:hideMark/>
          </w:tcPr>
          <w:p w14:paraId="5464D82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1</w:t>
            </w:r>
          </w:p>
        </w:tc>
        <w:tc>
          <w:tcPr>
            <w:tcW w:w="0" w:type="auto"/>
            <w:tcBorders>
              <w:top w:val="nil"/>
              <w:left w:val="nil"/>
              <w:bottom w:val="nil"/>
              <w:right w:val="single" w:sz="4" w:space="0" w:color="auto"/>
            </w:tcBorders>
            <w:shd w:val="clear" w:color="000000" w:fill="F2F2F2"/>
            <w:vAlign w:val="center"/>
            <w:hideMark/>
          </w:tcPr>
          <w:p w14:paraId="3BC461B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2</w:t>
            </w:r>
          </w:p>
        </w:tc>
        <w:tc>
          <w:tcPr>
            <w:tcW w:w="0" w:type="auto"/>
            <w:tcBorders>
              <w:top w:val="nil"/>
              <w:left w:val="nil"/>
              <w:bottom w:val="nil"/>
              <w:right w:val="single" w:sz="4" w:space="0" w:color="auto"/>
            </w:tcBorders>
            <w:shd w:val="clear" w:color="000000" w:fill="FFFFFF"/>
            <w:vAlign w:val="center"/>
            <w:hideMark/>
          </w:tcPr>
          <w:p w14:paraId="77E5DA1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3</w:t>
            </w:r>
          </w:p>
        </w:tc>
        <w:tc>
          <w:tcPr>
            <w:tcW w:w="0" w:type="auto"/>
            <w:tcBorders>
              <w:top w:val="nil"/>
              <w:left w:val="nil"/>
              <w:bottom w:val="nil"/>
              <w:right w:val="single" w:sz="4" w:space="0" w:color="auto"/>
            </w:tcBorders>
            <w:shd w:val="clear" w:color="000000" w:fill="F2F2F2"/>
            <w:vAlign w:val="center"/>
            <w:hideMark/>
          </w:tcPr>
          <w:p w14:paraId="47EC5CB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4</w:t>
            </w:r>
          </w:p>
        </w:tc>
        <w:tc>
          <w:tcPr>
            <w:tcW w:w="0" w:type="auto"/>
            <w:tcBorders>
              <w:top w:val="nil"/>
              <w:left w:val="nil"/>
              <w:bottom w:val="nil"/>
              <w:right w:val="single" w:sz="4" w:space="0" w:color="auto"/>
            </w:tcBorders>
            <w:shd w:val="clear" w:color="000000" w:fill="FFFFFF"/>
            <w:vAlign w:val="center"/>
            <w:hideMark/>
          </w:tcPr>
          <w:p w14:paraId="51AD2FA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5</w:t>
            </w:r>
          </w:p>
        </w:tc>
        <w:tc>
          <w:tcPr>
            <w:tcW w:w="654" w:type="dxa"/>
            <w:tcBorders>
              <w:top w:val="nil"/>
              <w:left w:val="nil"/>
              <w:bottom w:val="nil"/>
              <w:right w:val="single" w:sz="4" w:space="0" w:color="auto"/>
            </w:tcBorders>
            <w:shd w:val="clear" w:color="000000" w:fill="F2F2F2"/>
            <w:vAlign w:val="center"/>
            <w:hideMark/>
          </w:tcPr>
          <w:p w14:paraId="7C09A70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LOP</w:t>
            </w:r>
          </w:p>
        </w:tc>
      </w:tr>
      <w:tr w:rsidR="00842724" w:rsidRPr="00842724" w14:paraId="2D698DFD" w14:textId="77777777" w:rsidTr="00B91F87">
        <w:trPr>
          <w:trHeight w:val="300"/>
        </w:trPr>
        <w:tc>
          <w:tcPr>
            <w:tcW w:w="14480" w:type="dxa"/>
            <w:gridSpan w:val="13"/>
            <w:tcBorders>
              <w:top w:val="single" w:sz="4" w:space="0" w:color="auto"/>
              <w:left w:val="single" w:sz="8" w:space="0" w:color="auto"/>
              <w:bottom w:val="single" w:sz="4" w:space="0" w:color="auto"/>
              <w:right w:val="nil"/>
            </w:tcBorders>
            <w:shd w:val="clear" w:color="000000" w:fill="F79646"/>
            <w:noWrap/>
            <w:vAlign w:val="center"/>
            <w:hideMark/>
          </w:tcPr>
          <w:p w14:paraId="7B9565A6"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Output Indicators</w:t>
            </w:r>
          </w:p>
        </w:tc>
      </w:tr>
      <w:tr w:rsidR="00BF216F" w:rsidRPr="00842724" w14:paraId="7040C7D4" w14:textId="77777777" w:rsidTr="00B91F87">
        <w:trPr>
          <w:trHeight w:val="675"/>
        </w:trPr>
        <w:tc>
          <w:tcPr>
            <w:tcW w:w="0" w:type="auto"/>
            <w:vMerge w:val="restart"/>
            <w:tcBorders>
              <w:top w:val="nil"/>
              <w:left w:val="single" w:sz="8" w:space="0" w:color="auto"/>
              <w:bottom w:val="single" w:sz="4" w:space="0" w:color="auto"/>
              <w:right w:val="single" w:sz="4" w:space="0" w:color="auto"/>
            </w:tcBorders>
            <w:shd w:val="clear" w:color="auto" w:fill="auto"/>
            <w:vAlign w:val="center"/>
            <w:hideMark/>
          </w:tcPr>
          <w:p w14:paraId="4578DFF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935551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public outreach activities conducted</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E0DE99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Partners/grantees</w:t>
            </w:r>
          </w:p>
        </w:tc>
        <w:tc>
          <w:tcPr>
            <w:tcW w:w="0" w:type="auto"/>
            <w:tcBorders>
              <w:top w:val="nil"/>
              <w:left w:val="nil"/>
              <w:bottom w:val="single" w:sz="4" w:space="0" w:color="auto"/>
              <w:right w:val="single" w:sz="4" w:space="0" w:color="auto"/>
            </w:tcBorders>
            <w:shd w:val="clear" w:color="auto" w:fill="auto"/>
            <w:vAlign w:val="center"/>
            <w:hideMark/>
          </w:tcPr>
          <w:p w14:paraId="16C7DD7E" w14:textId="451AEF5F"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KM Portal, activity plan/agenda, participant list, event photos, recording of radio programs, copy of press release etc.</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C88D9C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Outreach topic; Activity type</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91696A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729F7BA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nil"/>
              <w:bottom w:val="single" w:sz="4" w:space="0" w:color="auto"/>
              <w:right w:val="single" w:sz="4" w:space="0" w:color="auto"/>
            </w:tcBorders>
            <w:shd w:val="clear" w:color="auto" w:fill="auto"/>
            <w:vAlign w:val="center"/>
            <w:hideMark/>
          </w:tcPr>
          <w:p w14:paraId="6B58C6C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100</w:t>
            </w:r>
          </w:p>
        </w:tc>
        <w:tc>
          <w:tcPr>
            <w:tcW w:w="0" w:type="auto"/>
            <w:tcBorders>
              <w:top w:val="nil"/>
              <w:left w:val="nil"/>
              <w:bottom w:val="single" w:sz="4" w:space="0" w:color="auto"/>
              <w:right w:val="single" w:sz="4" w:space="0" w:color="auto"/>
            </w:tcBorders>
            <w:shd w:val="clear" w:color="000000" w:fill="F2F2F2"/>
            <w:vAlign w:val="center"/>
            <w:hideMark/>
          </w:tcPr>
          <w:p w14:paraId="47CDE6C1"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30</w:t>
            </w:r>
          </w:p>
        </w:tc>
        <w:tc>
          <w:tcPr>
            <w:tcW w:w="0" w:type="auto"/>
            <w:tcBorders>
              <w:top w:val="nil"/>
              <w:left w:val="nil"/>
              <w:bottom w:val="single" w:sz="4" w:space="0" w:color="auto"/>
              <w:right w:val="single" w:sz="4" w:space="0" w:color="auto"/>
            </w:tcBorders>
            <w:shd w:val="clear" w:color="auto" w:fill="auto"/>
            <w:vAlign w:val="center"/>
            <w:hideMark/>
          </w:tcPr>
          <w:p w14:paraId="411A51B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29BD4D3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30</w:t>
            </w:r>
          </w:p>
        </w:tc>
        <w:tc>
          <w:tcPr>
            <w:tcW w:w="0" w:type="auto"/>
            <w:tcBorders>
              <w:top w:val="nil"/>
              <w:left w:val="nil"/>
              <w:bottom w:val="single" w:sz="4" w:space="0" w:color="auto"/>
              <w:right w:val="single" w:sz="4" w:space="0" w:color="auto"/>
            </w:tcBorders>
            <w:shd w:val="clear" w:color="auto" w:fill="auto"/>
            <w:vAlign w:val="center"/>
            <w:hideMark/>
          </w:tcPr>
          <w:p w14:paraId="5E4732B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30</w:t>
            </w:r>
          </w:p>
        </w:tc>
        <w:tc>
          <w:tcPr>
            <w:tcW w:w="654" w:type="dxa"/>
            <w:tcBorders>
              <w:top w:val="nil"/>
              <w:left w:val="nil"/>
              <w:bottom w:val="single" w:sz="4" w:space="0" w:color="auto"/>
              <w:right w:val="single" w:sz="4" w:space="0" w:color="auto"/>
            </w:tcBorders>
            <w:shd w:val="clear" w:color="000000" w:fill="F2F2F2"/>
            <w:vAlign w:val="center"/>
            <w:hideMark/>
          </w:tcPr>
          <w:p w14:paraId="6C72194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190</w:t>
            </w:r>
          </w:p>
        </w:tc>
      </w:tr>
      <w:tr w:rsidR="00BF216F" w:rsidRPr="00842724" w14:paraId="29D92633" w14:textId="77777777" w:rsidTr="00B91F87">
        <w:trPr>
          <w:trHeight w:val="300"/>
        </w:trPr>
        <w:tc>
          <w:tcPr>
            <w:tcW w:w="0" w:type="auto"/>
            <w:vMerge/>
            <w:tcBorders>
              <w:top w:val="nil"/>
              <w:left w:val="single" w:sz="8" w:space="0" w:color="auto"/>
              <w:bottom w:val="single" w:sz="4" w:space="0" w:color="auto"/>
              <w:right w:val="single" w:sz="4" w:space="0" w:color="auto"/>
            </w:tcBorders>
            <w:vAlign w:val="center"/>
            <w:hideMark/>
          </w:tcPr>
          <w:p w14:paraId="003F06C8"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0CF3D664"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0174627F"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8F34B6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nil"/>
              <w:left w:val="single" w:sz="4" w:space="0" w:color="auto"/>
              <w:bottom w:val="single" w:sz="4" w:space="0" w:color="auto"/>
              <w:right w:val="single" w:sz="4" w:space="0" w:color="auto"/>
            </w:tcBorders>
            <w:vAlign w:val="center"/>
            <w:hideMark/>
          </w:tcPr>
          <w:p w14:paraId="58A0EF50"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109AB40"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AFB924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nil"/>
              <w:bottom w:val="single" w:sz="4" w:space="0" w:color="auto"/>
              <w:right w:val="single" w:sz="4" w:space="0" w:color="auto"/>
            </w:tcBorders>
            <w:shd w:val="clear" w:color="auto" w:fill="auto"/>
            <w:vAlign w:val="center"/>
            <w:hideMark/>
          </w:tcPr>
          <w:p w14:paraId="0026F048" w14:textId="355DDC2A"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0DCA8C2" w14:textId="6CD40A2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C4319EE" w14:textId="1D9569C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546A6A4" w14:textId="0807F6C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27399A0" w14:textId="3491D61A"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37D963DF" w14:textId="59CF7FAE" w:rsidR="00842724" w:rsidRPr="00842724" w:rsidRDefault="00842724" w:rsidP="00B91F87">
            <w:pPr>
              <w:jc w:val="center"/>
              <w:rPr>
                <w:rFonts w:ascii="Arial" w:eastAsia="Times New Roman" w:hAnsi="Arial" w:cs="Arial"/>
                <w:b/>
                <w:bCs/>
                <w:sz w:val="16"/>
                <w:szCs w:val="16"/>
              </w:rPr>
            </w:pPr>
          </w:p>
        </w:tc>
      </w:tr>
      <w:tr w:rsidR="00BF216F" w:rsidRPr="00842724" w14:paraId="38D8C613" w14:textId="77777777" w:rsidTr="00B91F87">
        <w:trPr>
          <w:trHeight w:val="450"/>
        </w:trPr>
        <w:tc>
          <w:tcPr>
            <w:tcW w:w="0" w:type="auto"/>
            <w:vMerge/>
            <w:tcBorders>
              <w:top w:val="nil"/>
              <w:left w:val="single" w:sz="8" w:space="0" w:color="auto"/>
              <w:bottom w:val="single" w:sz="4" w:space="0" w:color="auto"/>
              <w:right w:val="single" w:sz="4" w:space="0" w:color="auto"/>
            </w:tcBorders>
            <w:vAlign w:val="center"/>
            <w:hideMark/>
          </w:tcPr>
          <w:p w14:paraId="0A9B313F"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7EBCF2A2"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1B52C42"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E6FC01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nil"/>
              <w:left w:val="single" w:sz="4" w:space="0" w:color="auto"/>
              <w:bottom w:val="single" w:sz="4" w:space="0" w:color="auto"/>
              <w:right w:val="single" w:sz="4" w:space="0" w:color="auto"/>
            </w:tcBorders>
            <w:vAlign w:val="center"/>
            <w:hideMark/>
          </w:tcPr>
          <w:p w14:paraId="7029CDBB"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0EC67DCA"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FD475C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nil"/>
              <w:bottom w:val="single" w:sz="4" w:space="0" w:color="auto"/>
              <w:right w:val="single" w:sz="4" w:space="0" w:color="auto"/>
            </w:tcBorders>
            <w:shd w:val="clear" w:color="auto" w:fill="auto"/>
            <w:vAlign w:val="center"/>
            <w:hideMark/>
          </w:tcPr>
          <w:p w14:paraId="44B7A431" w14:textId="0862270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422D586" w14:textId="38810CB1"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7665AD5" w14:textId="49D0BC8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CB77F77" w14:textId="67DCE21A"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6A1A2C9" w14:textId="1FDAEA98"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31EEFFD1" w14:textId="2C669952" w:rsidR="00842724" w:rsidRPr="00842724" w:rsidRDefault="00842724" w:rsidP="00B91F87">
            <w:pPr>
              <w:jc w:val="center"/>
              <w:rPr>
                <w:rFonts w:ascii="Arial" w:eastAsia="Times New Roman" w:hAnsi="Arial" w:cs="Arial"/>
                <w:b/>
                <w:bCs/>
                <w:sz w:val="16"/>
                <w:szCs w:val="16"/>
              </w:rPr>
            </w:pPr>
          </w:p>
        </w:tc>
      </w:tr>
      <w:tr w:rsidR="00842724" w:rsidRPr="00842724" w14:paraId="29099D73" w14:textId="77777777" w:rsidTr="00B91F87">
        <w:trPr>
          <w:trHeight w:val="300"/>
        </w:trPr>
        <w:tc>
          <w:tcPr>
            <w:tcW w:w="14480" w:type="dxa"/>
            <w:gridSpan w:val="13"/>
            <w:tcBorders>
              <w:top w:val="single" w:sz="4" w:space="0" w:color="auto"/>
              <w:left w:val="single" w:sz="8" w:space="0" w:color="auto"/>
              <w:bottom w:val="single" w:sz="4" w:space="0" w:color="auto"/>
              <w:right w:val="nil"/>
            </w:tcBorders>
            <w:shd w:val="clear" w:color="000000" w:fill="F79646"/>
            <w:noWrap/>
            <w:vAlign w:val="center"/>
            <w:hideMark/>
          </w:tcPr>
          <w:p w14:paraId="6F3395E0"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Outcome Indicators</w:t>
            </w:r>
          </w:p>
        </w:tc>
      </w:tr>
      <w:tr w:rsidR="00BF216F" w:rsidRPr="00842724" w14:paraId="36ADC21E" w14:textId="77777777" w:rsidTr="00B91F87">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vAlign w:val="center"/>
            <w:hideMark/>
          </w:tcPr>
          <w:p w14:paraId="70EA0DFB"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1.2</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2741C7"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of measures taken by non-political party actors to support the electoral code of conduct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13693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Partners/grantees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B7B7A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TBD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0E1BC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None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4C500C"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A7C36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1FF7D83"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w:t>
            </w:r>
          </w:p>
        </w:tc>
        <w:tc>
          <w:tcPr>
            <w:tcW w:w="0" w:type="auto"/>
            <w:tcBorders>
              <w:top w:val="nil"/>
              <w:left w:val="nil"/>
              <w:bottom w:val="single" w:sz="4" w:space="0" w:color="auto"/>
              <w:right w:val="single" w:sz="4" w:space="0" w:color="auto"/>
            </w:tcBorders>
            <w:shd w:val="clear" w:color="000000" w:fill="F2F2F2"/>
            <w:vAlign w:val="center"/>
            <w:hideMark/>
          </w:tcPr>
          <w:p w14:paraId="217EEE9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1D95100C"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7A955E5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4F523D53"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654" w:type="dxa"/>
            <w:tcBorders>
              <w:top w:val="nil"/>
              <w:left w:val="nil"/>
              <w:bottom w:val="single" w:sz="4" w:space="0" w:color="auto"/>
              <w:right w:val="single" w:sz="4" w:space="0" w:color="auto"/>
            </w:tcBorders>
            <w:shd w:val="clear" w:color="000000" w:fill="F2F2F2"/>
            <w:vAlign w:val="center"/>
            <w:hideMark/>
          </w:tcPr>
          <w:p w14:paraId="210778B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w:t>
            </w:r>
          </w:p>
        </w:tc>
      </w:tr>
      <w:tr w:rsidR="00BF216F" w:rsidRPr="00842724" w14:paraId="0145317D" w14:textId="77777777" w:rsidTr="00B91F87">
        <w:trPr>
          <w:trHeight w:val="300"/>
        </w:trPr>
        <w:tc>
          <w:tcPr>
            <w:tcW w:w="0" w:type="auto"/>
            <w:vMerge/>
            <w:tcBorders>
              <w:top w:val="nil"/>
              <w:left w:val="single" w:sz="8" w:space="0" w:color="auto"/>
              <w:bottom w:val="single" w:sz="4" w:space="0" w:color="000000"/>
              <w:right w:val="single" w:sz="4" w:space="0" w:color="auto"/>
            </w:tcBorders>
            <w:vAlign w:val="center"/>
            <w:hideMark/>
          </w:tcPr>
          <w:p w14:paraId="42FCCBFE"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2AB9F8"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2D521C"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B3CF1F" w14:textId="771498EE"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1D8EA9"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F6BE4A"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EEEF0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453D634" w14:textId="6C3BE0DD"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F4D3E77" w14:textId="502E689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1623034" w14:textId="1F6FF8E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EDFED9D" w14:textId="25AD3DD1"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FAB9F1C" w14:textId="02294ABA"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2603F7C6" w14:textId="05248635" w:rsidR="00842724" w:rsidRPr="00842724" w:rsidRDefault="00842724" w:rsidP="00B91F87">
            <w:pPr>
              <w:jc w:val="center"/>
              <w:rPr>
                <w:rFonts w:ascii="Arial" w:eastAsia="Times New Roman" w:hAnsi="Arial" w:cs="Arial"/>
                <w:b/>
                <w:bCs/>
                <w:sz w:val="16"/>
                <w:szCs w:val="16"/>
              </w:rPr>
            </w:pPr>
          </w:p>
        </w:tc>
      </w:tr>
      <w:tr w:rsidR="00BF216F" w:rsidRPr="00842724" w14:paraId="554203CD" w14:textId="77777777" w:rsidTr="00B91F87">
        <w:trPr>
          <w:trHeight w:val="450"/>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5688319F"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E476DB"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B0898B"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999F7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878FBE"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23B00"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BE33B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D2963F" w14:textId="653D616A"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000000" w:fill="F2F2F2"/>
            <w:vAlign w:val="center"/>
            <w:hideMark/>
          </w:tcPr>
          <w:p w14:paraId="20DAD385" w14:textId="7ECF1F3F"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F146A0" w14:textId="6AEEBF8D"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000000" w:fill="F2F2F2"/>
            <w:vAlign w:val="center"/>
            <w:hideMark/>
          </w:tcPr>
          <w:p w14:paraId="142F092C" w14:textId="6437743D"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B7F946E" w14:textId="3E733747" w:rsidR="00842724" w:rsidRPr="00842724" w:rsidRDefault="00842724" w:rsidP="00B91F87">
            <w:pPr>
              <w:jc w:val="center"/>
              <w:rPr>
                <w:rFonts w:ascii="Arial" w:eastAsia="Times New Roman" w:hAnsi="Arial" w:cs="Arial"/>
                <w:b/>
                <w:bCs/>
                <w:sz w:val="16"/>
                <w:szCs w:val="16"/>
              </w:rPr>
            </w:pPr>
          </w:p>
        </w:tc>
        <w:tc>
          <w:tcPr>
            <w:tcW w:w="654"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86E29B0" w14:textId="651C86F1" w:rsidR="00842724" w:rsidRPr="00842724" w:rsidRDefault="00842724" w:rsidP="00B91F87">
            <w:pPr>
              <w:jc w:val="center"/>
              <w:rPr>
                <w:rFonts w:ascii="Arial" w:eastAsia="Times New Roman" w:hAnsi="Arial" w:cs="Arial"/>
                <w:b/>
                <w:bCs/>
                <w:sz w:val="16"/>
                <w:szCs w:val="16"/>
              </w:rPr>
            </w:pPr>
          </w:p>
        </w:tc>
      </w:tr>
      <w:tr w:rsidR="00BF216F" w:rsidRPr="00842724" w14:paraId="57247971" w14:textId="77777777" w:rsidTr="00B91F87">
        <w:trPr>
          <w:trHeight w:val="675"/>
        </w:trPr>
        <w:tc>
          <w:tcPr>
            <w:tcW w:w="0" w:type="auto"/>
            <w:vMerge w:val="restart"/>
            <w:tcBorders>
              <w:top w:val="nil"/>
              <w:left w:val="single" w:sz="8" w:space="0" w:color="auto"/>
              <w:bottom w:val="single" w:sz="4" w:space="0" w:color="000000"/>
              <w:right w:val="single" w:sz="4" w:space="0" w:color="auto"/>
            </w:tcBorders>
            <w:shd w:val="clear" w:color="auto" w:fill="auto"/>
            <w:vAlign w:val="center"/>
            <w:hideMark/>
          </w:tcPr>
          <w:p w14:paraId="6098B88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1.3</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5DEBB97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measures taken by non-political party actors targeted by the project to mitigate electoral violence</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37847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Partners/grantees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7E2A35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Follow-up phone calls, online conferences with, and visits to targeted non-political party actors</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CA080E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None</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47E821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50F07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14:paraId="6026C03A" w14:textId="77777777" w:rsidR="00842724" w:rsidRPr="00842724" w:rsidRDefault="00842724" w:rsidP="00B91F87">
            <w:pPr>
              <w:jc w:val="center"/>
              <w:rPr>
                <w:rFonts w:ascii="Arial" w:eastAsia="Times New Roman" w:hAnsi="Arial" w:cs="Arial"/>
                <w:b/>
                <w:bCs/>
                <w:sz w:val="18"/>
                <w:szCs w:val="18"/>
              </w:rPr>
            </w:pPr>
            <w:r w:rsidRPr="00BF216F">
              <w:rPr>
                <w:rFonts w:ascii="Arial" w:eastAsia="Times New Roman" w:hAnsi="Arial" w:cs="Arial"/>
                <w:b/>
                <w:bCs/>
                <w:sz w:val="16"/>
                <w:szCs w:val="18"/>
              </w:rPr>
              <w:t>20</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49A9629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37F57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37D0184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3FBA3A"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654" w:type="dxa"/>
            <w:tcBorders>
              <w:top w:val="single" w:sz="4" w:space="0" w:color="auto"/>
              <w:left w:val="nil"/>
              <w:bottom w:val="single" w:sz="4" w:space="0" w:color="auto"/>
              <w:right w:val="single" w:sz="4" w:space="0" w:color="auto"/>
            </w:tcBorders>
            <w:shd w:val="clear" w:color="000000" w:fill="F2F2F2"/>
            <w:vAlign w:val="center"/>
            <w:hideMark/>
          </w:tcPr>
          <w:p w14:paraId="38D82587"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20</w:t>
            </w:r>
          </w:p>
        </w:tc>
      </w:tr>
      <w:tr w:rsidR="00BF216F" w:rsidRPr="00842724" w14:paraId="71C6A7A3" w14:textId="77777777" w:rsidTr="00B91F87">
        <w:trPr>
          <w:trHeight w:val="300"/>
        </w:trPr>
        <w:tc>
          <w:tcPr>
            <w:tcW w:w="0" w:type="auto"/>
            <w:vMerge/>
            <w:tcBorders>
              <w:top w:val="nil"/>
              <w:left w:val="single" w:sz="8" w:space="0" w:color="auto"/>
              <w:bottom w:val="single" w:sz="4" w:space="0" w:color="000000"/>
              <w:right w:val="single" w:sz="4" w:space="0" w:color="auto"/>
            </w:tcBorders>
            <w:vAlign w:val="center"/>
            <w:hideMark/>
          </w:tcPr>
          <w:p w14:paraId="2D53D63E"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044EDB79"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6046675A"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7F7E2F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nil"/>
              <w:left w:val="single" w:sz="4" w:space="0" w:color="auto"/>
              <w:bottom w:val="single" w:sz="4" w:space="0" w:color="000000"/>
              <w:right w:val="single" w:sz="4" w:space="0" w:color="auto"/>
            </w:tcBorders>
            <w:vAlign w:val="center"/>
            <w:hideMark/>
          </w:tcPr>
          <w:p w14:paraId="4BCA7CC3"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322121AD"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nil"/>
            </w:tcBorders>
            <w:shd w:val="clear" w:color="auto" w:fill="auto"/>
            <w:vAlign w:val="center"/>
            <w:hideMark/>
          </w:tcPr>
          <w:p w14:paraId="3C15C5B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nil"/>
              <w:bottom w:val="single" w:sz="4" w:space="0" w:color="auto"/>
              <w:right w:val="single" w:sz="4" w:space="0" w:color="auto"/>
            </w:tcBorders>
            <w:shd w:val="clear" w:color="auto" w:fill="auto"/>
            <w:vAlign w:val="center"/>
            <w:hideMark/>
          </w:tcPr>
          <w:p w14:paraId="2A4EA51F" w14:textId="1271B7D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26214D1C" w14:textId="2FA5DF3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6980383" w14:textId="096FFD7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0CB9858" w14:textId="285CA87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DA06D6A" w14:textId="05B6861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1E9268AE" w14:textId="4643CD91" w:rsidR="00842724" w:rsidRPr="00842724" w:rsidRDefault="00842724" w:rsidP="00B91F87">
            <w:pPr>
              <w:jc w:val="center"/>
              <w:rPr>
                <w:rFonts w:ascii="Arial" w:eastAsia="Times New Roman" w:hAnsi="Arial" w:cs="Arial"/>
                <w:b/>
                <w:bCs/>
                <w:sz w:val="16"/>
                <w:szCs w:val="16"/>
              </w:rPr>
            </w:pPr>
          </w:p>
        </w:tc>
      </w:tr>
      <w:tr w:rsidR="00BF216F" w:rsidRPr="00842724" w14:paraId="0B6E2A49" w14:textId="77777777" w:rsidTr="00B91F87">
        <w:trPr>
          <w:trHeight w:val="450"/>
        </w:trPr>
        <w:tc>
          <w:tcPr>
            <w:tcW w:w="0" w:type="auto"/>
            <w:vMerge/>
            <w:tcBorders>
              <w:top w:val="nil"/>
              <w:left w:val="single" w:sz="8" w:space="0" w:color="auto"/>
              <w:bottom w:val="single" w:sz="4" w:space="0" w:color="000000"/>
              <w:right w:val="single" w:sz="4" w:space="0" w:color="auto"/>
            </w:tcBorders>
            <w:vAlign w:val="center"/>
            <w:hideMark/>
          </w:tcPr>
          <w:p w14:paraId="6D19FC8B"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18FA42BB"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53DEB881"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2590C0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nil"/>
              <w:left w:val="single" w:sz="4" w:space="0" w:color="auto"/>
              <w:bottom w:val="single" w:sz="4" w:space="0" w:color="000000"/>
              <w:right w:val="single" w:sz="4" w:space="0" w:color="auto"/>
            </w:tcBorders>
            <w:vAlign w:val="center"/>
            <w:hideMark/>
          </w:tcPr>
          <w:p w14:paraId="4D2F0FE1"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21811271"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FAD3B8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3D0EED9" w14:textId="3232150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167E827" w14:textId="465CC5B1"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A41FA87" w14:textId="7018FA9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0350F7F" w14:textId="0951F37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EA037AF" w14:textId="27F5945D"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3384DF10" w14:textId="13498ADB" w:rsidR="00842724" w:rsidRPr="00842724" w:rsidRDefault="00842724" w:rsidP="00B91F87">
            <w:pPr>
              <w:jc w:val="center"/>
              <w:rPr>
                <w:rFonts w:ascii="Arial" w:eastAsia="Times New Roman" w:hAnsi="Arial" w:cs="Arial"/>
                <w:b/>
                <w:bCs/>
                <w:sz w:val="16"/>
                <w:szCs w:val="16"/>
              </w:rPr>
            </w:pPr>
          </w:p>
        </w:tc>
      </w:tr>
      <w:tr w:rsidR="00842724" w:rsidRPr="00842724" w14:paraId="193FDC07" w14:textId="77777777" w:rsidTr="00B91F87">
        <w:trPr>
          <w:trHeight w:val="300"/>
        </w:trPr>
        <w:tc>
          <w:tcPr>
            <w:tcW w:w="14480" w:type="dxa"/>
            <w:gridSpan w:val="13"/>
            <w:tcBorders>
              <w:top w:val="nil"/>
              <w:left w:val="single" w:sz="8" w:space="0" w:color="auto"/>
              <w:bottom w:val="single" w:sz="4" w:space="0" w:color="auto"/>
              <w:right w:val="nil"/>
            </w:tcBorders>
            <w:shd w:val="clear" w:color="000000" w:fill="F79646"/>
            <w:noWrap/>
            <w:vAlign w:val="center"/>
            <w:hideMark/>
          </w:tcPr>
          <w:p w14:paraId="1C58E46D"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Impact Indicators</w:t>
            </w:r>
          </w:p>
        </w:tc>
      </w:tr>
      <w:tr w:rsidR="00BF216F" w:rsidRPr="00842724" w14:paraId="38EE51E5" w14:textId="77777777" w:rsidTr="00B91F87">
        <w:trPr>
          <w:trHeight w:val="300"/>
        </w:trPr>
        <w:tc>
          <w:tcPr>
            <w:tcW w:w="0" w:type="auto"/>
            <w:vMerge w:val="restart"/>
            <w:tcBorders>
              <w:top w:val="nil"/>
              <w:left w:val="single" w:sz="8" w:space="0" w:color="auto"/>
              <w:bottom w:val="single" w:sz="4" w:space="0" w:color="auto"/>
              <w:right w:val="single" w:sz="4" w:space="0" w:color="auto"/>
            </w:tcBorders>
            <w:shd w:val="clear" w:color="auto" w:fill="auto"/>
            <w:vAlign w:val="center"/>
            <w:hideMark/>
          </w:tcPr>
          <w:p w14:paraId="41E8B56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1.4</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7835D5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citizens who report increased multi-stakeholder engagement demanding more responsiveness of political actors to citizen priorities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5A0022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067EA90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427EAE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A6B8CF0" w14:textId="04ADD14B"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1B0AB80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nil"/>
              <w:bottom w:val="single" w:sz="4" w:space="0" w:color="auto"/>
              <w:right w:val="single" w:sz="4" w:space="0" w:color="auto"/>
            </w:tcBorders>
            <w:shd w:val="clear" w:color="auto" w:fill="auto"/>
            <w:vAlign w:val="center"/>
            <w:hideMark/>
          </w:tcPr>
          <w:p w14:paraId="0543443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009C604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0A27228C"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1A650DA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31C9BF3C"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23BA30C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50%</w:t>
            </w:r>
          </w:p>
        </w:tc>
      </w:tr>
      <w:tr w:rsidR="00BF216F" w:rsidRPr="00842724" w14:paraId="3AE83A19" w14:textId="77777777" w:rsidTr="00B91F87">
        <w:trPr>
          <w:trHeight w:val="300"/>
        </w:trPr>
        <w:tc>
          <w:tcPr>
            <w:tcW w:w="0" w:type="auto"/>
            <w:vMerge/>
            <w:tcBorders>
              <w:top w:val="nil"/>
              <w:left w:val="single" w:sz="8" w:space="0" w:color="auto"/>
              <w:bottom w:val="single" w:sz="4" w:space="0" w:color="auto"/>
              <w:right w:val="single" w:sz="4" w:space="0" w:color="auto"/>
            </w:tcBorders>
            <w:vAlign w:val="center"/>
            <w:hideMark/>
          </w:tcPr>
          <w:p w14:paraId="29C8893C"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0D458616"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F35B1D0"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9F35EC5" w14:textId="0760A996"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nil"/>
              <w:left w:val="single" w:sz="4" w:space="0" w:color="auto"/>
              <w:bottom w:val="single" w:sz="4" w:space="0" w:color="auto"/>
              <w:right w:val="single" w:sz="4" w:space="0" w:color="auto"/>
            </w:tcBorders>
            <w:vAlign w:val="center"/>
            <w:hideMark/>
          </w:tcPr>
          <w:p w14:paraId="588755C0"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5AF18AB4"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F63011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nil"/>
              <w:bottom w:val="single" w:sz="4" w:space="0" w:color="auto"/>
              <w:right w:val="single" w:sz="4" w:space="0" w:color="auto"/>
            </w:tcBorders>
            <w:shd w:val="clear" w:color="auto" w:fill="auto"/>
            <w:vAlign w:val="center"/>
            <w:hideMark/>
          </w:tcPr>
          <w:p w14:paraId="142CD5AD" w14:textId="2256918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70E01ED" w14:textId="6E1A6838"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F6C9DCB" w14:textId="061D2DAD"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4EE2D2B" w14:textId="286DE6B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0479BD8" w14:textId="1B39D6E6"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66328369" w14:textId="14F60129" w:rsidR="00842724" w:rsidRPr="00842724" w:rsidRDefault="00842724" w:rsidP="00B91F87">
            <w:pPr>
              <w:jc w:val="center"/>
              <w:rPr>
                <w:rFonts w:ascii="Arial" w:eastAsia="Times New Roman" w:hAnsi="Arial" w:cs="Arial"/>
                <w:b/>
                <w:bCs/>
                <w:sz w:val="16"/>
                <w:szCs w:val="16"/>
              </w:rPr>
            </w:pPr>
          </w:p>
        </w:tc>
      </w:tr>
      <w:tr w:rsidR="00BF216F" w:rsidRPr="00842724" w14:paraId="337F7EC4" w14:textId="77777777" w:rsidTr="00B91F87">
        <w:trPr>
          <w:trHeight w:val="450"/>
        </w:trPr>
        <w:tc>
          <w:tcPr>
            <w:tcW w:w="0" w:type="auto"/>
            <w:vMerge/>
            <w:tcBorders>
              <w:top w:val="nil"/>
              <w:left w:val="single" w:sz="8" w:space="0" w:color="auto"/>
              <w:bottom w:val="single" w:sz="4" w:space="0" w:color="auto"/>
              <w:right w:val="single" w:sz="4" w:space="0" w:color="auto"/>
            </w:tcBorders>
            <w:vAlign w:val="center"/>
            <w:hideMark/>
          </w:tcPr>
          <w:p w14:paraId="7A099A95"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5D7C4D99"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04B9D003"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76DA60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nil"/>
              <w:left w:val="single" w:sz="4" w:space="0" w:color="auto"/>
              <w:bottom w:val="single" w:sz="4" w:space="0" w:color="auto"/>
              <w:right w:val="single" w:sz="4" w:space="0" w:color="auto"/>
            </w:tcBorders>
            <w:vAlign w:val="center"/>
            <w:hideMark/>
          </w:tcPr>
          <w:p w14:paraId="748666ED"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32787E2"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E94D79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nil"/>
              <w:bottom w:val="single" w:sz="4" w:space="0" w:color="auto"/>
              <w:right w:val="single" w:sz="4" w:space="0" w:color="auto"/>
            </w:tcBorders>
            <w:shd w:val="clear" w:color="auto" w:fill="auto"/>
            <w:vAlign w:val="center"/>
            <w:hideMark/>
          </w:tcPr>
          <w:p w14:paraId="2F20C588" w14:textId="3C973FF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746B312" w14:textId="117C9CF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E508A04" w14:textId="749DEA0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42CB7213" w14:textId="6928AB0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1E42CB4" w14:textId="5836B95C"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7993BB25" w14:textId="4671DBA2" w:rsidR="00842724" w:rsidRPr="00842724" w:rsidRDefault="00842724" w:rsidP="00B91F87">
            <w:pPr>
              <w:jc w:val="center"/>
              <w:rPr>
                <w:rFonts w:ascii="Arial" w:eastAsia="Times New Roman" w:hAnsi="Arial" w:cs="Arial"/>
                <w:b/>
                <w:bCs/>
                <w:sz w:val="16"/>
                <w:szCs w:val="16"/>
              </w:rPr>
            </w:pPr>
          </w:p>
        </w:tc>
      </w:tr>
      <w:tr w:rsidR="00BF216F" w:rsidRPr="00842724" w14:paraId="3B1219F8" w14:textId="77777777" w:rsidTr="00B91F87">
        <w:trPr>
          <w:trHeight w:val="300"/>
        </w:trPr>
        <w:tc>
          <w:tcPr>
            <w:tcW w:w="0" w:type="auto"/>
            <w:vMerge w:val="restart"/>
            <w:tcBorders>
              <w:top w:val="nil"/>
              <w:left w:val="single" w:sz="8" w:space="0" w:color="auto"/>
              <w:bottom w:val="single" w:sz="4" w:space="0" w:color="auto"/>
              <w:right w:val="single" w:sz="4" w:space="0" w:color="auto"/>
            </w:tcBorders>
            <w:shd w:val="clear" w:color="auto" w:fill="auto"/>
            <w:vAlign w:val="center"/>
            <w:hideMark/>
          </w:tcPr>
          <w:p w14:paraId="3D2EF6A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1.5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DB9292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citizens who report increased opportunity to positively influence social platforms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36C97C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0806B81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4D1BA5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CE6E0AA" w14:textId="5AC808A1"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4045CF0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nil"/>
              <w:bottom w:val="single" w:sz="4" w:space="0" w:color="auto"/>
              <w:right w:val="single" w:sz="4" w:space="0" w:color="auto"/>
            </w:tcBorders>
            <w:shd w:val="clear" w:color="auto" w:fill="auto"/>
            <w:vAlign w:val="center"/>
            <w:hideMark/>
          </w:tcPr>
          <w:p w14:paraId="5123D6F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66FBC8D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645559B1"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395EB6D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019A14C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0F1BDDA1"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25%</w:t>
            </w:r>
          </w:p>
        </w:tc>
      </w:tr>
      <w:tr w:rsidR="00BF216F" w:rsidRPr="00842724" w14:paraId="1CD4A8DB" w14:textId="77777777" w:rsidTr="00B91F87">
        <w:trPr>
          <w:trHeight w:val="300"/>
        </w:trPr>
        <w:tc>
          <w:tcPr>
            <w:tcW w:w="0" w:type="auto"/>
            <w:vMerge/>
            <w:tcBorders>
              <w:top w:val="nil"/>
              <w:left w:val="single" w:sz="8" w:space="0" w:color="auto"/>
              <w:bottom w:val="single" w:sz="4" w:space="0" w:color="auto"/>
              <w:right w:val="single" w:sz="4" w:space="0" w:color="auto"/>
            </w:tcBorders>
            <w:vAlign w:val="center"/>
            <w:hideMark/>
          </w:tcPr>
          <w:p w14:paraId="407B1214"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4C71564B"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3084A99"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02290C5" w14:textId="1903AE32"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nil"/>
              <w:left w:val="single" w:sz="4" w:space="0" w:color="auto"/>
              <w:bottom w:val="single" w:sz="4" w:space="0" w:color="auto"/>
              <w:right w:val="single" w:sz="4" w:space="0" w:color="auto"/>
            </w:tcBorders>
            <w:vAlign w:val="center"/>
            <w:hideMark/>
          </w:tcPr>
          <w:p w14:paraId="2918B075"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33638A5"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227D80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nil"/>
              <w:bottom w:val="single" w:sz="4" w:space="0" w:color="auto"/>
              <w:right w:val="single" w:sz="4" w:space="0" w:color="auto"/>
            </w:tcBorders>
            <w:shd w:val="clear" w:color="auto" w:fill="auto"/>
            <w:vAlign w:val="center"/>
            <w:hideMark/>
          </w:tcPr>
          <w:p w14:paraId="0D964B79" w14:textId="3D3E6D8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9DA21C5" w14:textId="1EFDE60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04E60FA" w14:textId="0D6EAE01"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9EB2B90" w14:textId="6A1621D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DF31DDC" w14:textId="6E1C5DBD"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02CD6627" w14:textId="5144FD71" w:rsidR="00842724" w:rsidRPr="00842724" w:rsidRDefault="00842724" w:rsidP="00B91F87">
            <w:pPr>
              <w:jc w:val="center"/>
              <w:rPr>
                <w:rFonts w:ascii="Arial" w:eastAsia="Times New Roman" w:hAnsi="Arial" w:cs="Arial"/>
                <w:b/>
                <w:bCs/>
                <w:sz w:val="16"/>
                <w:szCs w:val="16"/>
              </w:rPr>
            </w:pPr>
          </w:p>
        </w:tc>
      </w:tr>
      <w:tr w:rsidR="00BF216F" w:rsidRPr="00842724" w14:paraId="50C68AF6" w14:textId="77777777" w:rsidTr="00B91F87">
        <w:trPr>
          <w:trHeight w:val="450"/>
        </w:trPr>
        <w:tc>
          <w:tcPr>
            <w:tcW w:w="0" w:type="auto"/>
            <w:vMerge/>
            <w:tcBorders>
              <w:top w:val="nil"/>
              <w:left w:val="single" w:sz="8" w:space="0" w:color="auto"/>
              <w:bottom w:val="single" w:sz="4" w:space="0" w:color="auto"/>
              <w:right w:val="single" w:sz="4" w:space="0" w:color="auto"/>
            </w:tcBorders>
            <w:vAlign w:val="center"/>
            <w:hideMark/>
          </w:tcPr>
          <w:p w14:paraId="255EA65D"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B210F3C"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7E523547"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2D2E5B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nil"/>
              <w:left w:val="single" w:sz="4" w:space="0" w:color="auto"/>
              <w:bottom w:val="single" w:sz="4" w:space="0" w:color="auto"/>
              <w:right w:val="single" w:sz="4" w:space="0" w:color="auto"/>
            </w:tcBorders>
            <w:vAlign w:val="center"/>
            <w:hideMark/>
          </w:tcPr>
          <w:p w14:paraId="5FC49B17"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147E9EDE"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8A1787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nil"/>
              <w:bottom w:val="single" w:sz="4" w:space="0" w:color="auto"/>
              <w:right w:val="single" w:sz="4" w:space="0" w:color="auto"/>
            </w:tcBorders>
            <w:shd w:val="clear" w:color="auto" w:fill="auto"/>
            <w:vAlign w:val="center"/>
            <w:hideMark/>
          </w:tcPr>
          <w:p w14:paraId="459895C6" w14:textId="5EBBB38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9B6AD84" w14:textId="61E386A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02B5999" w14:textId="70B1A67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A1928B5" w14:textId="6A4CB98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23B97B3" w14:textId="1C75C81C"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13376FBE" w14:textId="6D8A94C3" w:rsidR="00842724" w:rsidRPr="00842724" w:rsidRDefault="00842724" w:rsidP="00B91F87">
            <w:pPr>
              <w:jc w:val="center"/>
              <w:rPr>
                <w:rFonts w:ascii="Arial" w:eastAsia="Times New Roman" w:hAnsi="Arial" w:cs="Arial"/>
                <w:b/>
                <w:bCs/>
                <w:sz w:val="16"/>
                <w:szCs w:val="16"/>
              </w:rPr>
            </w:pPr>
          </w:p>
        </w:tc>
      </w:tr>
      <w:tr w:rsidR="00BF216F" w:rsidRPr="00842724" w14:paraId="6A8A2BFB" w14:textId="77777777" w:rsidTr="00B91F87">
        <w:trPr>
          <w:trHeight w:val="300"/>
        </w:trPr>
        <w:tc>
          <w:tcPr>
            <w:tcW w:w="0" w:type="auto"/>
            <w:vMerge w:val="restart"/>
            <w:tcBorders>
              <w:top w:val="nil"/>
              <w:left w:val="single" w:sz="8" w:space="0" w:color="auto"/>
              <w:bottom w:val="single" w:sz="4" w:space="0" w:color="auto"/>
              <w:right w:val="single" w:sz="4" w:space="0" w:color="auto"/>
            </w:tcBorders>
            <w:shd w:val="clear" w:color="auto" w:fill="auto"/>
            <w:vAlign w:val="center"/>
            <w:hideMark/>
          </w:tcPr>
          <w:p w14:paraId="6BCDEF6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1.6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6571A5" w14:textId="4EE8CA16"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 of citizens who report increased opportunity to mitigate </w:t>
            </w:r>
            <w:r w:rsidR="00BF216F" w:rsidRPr="00842724">
              <w:rPr>
                <w:rFonts w:ascii="Arial" w:eastAsia="Times New Roman" w:hAnsi="Arial" w:cs="Arial"/>
                <w:sz w:val="16"/>
                <w:szCs w:val="16"/>
              </w:rPr>
              <w:t>electoral</w:t>
            </w:r>
            <w:r w:rsidRPr="00842724">
              <w:rPr>
                <w:rFonts w:ascii="Arial" w:eastAsia="Times New Roman" w:hAnsi="Arial" w:cs="Arial"/>
                <w:sz w:val="16"/>
                <w:szCs w:val="16"/>
              </w:rPr>
              <w:t>-related conflict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CC5A84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15D55D6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56CCEF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A4CF3C9" w14:textId="35CAF00C"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65312AE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nil"/>
              <w:bottom w:val="single" w:sz="4" w:space="0" w:color="auto"/>
              <w:right w:val="single" w:sz="4" w:space="0" w:color="auto"/>
            </w:tcBorders>
            <w:shd w:val="clear" w:color="auto" w:fill="auto"/>
            <w:vAlign w:val="center"/>
            <w:hideMark/>
          </w:tcPr>
          <w:p w14:paraId="2A46D0C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79C54B3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20E3A22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57CF65F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4A8875D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701ED97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25%</w:t>
            </w:r>
          </w:p>
        </w:tc>
      </w:tr>
      <w:tr w:rsidR="00BF216F" w:rsidRPr="00842724" w14:paraId="21C2CEEA" w14:textId="77777777" w:rsidTr="00B91F87">
        <w:trPr>
          <w:trHeight w:val="300"/>
        </w:trPr>
        <w:tc>
          <w:tcPr>
            <w:tcW w:w="0" w:type="auto"/>
            <w:vMerge/>
            <w:tcBorders>
              <w:top w:val="nil"/>
              <w:left w:val="single" w:sz="8" w:space="0" w:color="auto"/>
              <w:bottom w:val="single" w:sz="4" w:space="0" w:color="auto"/>
              <w:right w:val="single" w:sz="4" w:space="0" w:color="auto"/>
            </w:tcBorders>
            <w:vAlign w:val="center"/>
            <w:hideMark/>
          </w:tcPr>
          <w:p w14:paraId="51C63664"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C217DFC"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BEAF659"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FF9B150" w14:textId="7879FEB0"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nil"/>
              <w:left w:val="single" w:sz="4" w:space="0" w:color="auto"/>
              <w:bottom w:val="single" w:sz="4" w:space="0" w:color="auto"/>
              <w:right w:val="single" w:sz="4" w:space="0" w:color="auto"/>
            </w:tcBorders>
            <w:vAlign w:val="center"/>
            <w:hideMark/>
          </w:tcPr>
          <w:p w14:paraId="19142301"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48FA825"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632519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nil"/>
              <w:bottom w:val="single" w:sz="4" w:space="0" w:color="auto"/>
              <w:right w:val="single" w:sz="4" w:space="0" w:color="auto"/>
            </w:tcBorders>
            <w:shd w:val="clear" w:color="auto" w:fill="auto"/>
            <w:vAlign w:val="center"/>
            <w:hideMark/>
          </w:tcPr>
          <w:p w14:paraId="536FA4AE" w14:textId="7B2C9DE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D0D76DB" w14:textId="79B2530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895B2FD" w14:textId="4928F31D"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2003819" w14:textId="43036DD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D750D06" w14:textId="75997D76"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E814F0F" w14:textId="1C6F0617" w:rsidR="00842724" w:rsidRPr="00842724" w:rsidRDefault="00842724" w:rsidP="00B91F87">
            <w:pPr>
              <w:jc w:val="center"/>
              <w:rPr>
                <w:rFonts w:ascii="Arial" w:eastAsia="Times New Roman" w:hAnsi="Arial" w:cs="Arial"/>
                <w:b/>
                <w:bCs/>
                <w:sz w:val="16"/>
                <w:szCs w:val="16"/>
              </w:rPr>
            </w:pPr>
          </w:p>
        </w:tc>
      </w:tr>
      <w:tr w:rsidR="00BF216F" w:rsidRPr="00842724" w14:paraId="22818392" w14:textId="77777777" w:rsidTr="00B91F87">
        <w:trPr>
          <w:trHeight w:val="450"/>
        </w:trPr>
        <w:tc>
          <w:tcPr>
            <w:tcW w:w="0" w:type="auto"/>
            <w:vMerge/>
            <w:tcBorders>
              <w:top w:val="nil"/>
              <w:left w:val="single" w:sz="8" w:space="0" w:color="auto"/>
              <w:bottom w:val="single" w:sz="4" w:space="0" w:color="auto"/>
              <w:right w:val="single" w:sz="4" w:space="0" w:color="auto"/>
            </w:tcBorders>
            <w:vAlign w:val="center"/>
            <w:hideMark/>
          </w:tcPr>
          <w:p w14:paraId="4988A007"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19700F27"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7B020024"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6CC4F0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nil"/>
              <w:left w:val="single" w:sz="4" w:space="0" w:color="auto"/>
              <w:bottom w:val="single" w:sz="4" w:space="0" w:color="auto"/>
              <w:right w:val="single" w:sz="4" w:space="0" w:color="auto"/>
            </w:tcBorders>
            <w:vAlign w:val="center"/>
            <w:hideMark/>
          </w:tcPr>
          <w:p w14:paraId="37009363"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2C23209F"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AA73D9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nil"/>
              <w:bottom w:val="single" w:sz="4" w:space="0" w:color="auto"/>
              <w:right w:val="single" w:sz="4" w:space="0" w:color="auto"/>
            </w:tcBorders>
            <w:shd w:val="clear" w:color="auto" w:fill="auto"/>
            <w:vAlign w:val="center"/>
            <w:hideMark/>
          </w:tcPr>
          <w:p w14:paraId="5CF1BA4B" w14:textId="6A495B5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4084A830" w14:textId="1B41571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C350437" w14:textId="34B7FD2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8EF9675" w14:textId="11789B0A"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A6BF698" w14:textId="5AE0937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1AE01B3C" w14:textId="74871FD6" w:rsidR="00842724" w:rsidRPr="00842724" w:rsidRDefault="00842724" w:rsidP="00B91F87">
            <w:pPr>
              <w:jc w:val="center"/>
              <w:rPr>
                <w:rFonts w:ascii="Arial" w:eastAsia="Times New Roman" w:hAnsi="Arial" w:cs="Arial"/>
                <w:b/>
                <w:bCs/>
                <w:sz w:val="16"/>
                <w:szCs w:val="16"/>
              </w:rPr>
            </w:pPr>
          </w:p>
        </w:tc>
      </w:tr>
      <w:tr w:rsidR="00BF216F" w:rsidRPr="00842724" w14:paraId="58D7DDB2" w14:textId="77777777" w:rsidTr="00B91F87">
        <w:trPr>
          <w:trHeight w:val="300"/>
        </w:trPr>
        <w:tc>
          <w:tcPr>
            <w:tcW w:w="0" w:type="auto"/>
            <w:vMerge w:val="restart"/>
            <w:tcBorders>
              <w:top w:val="nil"/>
              <w:left w:val="single" w:sz="8" w:space="0" w:color="auto"/>
              <w:bottom w:val="single" w:sz="4" w:space="0" w:color="auto"/>
              <w:right w:val="single" w:sz="4" w:space="0" w:color="auto"/>
            </w:tcBorders>
            <w:shd w:val="clear" w:color="auto" w:fill="auto"/>
            <w:vAlign w:val="center"/>
            <w:hideMark/>
          </w:tcPr>
          <w:p w14:paraId="5DA1496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1.7</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8A250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citizens who report they have been exposed to media reporting and/or other media activities around the electoral process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1BB35E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460F361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09A9DB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A075E0" w14:textId="1448CB76"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64D705C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nil"/>
              <w:bottom w:val="single" w:sz="4" w:space="0" w:color="auto"/>
              <w:right w:val="single" w:sz="4" w:space="0" w:color="auto"/>
            </w:tcBorders>
            <w:shd w:val="clear" w:color="auto" w:fill="auto"/>
            <w:vAlign w:val="center"/>
            <w:hideMark/>
          </w:tcPr>
          <w:p w14:paraId="2804FF8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62CCABC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60E6A5D1"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0B74296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0266270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23F3BE4A"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75%</w:t>
            </w:r>
          </w:p>
        </w:tc>
      </w:tr>
      <w:tr w:rsidR="00BF216F" w:rsidRPr="00842724" w14:paraId="447401A4" w14:textId="77777777" w:rsidTr="00B91F87">
        <w:trPr>
          <w:trHeight w:val="300"/>
        </w:trPr>
        <w:tc>
          <w:tcPr>
            <w:tcW w:w="0" w:type="auto"/>
            <w:vMerge/>
            <w:tcBorders>
              <w:top w:val="nil"/>
              <w:left w:val="single" w:sz="8" w:space="0" w:color="auto"/>
              <w:bottom w:val="single" w:sz="4" w:space="0" w:color="auto"/>
              <w:right w:val="single" w:sz="4" w:space="0" w:color="auto"/>
            </w:tcBorders>
            <w:vAlign w:val="center"/>
            <w:hideMark/>
          </w:tcPr>
          <w:p w14:paraId="6C60EB13"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5D2729F1"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4280EE13"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73A1B7A" w14:textId="7EDD577D"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nil"/>
              <w:left w:val="single" w:sz="4" w:space="0" w:color="auto"/>
              <w:bottom w:val="single" w:sz="4" w:space="0" w:color="auto"/>
              <w:right w:val="single" w:sz="4" w:space="0" w:color="auto"/>
            </w:tcBorders>
            <w:vAlign w:val="center"/>
            <w:hideMark/>
          </w:tcPr>
          <w:p w14:paraId="3B3D0996"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2FA59968"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EFB036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nil"/>
              <w:bottom w:val="single" w:sz="4" w:space="0" w:color="auto"/>
              <w:right w:val="single" w:sz="4" w:space="0" w:color="auto"/>
            </w:tcBorders>
            <w:shd w:val="clear" w:color="auto" w:fill="auto"/>
            <w:vAlign w:val="center"/>
            <w:hideMark/>
          </w:tcPr>
          <w:p w14:paraId="7EBF1B80" w14:textId="0C72554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48EF29E" w14:textId="193DD91D"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AFE4746" w14:textId="74BEE4F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8014B42" w14:textId="5A635AE8"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4B0DC26" w14:textId="30A35B83"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7FFA67FB" w14:textId="05FA7348" w:rsidR="00842724" w:rsidRPr="00842724" w:rsidRDefault="00842724" w:rsidP="00B91F87">
            <w:pPr>
              <w:jc w:val="center"/>
              <w:rPr>
                <w:rFonts w:ascii="Arial" w:eastAsia="Times New Roman" w:hAnsi="Arial" w:cs="Arial"/>
                <w:b/>
                <w:bCs/>
                <w:sz w:val="16"/>
                <w:szCs w:val="16"/>
              </w:rPr>
            </w:pPr>
          </w:p>
        </w:tc>
      </w:tr>
      <w:tr w:rsidR="00BF216F" w:rsidRPr="00842724" w14:paraId="341DA639" w14:textId="77777777" w:rsidTr="00B91F87">
        <w:trPr>
          <w:trHeight w:val="450"/>
        </w:trPr>
        <w:tc>
          <w:tcPr>
            <w:tcW w:w="0" w:type="auto"/>
            <w:vMerge/>
            <w:tcBorders>
              <w:top w:val="nil"/>
              <w:left w:val="single" w:sz="8" w:space="0" w:color="auto"/>
              <w:bottom w:val="single" w:sz="4" w:space="0" w:color="auto"/>
              <w:right w:val="single" w:sz="4" w:space="0" w:color="auto"/>
            </w:tcBorders>
            <w:vAlign w:val="center"/>
            <w:hideMark/>
          </w:tcPr>
          <w:p w14:paraId="316FDB5A"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2B3EDF51"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2609F52D"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70F958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nil"/>
              <w:left w:val="single" w:sz="4" w:space="0" w:color="auto"/>
              <w:bottom w:val="single" w:sz="4" w:space="0" w:color="auto"/>
              <w:right w:val="single" w:sz="4" w:space="0" w:color="auto"/>
            </w:tcBorders>
            <w:vAlign w:val="center"/>
            <w:hideMark/>
          </w:tcPr>
          <w:p w14:paraId="5BE7BE72"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481FEEB"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A1D5F9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nil"/>
              <w:bottom w:val="single" w:sz="4" w:space="0" w:color="auto"/>
              <w:right w:val="single" w:sz="4" w:space="0" w:color="auto"/>
            </w:tcBorders>
            <w:shd w:val="clear" w:color="auto" w:fill="auto"/>
            <w:vAlign w:val="center"/>
            <w:hideMark/>
          </w:tcPr>
          <w:p w14:paraId="03E975CF" w14:textId="7425379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2E593807" w14:textId="52D2A30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FC7365E" w14:textId="75C5111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87D751D" w14:textId="242D9F7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0029F84" w14:textId="054C22E7"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0FAE7DD2" w14:textId="54E3BD00" w:rsidR="00842724" w:rsidRPr="00842724" w:rsidRDefault="00842724" w:rsidP="00B91F87">
            <w:pPr>
              <w:jc w:val="center"/>
              <w:rPr>
                <w:rFonts w:ascii="Arial" w:eastAsia="Times New Roman" w:hAnsi="Arial" w:cs="Arial"/>
                <w:b/>
                <w:bCs/>
                <w:sz w:val="16"/>
                <w:szCs w:val="16"/>
              </w:rPr>
            </w:pPr>
          </w:p>
        </w:tc>
      </w:tr>
      <w:tr w:rsidR="00B91F87" w:rsidRPr="00842724" w14:paraId="3F428B01" w14:textId="77777777" w:rsidTr="00B91F87">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7EB6B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1.8</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356F4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citizens who report they have participated in media reporting and/or other media activities around the electoral process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FB42D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3F636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D6577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E553DB" w14:textId="4B70D28D"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CECF4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9F1AA2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single" w:sz="4" w:space="0" w:color="auto"/>
              <w:bottom w:val="single" w:sz="4" w:space="0" w:color="auto"/>
              <w:right w:val="single" w:sz="4" w:space="0" w:color="auto"/>
            </w:tcBorders>
            <w:shd w:val="clear" w:color="000000" w:fill="F2F2F2"/>
            <w:vAlign w:val="center"/>
            <w:hideMark/>
          </w:tcPr>
          <w:p w14:paraId="5719AD8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23DF1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single" w:sz="4" w:space="0" w:color="auto"/>
              <w:bottom w:val="single" w:sz="4" w:space="0" w:color="auto"/>
              <w:right w:val="single" w:sz="4" w:space="0" w:color="auto"/>
            </w:tcBorders>
            <w:shd w:val="clear" w:color="000000" w:fill="F2F2F2"/>
            <w:vAlign w:val="center"/>
            <w:hideMark/>
          </w:tcPr>
          <w:p w14:paraId="6E31C87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E4AB5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D8EEDB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10%</w:t>
            </w:r>
          </w:p>
        </w:tc>
      </w:tr>
      <w:tr w:rsidR="00BF216F" w:rsidRPr="00842724" w14:paraId="32806010" w14:textId="77777777" w:rsidTr="00B91F87">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DB7310"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DA1483"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51CE6A"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6896C4" w14:textId="3FD694F9"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CCA60"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C914D"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7F1B4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4473B34" w14:textId="261DE47B"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7BB718BF" w14:textId="63D31C39"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3D55F1" w14:textId="34EE92DF"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5E16D072" w14:textId="3F853886"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C4793B6" w14:textId="74D63967" w:rsidR="00842724" w:rsidRPr="00842724" w:rsidRDefault="00842724" w:rsidP="00B91F87">
            <w:pPr>
              <w:jc w:val="center"/>
              <w:rPr>
                <w:rFonts w:ascii="Arial" w:eastAsia="Times New Roman" w:hAnsi="Arial" w:cs="Arial"/>
                <w:b/>
                <w:bCs/>
                <w:sz w:val="16"/>
                <w:szCs w:val="16"/>
              </w:rPr>
            </w:pPr>
          </w:p>
        </w:tc>
        <w:tc>
          <w:tcPr>
            <w:tcW w:w="654" w:type="dxa"/>
            <w:tcBorders>
              <w:top w:val="single" w:sz="4" w:space="0" w:color="auto"/>
              <w:left w:val="nil"/>
              <w:bottom w:val="single" w:sz="4" w:space="0" w:color="auto"/>
              <w:right w:val="single" w:sz="4" w:space="0" w:color="auto"/>
            </w:tcBorders>
            <w:shd w:val="clear" w:color="000000" w:fill="F2F2F2"/>
            <w:vAlign w:val="center"/>
            <w:hideMark/>
          </w:tcPr>
          <w:p w14:paraId="50FA6EFA" w14:textId="5965249E" w:rsidR="00842724" w:rsidRPr="00842724" w:rsidRDefault="00842724" w:rsidP="00B91F87">
            <w:pPr>
              <w:jc w:val="center"/>
              <w:rPr>
                <w:rFonts w:ascii="Arial" w:eastAsia="Times New Roman" w:hAnsi="Arial" w:cs="Arial"/>
                <w:b/>
                <w:bCs/>
                <w:sz w:val="16"/>
                <w:szCs w:val="16"/>
              </w:rPr>
            </w:pPr>
          </w:p>
        </w:tc>
      </w:tr>
      <w:tr w:rsidR="00BF216F" w:rsidRPr="00842724" w14:paraId="56F17E7B" w14:textId="77777777" w:rsidTr="00B91F87">
        <w:trPr>
          <w:trHeight w:val="4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F2073B"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D0C0580"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113BD9A5"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01946C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nil"/>
              <w:left w:val="single" w:sz="4" w:space="0" w:color="auto"/>
              <w:bottom w:val="single" w:sz="4" w:space="0" w:color="auto"/>
              <w:right w:val="single" w:sz="4" w:space="0" w:color="auto"/>
            </w:tcBorders>
            <w:vAlign w:val="center"/>
            <w:hideMark/>
          </w:tcPr>
          <w:p w14:paraId="24BC8D0B"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7BAF8B"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40A4B7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nil"/>
              <w:bottom w:val="single" w:sz="4" w:space="0" w:color="auto"/>
              <w:right w:val="single" w:sz="4" w:space="0" w:color="auto"/>
            </w:tcBorders>
            <w:shd w:val="clear" w:color="auto" w:fill="auto"/>
            <w:vAlign w:val="center"/>
            <w:hideMark/>
          </w:tcPr>
          <w:p w14:paraId="29FD609B" w14:textId="183AB98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86FEE60" w14:textId="1FEB909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918D16E" w14:textId="2B16949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48277334" w14:textId="1C4F7DB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C7B70AD" w14:textId="30967793"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169E6E13" w14:textId="17760EAF" w:rsidR="00842724" w:rsidRPr="00842724" w:rsidRDefault="00842724" w:rsidP="00B91F87">
            <w:pPr>
              <w:jc w:val="center"/>
              <w:rPr>
                <w:rFonts w:ascii="Arial" w:eastAsia="Times New Roman" w:hAnsi="Arial" w:cs="Arial"/>
                <w:b/>
                <w:bCs/>
                <w:sz w:val="16"/>
                <w:szCs w:val="16"/>
              </w:rPr>
            </w:pPr>
          </w:p>
        </w:tc>
      </w:tr>
      <w:tr w:rsidR="00842724" w:rsidRPr="00842724" w14:paraId="0D3344F4" w14:textId="77777777" w:rsidTr="00B91F87">
        <w:trPr>
          <w:trHeight w:val="315"/>
        </w:trPr>
        <w:tc>
          <w:tcPr>
            <w:tcW w:w="0" w:type="auto"/>
            <w:tcBorders>
              <w:top w:val="single" w:sz="4" w:space="0" w:color="auto"/>
              <w:left w:val="single" w:sz="8" w:space="0" w:color="auto"/>
              <w:bottom w:val="single" w:sz="8" w:space="0" w:color="auto"/>
              <w:right w:val="single" w:sz="8" w:space="0" w:color="auto"/>
            </w:tcBorders>
            <w:shd w:val="clear" w:color="000000" w:fill="C0C0C0"/>
            <w:vAlign w:val="center"/>
            <w:hideMark/>
          </w:tcPr>
          <w:p w14:paraId="098E1BA4" w14:textId="271DFF9B" w:rsidR="00842724" w:rsidRPr="00842724" w:rsidRDefault="00842724" w:rsidP="00B91F87">
            <w:pPr>
              <w:jc w:val="center"/>
              <w:rPr>
                <w:rFonts w:ascii="Arial" w:eastAsia="Times New Roman" w:hAnsi="Arial" w:cs="Arial"/>
                <w:b/>
                <w:bCs/>
                <w:sz w:val="20"/>
                <w:szCs w:val="20"/>
              </w:rPr>
            </w:pPr>
          </w:p>
        </w:tc>
        <w:tc>
          <w:tcPr>
            <w:tcW w:w="13929" w:type="dxa"/>
            <w:gridSpan w:val="12"/>
            <w:tcBorders>
              <w:top w:val="single" w:sz="8" w:space="0" w:color="auto"/>
              <w:left w:val="nil"/>
              <w:bottom w:val="single" w:sz="8" w:space="0" w:color="auto"/>
              <w:right w:val="nil"/>
            </w:tcBorders>
            <w:shd w:val="clear" w:color="000000" w:fill="C0C0C0"/>
            <w:vAlign w:val="center"/>
            <w:hideMark/>
          </w:tcPr>
          <w:p w14:paraId="2BC705B9" w14:textId="77777777" w:rsidR="00842724" w:rsidRPr="00842724" w:rsidRDefault="00842724" w:rsidP="00B91F87">
            <w:pPr>
              <w:jc w:val="center"/>
              <w:rPr>
                <w:rFonts w:ascii="Arial" w:eastAsia="Times New Roman" w:hAnsi="Arial" w:cs="Arial"/>
                <w:b/>
                <w:bCs/>
                <w:sz w:val="20"/>
                <w:szCs w:val="20"/>
              </w:rPr>
            </w:pPr>
            <w:r w:rsidRPr="00842724">
              <w:rPr>
                <w:rFonts w:ascii="Arial" w:eastAsia="Times New Roman" w:hAnsi="Arial" w:cs="Arial"/>
                <w:b/>
                <w:bCs/>
                <w:sz w:val="20"/>
                <w:szCs w:val="20"/>
              </w:rPr>
              <w:t>Outcome 2: Informed Multi-stakeholder (government and non-government) contribution to specific elements of reform implementation for targeted citizen priorities</w:t>
            </w:r>
          </w:p>
        </w:tc>
      </w:tr>
      <w:tr w:rsidR="00BF216F" w:rsidRPr="00842724" w14:paraId="4022D7FA" w14:textId="77777777" w:rsidTr="00B91F87">
        <w:trPr>
          <w:trHeight w:val="480"/>
        </w:trPr>
        <w:tc>
          <w:tcPr>
            <w:tcW w:w="0" w:type="auto"/>
            <w:tcBorders>
              <w:top w:val="nil"/>
              <w:left w:val="single" w:sz="8" w:space="0" w:color="auto"/>
              <w:bottom w:val="nil"/>
              <w:right w:val="single" w:sz="4" w:space="0" w:color="auto"/>
            </w:tcBorders>
            <w:shd w:val="clear" w:color="000000" w:fill="C0C0C0"/>
            <w:vAlign w:val="center"/>
            <w:hideMark/>
          </w:tcPr>
          <w:p w14:paraId="02E907B5"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Ind.</w:t>
            </w:r>
          </w:p>
        </w:tc>
        <w:tc>
          <w:tcPr>
            <w:tcW w:w="0" w:type="auto"/>
            <w:tcBorders>
              <w:top w:val="nil"/>
              <w:left w:val="nil"/>
              <w:bottom w:val="nil"/>
              <w:right w:val="single" w:sz="4" w:space="0" w:color="auto"/>
            </w:tcBorders>
            <w:shd w:val="clear" w:color="000000" w:fill="C0C0C0"/>
            <w:vAlign w:val="center"/>
            <w:hideMark/>
          </w:tcPr>
          <w:p w14:paraId="40D94DAC"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Indicators</w:t>
            </w:r>
          </w:p>
        </w:tc>
        <w:tc>
          <w:tcPr>
            <w:tcW w:w="0" w:type="auto"/>
            <w:tcBorders>
              <w:top w:val="nil"/>
              <w:left w:val="nil"/>
              <w:bottom w:val="nil"/>
              <w:right w:val="single" w:sz="4" w:space="0" w:color="auto"/>
            </w:tcBorders>
            <w:shd w:val="clear" w:color="000000" w:fill="C0C0C0"/>
            <w:vAlign w:val="center"/>
            <w:hideMark/>
          </w:tcPr>
          <w:p w14:paraId="6B858BB0"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Data Source</w:t>
            </w:r>
          </w:p>
        </w:tc>
        <w:tc>
          <w:tcPr>
            <w:tcW w:w="0" w:type="auto"/>
            <w:tcBorders>
              <w:top w:val="nil"/>
              <w:left w:val="nil"/>
              <w:bottom w:val="nil"/>
              <w:right w:val="single" w:sz="4" w:space="0" w:color="auto"/>
            </w:tcBorders>
            <w:shd w:val="clear" w:color="000000" w:fill="C0C0C0"/>
            <w:vAlign w:val="center"/>
            <w:hideMark/>
          </w:tcPr>
          <w:p w14:paraId="7D4CC55C"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Method of data collection; frequency</w:t>
            </w:r>
          </w:p>
        </w:tc>
        <w:tc>
          <w:tcPr>
            <w:tcW w:w="0" w:type="auto"/>
            <w:tcBorders>
              <w:top w:val="nil"/>
              <w:left w:val="nil"/>
              <w:bottom w:val="nil"/>
              <w:right w:val="single" w:sz="4" w:space="0" w:color="auto"/>
            </w:tcBorders>
            <w:shd w:val="clear" w:color="000000" w:fill="C0C0C0"/>
            <w:vAlign w:val="center"/>
            <w:hideMark/>
          </w:tcPr>
          <w:p w14:paraId="053C6651"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Disaggregation</w:t>
            </w:r>
          </w:p>
        </w:tc>
        <w:tc>
          <w:tcPr>
            <w:tcW w:w="0" w:type="auto"/>
            <w:tcBorders>
              <w:top w:val="nil"/>
              <w:left w:val="nil"/>
              <w:bottom w:val="nil"/>
              <w:right w:val="single" w:sz="4" w:space="0" w:color="auto"/>
            </w:tcBorders>
            <w:shd w:val="clear" w:color="000000" w:fill="C0C0C0"/>
            <w:vAlign w:val="center"/>
            <w:hideMark/>
          </w:tcPr>
          <w:p w14:paraId="792DE9B2"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Baseline</w:t>
            </w:r>
          </w:p>
        </w:tc>
        <w:tc>
          <w:tcPr>
            <w:tcW w:w="0" w:type="auto"/>
            <w:tcBorders>
              <w:top w:val="nil"/>
              <w:left w:val="nil"/>
              <w:bottom w:val="nil"/>
              <w:right w:val="single" w:sz="4" w:space="0" w:color="auto"/>
            </w:tcBorders>
            <w:shd w:val="clear" w:color="000000" w:fill="C0C0C0"/>
            <w:vAlign w:val="center"/>
            <w:hideMark/>
          </w:tcPr>
          <w:p w14:paraId="716B3B4F" w14:textId="44E3A158" w:rsidR="00842724" w:rsidRPr="00842724" w:rsidRDefault="00842724" w:rsidP="00B91F87">
            <w:pPr>
              <w:jc w:val="center"/>
              <w:rPr>
                <w:rFonts w:ascii="Arial" w:eastAsia="Times New Roman" w:hAnsi="Arial" w:cs="Arial"/>
                <w:b/>
                <w:bCs/>
                <w:sz w:val="18"/>
                <w:szCs w:val="18"/>
              </w:rPr>
            </w:pPr>
          </w:p>
        </w:tc>
        <w:tc>
          <w:tcPr>
            <w:tcW w:w="0" w:type="auto"/>
            <w:tcBorders>
              <w:top w:val="nil"/>
              <w:left w:val="single" w:sz="4" w:space="0" w:color="auto"/>
              <w:bottom w:val="nil"/>
              <w:right w:val="single" w:sz="4" w:space="0" w:color="auto"/>
            </w:tcBorders>
            <w:shd w:val="clear" w:color="000000" w:fill="FFFFFF"/>
            <w:vAlign w:val="center"/>
            <w:hideMark/>
          </w:tcPr>
          <w:p w14:paraId="39CF4A6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1</w:t>
            </w:r>
          </w:p>
        </w:tc>
        <w:tc>
          <w:tcPr>
            <w:tcW w:w="0" w:type="auto"/>
            <w:tcBorders>
              <w:top w:val="nil"/>
              <w:left w:val="nil"/>
              <w:bottom w:val="nil"/>
              <w:right w:val="single" w:sz="4" w:space="0" w:color="auto"/>
            </w:tcBorders>
            <w:shd w:val="clear" w:color="000000" w:fill="F2F2F2"/>
            <w:vAlign w:val="center"/>
            <w:hideMark/>
          </w:tcPr>
          <w:p w14:paraId="6065F8E7"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2</w:t>
            </w:r>
          </w:p>
        </w:tc>
        <w:tc>
          <w:tcPr>
            <w:tcW w:w="0" w:type="auto"/>
            <w:tcBorders>
              <w:top w:val="nil"/>
              <w:left w:val="nil"/>
              <w:bottom w:val="nil"/>
              <w:right w:val="single" w:sz="4" w:space="0" w:color="auto"/>
            </w:tcBorders>
            <w:shd w:val="clear" w:color="000000" w:fill="FFFFFF"/>
            <w:vAlign w:val="center"/>
            <w:hideMark/>
          </w:tcPr>
          <w:p w14:paraId="430AAB8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3</w:t>
            </w:r>
          </w:p>
        </w:tc>
        <w:tc>
          <w:tcPr>
            <w:tcW w:w="0" w:type="auto"/>
            <w:tcBorders>
              <w:top w:val="nil"/>
              <w:left w:val="nil"/>
              <w:bottom w:val="nil"/>
              <w:right w:val="single" w:sz="4" w:space="0" w:color="auto"/>
            </w:tcBorders>
            <w:shd w:val="clear" w:color="000000" w:fill="F2F2F2"/>
            <w:vAlign w:val="center"/>
            <w:hideMark/>
          </w:tcPr>
          <w:p w14:paraId="0B64472C"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4</w:t>
            </w:r>
          </w:p>
        </w:tc>
        <w:tc>
          <w:tcPr>
            <w:tcW w:w="0" w:type="auto"/>
            <w:tcBorders>
              <w:top w:val="nil"/>
              <w:left w:val="nil"/>
              <w:bottom w:val="nil"/>
              <w:right w:val="single" w:sz="4" w:space="0" w:color="auto"/>
            </w:tcBorders>
            <w:shd w:val="clear" w:color="000000" w:fill="FFFFFF"/>
            <w:vAlign w:val="center"/>
            <w:hideMark/>
          </w:tcPr>
          <w:p w14:paraId="210B1BA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5</w:t>
            </w:r>
          </w:p>
        </w:tc>
        <w:tc>
          <w:tcPr>
            <w:tcW w:w="654" w:type="dxa"/>
            <w:tcBorders>
              <w:top w:val="nil"/>
              <w:left w:val="nil"/>
              <w:bottom w:val="nil"/>
              <w:right w:val="single" w:sz="4" w:space="0" w:color="auto"/>
            </w:tcBorders>
            <w:shd w:val="clear" w:color="000000" w:fill="F2F2F2"/>
            <w:vAlign w:val="center"/>
            <w:hideMark/>
          </w:tcPr>
          <w:p w14:paraId="422FD59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LOP</w:t>
            </w:r>
          </w:p>
        </w:tc>
      </w:tr>
      <w:tr w:rsidR="00842724" w:rsidRPr="00842724" w14:paraId="73852B7E" w14:textId="77777777" w:rsidTr="00B91F87">
        <w:trPr>
          <w:trHeight w:val="300"/>
        </w:trPr>
        <w:tc>
          <w:tcPr>
            <w:tcW w:w="14480" w:type="dxa"/>
            <w:gridSpan w:val="13"/>
            <w:tcBorders>
              <w:top w:val="single" w:sz="4" w:space="0" w:color="auto"/>
              <w:left w:val="single" w:sz="8" w:space="0" w:color="auto"/>
              <w:bottom w:val="single" w:sz="4" w:space="0" w:color="auto"/>
              <w:right w:val="nil"/>
            </w:tcBorders>
            <w:shd w:val="clear" w:color="000000" w:fill="F79646"/>
            <w:noWrap/>
            <w:vAlign w:val="center"/>
            <w:hideMark/>
          </w:tcPr>
          <w:p w14:paraId="13C479E6"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Output Indicators</w:t>
            </w:r>
          </w:p>
        </w:tc>
      </w:tr>
      <w:tr w:rsidR="00BF216F" w:rsidRPr="00842724" w14:paraId="6B6C1C85" w14:textId="77777777" w:rsidTr="00B91F87">
        <w:trPr>
          <w:trHeight w:val="450"/>
        </w:trPr>
        <w:tc>
          <w:tcPr>
            <w:tcW w:w="0" w:type="auto"/>
            <w:vMerge w:val="restart"/>
            <w:tcBorders>
              <w:top w:val="nil"/>
              <w:left w:val="single" w:sz="8" w:space="0" w:color="auto"/>
              <w:bottom w:val="nil"/>
              <w:right w:val="single" w:sz="4" w:space="0" w:color="auto"/>
            </w:tcBorders>
            <w:shd w:val="clear" w:color="auto" w:fill="auto"/>
            <w:vAlign w:val="center"/>
            <w:hideMark/>
          </w:tcPr>
          <w:p w14:paraId="56E270CA"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2.1</w:t>
            </w:r>
          </w:p>
        </w:tc>
        <w:tc>
          <w:tcPr>
            <w:tcW w:w="0" w:type="auto"/>
            <w:vMerge w:val="restart"/>
            <w:tcBorders>
              <w:top w:val="nil"/>
              <w:left w:val="single" w:sz="4" w:space="0" w:color="auto"/>
              <w:bottom w:val="nil"/>
              <w:right w:val="single" w:sz="4" w:space="0" w:color="auto"/>
            </w:tcBorders>
            <w:shd w:val="clear" w:color="auto" w:fill="auto"/>
            <w:vAlign w:val="center"/>
            <w:hideMark/>
          </w:tcPr>
          <w:p w14:paraId="480DE480"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of cultural actions supported by PRG-PA</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803EAA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Partners/grantees</w:t>
            </w:r>
          </w:p>
        </w:tc>
        <w:tc>
          <w:tcPr>
            <w:tcW w:w="0" w:type="auto"/>
            <w:tcBorders>
              <w:top w:val="nil"/>
              <w:left w:val="nil"/>
              <w:bottom w:val="single" w:sz="4" w:space="0" w:color="auto"/>
              <w:right w:val="single" w:sz="4" w:space="0" w:color="auto"/>
            </w:tcBorders>
            <w:shd w:val="clear" w:color="auto" w:fill="auto"/>
            <w:vAlign w:val="center"/>
            <w:hideMark/>
          </w:tcPr>
          <w:p w14:paraId="294DCE9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KM Portal, activity plan/agenda, participant list, event photos, copies of drawings, etc.</w:t>
            </w:r>
          </w:p>
        </w:tc>
        <w:tc>
          <w:tcPr>
            <w:tcW w:w="0" w:type="auto"/>
            <w:vMerge w:val="restart"/>
            <w:tcBorders>
              <w:top w:val="nil"/>
              <w:left w:val="single" w:sz="4" w:space="0" w:color="auto"/>
              <w:bottom w:val="nil"/>
              <w:right w:val="single" w:sz="4" w:space="0" w:color="auto"/>
            </w:tcBorders>
            <w:shd w:val="clear" w:color="auto" w:fill="auto"/>
            <w:vAlign w:val="center"/>
            <w:hideMark/>
          </w:tcPr>
          <w:p w14:paraId="28FAC94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Type of action</w:t>
            </w:r>
          </w:p>
        </w:tc>
        <w:tc>
          <w:tcPr>
            <w:tcW w:w="0" w:type="auto"/>
            <w:vMerge w:val="restart"/>
            <w:tcBorders>
              <w:top w:val="nil"/>
              <w:left w:val="single" w:sz="4" w:space="0" w:color="auto"/>
              <w:bottom w:val="nil"/>
              <w:right w:val="single" w:sz="4" w:space="0" w:color="auto"/>
            </w:tcBorders>
            <w:shd w:val="clear" w:color="auto" w:fill="auto"/>
            <w:vAlign w:val="center"/>
            <w:hideMark/>
          </w:tcPr>
          <w:p w14:paraId="38095807"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5982E23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D2CC0A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w:t>
            </w:r>
          </w:p>
        </w:tc>
        <w:tc>
          <w:tcPr>
            <w:tcW w:w="0" w:type="auto"/>
            <w:tcBorders>
              <w:top w:val="nil"/>
              <w:left w:val="nil"/>
              <w:bottom w:val="single" w:sz="4" w:space="0" w:color="auto"/>
              <w:right w:val="single" w:sz="4" w:space="0" w:color="auto"/>
            </w:tcBorders>
            <w:shd w:val="clear" w:color="000000" w:fill="F2F2F2"/>
            <w:vAlign w:val="center"/>
            <w:hideMark/>
          </w:tcPr>
          <w:p w14:paraId="08E89A3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w:t>
            </w:r>
          </w:p>
        </w:tc>
        <w:tc>
          <w:tcPr>
            <w:tcW w:w="0" w:type="auto"/>
            <w:tcBorders>
              <w:top w:val="nil"/>
              <w:left w:val="nil"/>
              <w:bottom w:val="single" w:sz="4" w:space="0" w:color="auto"/>
              <w:right w:val="single" w:sz="4" w:space="0" w:color="auto"/>
            </w:tcBorders>
            <w:shd w:val="clear" w:color="auto" w:fill="auto"/>
            <w:vAlign w:val="center"/>
            <w:hideMark/>
          </w:tcPr>
          <w:p w14:paraId="5E721DD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w:t>
            </w:r>
          </w:p>
        </w:tc>
        <w:tc>
          <w:tcPr>
            <w:tcW w:w="0" w:type="auto"/>
            <w:tcBorders>
              <w:top w:val="nil"/>
              <w:left w:val="nil"/>
              <w:bottom w:val="single" w:sz="4" w:space="0" w:color="auto"/>
              <w:right w:val="single" w:sz="4" w:space="0" w:color="auto"/>
            </w:tcBorders>
            <w:shd w:val="clear" w:color="000000" w:fill="F2F2F2"/>
            <w:vAlign w:val="center"/>
            <w:hideMark/>
          </w:tcPr>
          <w:p w14:paraId="5AF0328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w:t>
            </w:r>
          </w:p>
        </w:tc>
        <w:tc>
          <w:tcPr>
            <w:tcW w:w="0" w:type="auto"/>
            <w:tcBorders>
              <w:top w:val="nil"/>
              <w:left w:val="nil"/>
              <w:bottom w:val="single" w:sz="4" w:space="0" w:color="auto"/>
              <w:right w:val="single" w:sz="4" w:space="0" w:color="auto"/>
            </w:tcBorders>
            <w:shd w:val="clear" w:color="auto" w:fill="auto"/>
            <w:vAlign w:val="center"/>
            <w:hideMark/>
          </w:tcPr>
          <w:p w14:paraId="4BCF21F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w:t>
            </w:r>
          </w:p>
        </w:tc>
        <w:tc>
          <w:tcPr>
            <w:tcW w:w="654" w:type="dxa"/>
            <w:tcBorders>
              <w:top w:val="nil"/>
              <w:left w:val="nil"/>
              <w:bottom w:val="single" w:sz="4" w:space="0" w:color="auto"/>
              <w:right w:val="single" w:sz="4" w:space="0" w:color="auto"/>
            </w:tcBorders>
            <w:shd w:val="clear" w:color="000000" w:fill="F2F2F2"/>
            <w:vAlign w:val="center"/>
            <w:hideMark/>
          </w:tcPr>
          <w:p w14:paraId="6456A7B1"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8</w:t>
            </w:r>
          </w:p>
        </w:tc>
      </w:tr>
      <w:tr w:rsidR="00BF216F" w:rsidRPr="00842724" w14:paraId="09B280CB" w14:textId="77777777" w:rsidTr="00B91F87">
        <w:trPr>
          <w:trHeight w:val="300"/>
        </w:trPr>
        <w:tc>
          <w:tcPr>
            <w:tcW w:w="0" w:type="auto"/>
            <w:vMerge/>
            <w:tcBorders>
              <w:top w:val="nil"/>
              <w:left w:val="single" w:sz="8" w:space="0" w:color="auto"/>
              <w:bottom w:val="nil"/>
              <w:right w:val="single" w:sz="4" w:space="0" w:color="auto"/>
            </w:tcBorders>
            <w:vAlign w:val="center"/>
            <w:hideMark/>
          </w:tcPr>
          <w:p w14:paraId="2D8F17BF"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nil"/>
              <w:right w:val="single" w:sz="4" w:space="0" w:color="auto"/>
            </w:tcBorders>
            <w:vAlign w:val="center"/>
            <w:hideMark/>
          </w:tcPr>
          <w:p w14:paraId="658ED6EC"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33D80216"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0D4E47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nil"/>
              <w:left w:val="single" w:sz="4" w:space="0" w:color="auto"/>
              <w:bottom w:val="nil"/>
              <w:right w:val="single" w:sz="4" w:space="0" w:color="auto"/>
            </w:tcBorders>
            <w:vAlign w:val="center"/>
            <w:hideMark/>
          </w:tcPr>
          <w:p w14:paraId="024DF809"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04313157"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E3E7AD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DFB0C9F" w14:textId="6BB1841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3202F5D" w14:textId="14260988"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4C5E984" w14:textId="1248547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79C218E" w14:textId="7BDE0E1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BC00BB2" w14:textId="10CF3132"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618D6D99" w14:textId="779EFE7D" w:rsidR="00842724" w:rsidRPr="00842724" w:rsidRDefault="00842724" w:rsidP="00B91F87">
            <w:pPr>
              <w:jc w:val="center"/>
              <w:rPr>
                <w:rFonts w:ascii="Arial" w:eastAsia="Times New Roman" w:hAnsi="Arial" w:cs="Arial"/>
                <w:b/>
                <w:bCs/>
                <w:sz w:val="16"/>
                <w:szCs w:val="16"/>
              </w:rPr>
            </w:pPr>
          </w:p>
        </w:tc>
      </w:tr>
      <w:tr w:rsidR="00BF216F" w:rsidRPr="00842724" w14:paraId="36AD719E" w14:textId="77777777" w:rsidTr="00B91F87">
        <w:trPr>
          <w:trHeight w:val="450"/>
        </w:trPr>
        <w:tc>
          <w:tcPr>
            <w:tcW w:w="0" w:type="auto"/>
            <w:vMerge/>
            <w:tcBorders>
              <w:top w:val="nil"/>
              <w:left w:val="single" w:sz="8" w:space="0" w:color="auto"/>
              <w:bottom w:val="nil"/>
              <w:right w:val="single" w:sz="4" w:space="0" w:color="auto"/>
            </w:tcBorders>
            <w:vAlign w:val="center"/>
            <w:hideMark/>
          </w:tcPr>
          <w:p w14:paraId="2003A90A"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nil"/>
              <w:right w:val="single" w:sz="4" w:space="0" w:color="auto"/>
            </w:tcBorders>
            <w:vAlign w:val="center"/>
            <w:hideMark/>
          </w:tcPr>
          <w:p w14:paraId="4778AE70"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7BC8D54D"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2ABEA4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Quarterly</w:t>
            </w:r>
          </w:p>
        </w:tc>
        <w:tc>
          <w:tcPr>
            <w:tcW w:w="0" w:type="auto"/>
            <w:vMerge/>
            <w:tcBorders>
              <w:top w:val="nil"/>
              <w:left w:val="single" w:sz="4" w:space="0" w:color="auto"/>
              <w:bottom w:val="nil"/>
              <w:right w:val="single" w:sz="4" w:space="0" w:color="auto"/>
            </w:tcBorders>
            <w:vAlign w:val="center"/>
            <w:hideMark/>
          </w:tcPr>
          <w:p w14:paraId="784770A5"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67B95563"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C0DA31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23660F4" w14:textId="2995EB8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B3241F0" w14:textId="7778BBD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218711A" w14:textId="6DCBB46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4EB7AEE9" w14:textId="3AD4800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7BE10E2" w14:textId="053F5CD7"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19AB20D" w14:textId="6AD9599A" w:rsidR="00842724" w:rsidRPr="00842724" w:rsidRDefault="00842724" w:rsidP="00B91F87">
            <w:pPr>
              <w:jc w:val="center"/>
              <w:rPr>
                <w:rFonts w:ascii="Arial" w:eastAsia="Times New Roman" w:hAnsi="Arial" w:cs="Arial"/>
                <w:b/>
                <w:bCs/>
                <w:sz w:val="16"/>
                <w:szCs w:val="16"/>
              </w:rPr>
            </w:pPr>
          </w:p>
        </w:tc>
      </w:tr>
      <w:tr w:rsidR="00BF216F" w:rsidRPr="00842724" w14:paraId="7DE59E34" w14:textId="77777777" w:rsidTr="00B91F87">
        <w:trPr>
          <w:trHeight w:val="300"/>
        </w:trPr>
        <w:tc>
          <w:tcPr>
            <w:tcW w:w="0" w:type="auto"/>
            <w:vMerge w:val="restart"/>
            <w:tcBorders>
              <w:top w:val="single" w:sz="4" w:space="0" w:color="auto"/>
              <w:left w:val="single" w:sz="8" w:space="0" w:color="auto"/>
              <w:bottom w:val="nil"/>
              <w:right w:val="single" w:sz="4" w:space="0" w:color="auto"/>
            </w:tcBorders>
            <w:shd w:val="clear" w:color="auto" w:fill="auto"/>
            <w:vAlign w:val="center"/>
            <w:hideMark/>
          </w:tcPr>
          <w:p w14:paraId="36EC8C85"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2.2</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2BD7A727"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(F indicator) # of awards made directly to local organizations</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B345F0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Counterpart</w:t>
            </w:r>
          </w:p>
        </w:tc>
        <w:tc>
          <w:tcPr>
            <w:tcW w:w="0" w:type="auto"/>
            <w:tcBorders>
              <w:top w:val="nil"/>
              <w:left w:val="nil"/>
              <w:bottom w:val="single" w:sz="4" w:space="0" w:color="auto"/>
              <w:right w:val="single" w:sz="4" w:space="0" w:color="auto"/>
            </w:tcBorders>
            <w:shd w:val="clear" w:color="auto" w:fill="auto"/>
            <w:vAlign w:val="center"/>
            <w:hideMark/>
          </w:tcPr>
          <w:p w14:paraId="732E83E7" w14:textId="2F4F5D4F"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KM Portal, on-site observation</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5A87387E" w14:textId="7BA776DD"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Type of award; Third-level administrative division; New/</w:t>
            </w:r>
            <w:r w:rsidR="00DD3CAE" w:rsidRPr="00842724">
              <w:rPr>
                <w:rFonts w:ascii="Arial" w:eastAsia="Times New Roman" w:hAnsi="Arial" w:cs="Arial"/>
                <w:sz w:val="16"/>
                <w:szCs w:val="16"/>
              </w:rPr>
              <w:t>Continuing</w:t>
            </w:r>
            <w:r w:rsidRPr="00842724">
              <w:rPr>
                <w:rFonts w:ascii="Arial" w:eastAsia="Times New Roman" w:hAnsi="Arial" w:cs="Arial"/>
                <w:sz w:val="16"/>
                <w:szCs w:val="16"/>
              </w:rPr>
              <w:t>; Leader sex; Sub-sector</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108F121E"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5BB6C24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D48965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w:t>
            </w:r>
          </w:p>
        </w:tc>
        <w:tc>
          <w:tcPr>
            <w:tcW w:w="0" w:type="auto"/>
            <w:tcBorders>
              <w:top w:val="nil"/>
              <w:left w:val="nil"/>
              <w:bottom w:val="single" w:sz="4" w:space="0" w:color="auto"/>
              <w:right w:val="single" w:sz="4" w:space="0" w:color="auto"/>
            </w:tcBorders>
            <w:shd w:val="clear" w:color="000000" w:fill="F2F2F2"/>
            <w:vAlign w:val="center"/>
            <w:hideMark/>
          </w:tcPr>
          <w:p w14:paraId="34BC019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10</w:t>
            </w:r>
          </w:p>
        </w:tc>
        <w:tc>
          <w:tcPr>
            <w:tcW w:w="0" w:type="auto"/>
            <w:tcBorders>
              <w:top w:val="nil"/>
              <w:left w:val="nil"/>
              <w:bottom w:val="single" w:sz="4" w:space="0" w:color="auto"/>
              <w:right w:val="single" w:sz="4" w:space="0" w:color="auto"/>
            </w:tcBorders>
            <w:shd w:val="clear" w:color="auto" w:fill="auto"/>
            <w:vAlign w:val="center"/>
            <w:hideMark/>
          </w:tcPr>
          <w:p w14:paraId="2B96A97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w:t>
            </w:r>
          </w:p>
        </w:tc>
        <w:tc>
          <w:tcPr>
            <w:tcW w:w="0" w:type="auto"/>
            <w:tcBorders>
              <w:top w:val="nil"/>
              <w:left w:val="nil"/>
              <w:bottom w:val="single" w:sz="4" w:space="0" w:color="auto"/>
              <w:right w:val="single" w:sz="4" w:space="0" w:color="auto"/>
            </w:tcBorders>
            <w:shd w:val="clear" w:color="000000" w:fill="F2F2F2"/>
            <w:vAlign w:val="center"/>
            <w:hideMark/>
          </w:tcPr>
          <w:p w14:paraId="4DF12F3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w:t>
            </w:r>
          </w:p>
        </w:tc>
        <w:tc>
          <w:tcPr>
            <w:tcW w:w="0" w:type="auto"/>
            <w:tcBorders>
              <w:top w:val="nil"/>
              <w:left w:val="nil"/>
              <w:bottom w:val="single" w:sz="4" w:space="0" w:color="auto"/>
              <w:right w:val="single" w:sz="4" w:space="0" w:color="auto"/>
            </w:tcBorders>
            <w:shd w:val="clear" w:color="auto" w:fill="auto"/>
            <w:vAlign w:val="center"/>
            <w:hideMark/>
          </w:tcPr>
          <w:p w14:paraId="38AD7F7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w:t>
            </w:r>
          </w:p>
        </w:tc>
        <w:tc>
          <w:tcPr>
            <w:tcW w:w="654" w:type="dxa"/>
            <w:tcBorders>
              <w:top w:val="nil"/>
              <w:left w:val="nil"/>
              <w:bottom w:val="single" w:sz="4" w:space="0" w:color="auto"/>
              <w:right w:val="single" w:sz="4" w:space="0" w:color="auto"/>
            </w:tcBorders>
            <w:shd w:val="clear" w:color="000000" w:fill="F2F2F2"/>
            <w:vAlign w:val="center"/>
            <w:hideMark/>
          </w:tcPr>
          <w:p w14:paraId="7300B9D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28</w:t>
            </w:r>
          </w:p>
        </w:tc>
      </w:tr>
      <w:tr w:rsidR="00BF216F" w:rsidRPr="00842724" w14:paraId="20E7FF52" w14:textId="77777777" w:rsidTr="00B91F87">
        <w:trPr>
          <w:trHeight w:val="300"/>
        </w:trPr>
        <w:tc>
          <w:tcPr>
            <w:tcW w:w="0" w:type="auto"/>
            <w:vMerge/>
            <w:tcBorders>
              <w:top w:val="single" w:sz="4" w:space="0" w:color="auto"/>
              <w:left w:val="single" w:sz="8" w:space="0" w:color="auto"/>
              <w:bottom w:val="nil"/>
              <w:right w:val="single" w:sz="4" w:space="0" w:color="auto"/>
            </w:tcBorders>
            <w:vAlign w:val="center"/>
            <w:hideMark/>
          </w:tcPr>
          <w:p w14:paraId="6CF326E6"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4728490E"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6F876F88"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9CE9F4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single" w:sz="4" w:space="0" w:color="auto"/>
              <w:left w:val="single" w:sz="4" w:space="0" w:color="auto"/>
              <w:bottom w:val="nil"/>
              <w:right w:val="single" w:sz="4" w:space="0" w:color="auto"/>
            </w:tcBorders>
            <w:vAlign w:val="center"/>
            <w:hideMark/>
          </w:tcPr>
          <w:p w14:paraId="46C05B5A"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5C7D6442"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17C2CA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3C9624D" w14:textId="12BB7CFD"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FCCEBD3" w14:textId="3DB6AED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3800545" w14:textId="245EE33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1571F95" w14:textId="673ED49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6633FD0" w14:textId="706FC155"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3894009B" w14:textId="0A58D776" w:rsidR="00842724" w:rsidRPr="00842724" w:rsidRDefault="00842724" w:rsidP="00B91F87">
            <w:pPr>
              <w:jc w:val="center"/>
              <w:rPr>
                <w:rFonts w:ascii="Arial" w:eastAsia="Times New Roman" w:hAnsi="Arial" w:cs="Arial"/>
                <w:b/>
                <w:bCs/>
                <w:sz w:val="16"/>
                <w:szCs w:val="16"/>
              </w:rPr>
            </w:pPr>
          </w:p>
        </w:tc>
      </w:tr>
      <w:tr w:rsidR="00BF216F" w:rsidRPr="00842724" w14:paraId="6DA23704" w14:textId="77777777" w:rsidTr="00B91F87">
        <w:trPr>
          <w:trHeight w:val="450"/>
        </w:trPr>
        <w:tc>
          <w:tcPr>
            <w:tcW w:w="0" w:type="auto"/>
            <w:vMerge/>
            <w:tcBorders>
              <w:top w:val="single" w:sz="4" w:space="0" w:color="auto"/>
              <w:left w:val="single" w:sz="8" w:space="0" w:color="auto"/>
              <w:bottom w:val="nil"/>
              <w:right w:val="single" w:sz="4" w:space="0" w:color="auto"/>
            </w:tcBorders>
            <w:vAlign w:val="center"/>
            <w:hideMark/>
          </w:tcPr>
          <w:p w14:paraId="7F3AAB6D"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08CF6F1C"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18E6380D"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3010B0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Annually</w:t>
            </w:r>
          </w:p>
        </w:tc>
        <w:tc>
          <w:tcPr>
            <w:tcW w:w="0" w:type="auto"/>
            <w:vMerge/>
            <w:tcBorders>
              <w:top w:val="single" w:sz="4" w:space="0" w:color="auto"/>
              <w:left w:val="single" w:sz="4" w:space="0" w:color="auto"/>
              <w:bottom w:val="nil"/>
              <w:right w:val="single" w:sz="4" w:space="0" w:color="auto"/>
            </w:tcBorders>
            <w:vAlign w:val="center"/>
            <w:hideMark/>
          </w:tcPr>
          <w:p w14:paraId="6A104615"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0D5D8539"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7CC9D4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FBA376E" w14:textId="0D4E8DD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5ED6F3A" w14:textId="19A3CE31"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0D0A5A4" w14:textId="3C29EEEA"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F6F4670" w14:textId="2FBF5AE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AEE29EE" w14:textId="5B1020B8"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2DCB5C57" w14:textId="14C41EE5" w:rsidR="00842724" w:rsidRPr="00842724" w:rsidRDefault="00842724" w:rsidP="00B91F87">
            <w:pPr>
              <w:jc w:val="center"/>
              <w:rPr>
                <w:rFonts w:ascii="Arial" w:eastAsia="Times New Roman" w:hAnsi="Arial" w:cs="Arial"/>
                <w:b/>
                <w:bCs/>
                <w:sz w:val="16"/>
                <w:szCs w:val="16"/>
              </w:rPr>
            </w:pPr>
          </w:p>
        </w:tc>
      </w:tr>
      <w:tr w:rsidR="00842724" w:rsidRPr="00842724" w14:paraId="514F3F06" w14:textId="77777777" w:rsidTr="00B91F87">
        <w:trPr>
          <w:trHeight w:val="300"/>
        </w:trPr>
        <w:tc>
          <w:tcPr>
            <w:tcW w:w="14480" w:type="dxa"/>
            <w:gridSpan w:val="13"/>
            <w:tcBorders>
              <w:top w:val="single" w:sz="4" w:space="0" w:color="auto"/>
              <w:left w:val="single" w:sz="8" w:space="0" w:color="auto"/>
              <w:bottom w:val="single" w:sz="4" w:space="0" w:color="auto"/>
              <w:right w:val="nil"/>
            </w:tcBorders>
            <w:shd w:val="clear" w:color="000000" w:fill="F79646"/>
            <w:noWrap/>
            <w:vAlign w:val="center"/>
            <w:hideMark/>
          </w:tcPr>
          <w:p w14:paraId="03258440"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Outcome Indicators</w:t>
            </w:r>
          </w:p>
        </w:tc>
      </w:tr>
      <w:tr w:rsidR="00BF216F" w:rsidRPr="00842724" w14:paraId="77018663" w14:textId="77777777" w:rsidTr="00B91F87">
        <w:trPr>
          <w:trHeight w:val="450"/>
        </w:trPr>
        <w:tc>
          <w:tcPr>
            <w:tcW w:w="0" w:type="auto"/>
            <w:vMerge w:val="restart"/>
            <w:tcBorders>
              <w:top w:val="nil"/>
              <w:left w:val="single" w:sz="8" w:space="0" w:color="auto"/>
              <w:bottom w:val="nil"/>
              <w:right w:val="single" w:sz="4" w:space="0" w:color="auto"/>
            </w:tcBorders>
            <w:shd w:val="clear" w:color="auto" w:fill="auto"/>
            <w:vAlign w:val="center"/>
            <w:hideMark/>
          </w:tcPr>
          <w:p w14:paraId="6831B6BA"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2.3</w:t>
            </w:r>
          </w:p>
        </w:tc>
        <w:tc>
          <w:tcPr>
            <w:tcW w:w="0" w:type="auto"/>
            <w:vMerge w:val="restart"/>
            <w:tcBorders>
              <w:top w:val="nil"/>
              <w:left w:val="single" w:sz="4" w:space="0" w:color="auto"/>
              <w:bottom w:val="nil"/>
              <w:right w:val="single" w:sz="4" w:space="0" w:color="auto"/>
            </w:tcBorders>
            <w:shd w:val="clear" w:color="auto" w:fill="auto"/>
            <w:vAlign w:val="center"/>
            <w:hideMark/>
          </w:tcPr>
          <w:p w14:paraId="563BDD7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white paper and/or communal action plans created through policy dialogues</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1AC7E57" w14:textId="42E1E7D2"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Counterpart</w:t>
            </w:r>
          </w:p>
        </w:tc>
        <w:tc>
          <w:tcPr>
            <w:tcW w:w="0" w:type="auto"/>
            <w:tcBorders>
              <w:top w:val="nil"/>
              <w:left w:val="nil"/>
              <w:bottom w:val="single" w:sz="4" w:space="0" w:color="auto"/>
              <w:right w:val="single" w:sz="4" w:space="0" w:color="auto"/>
            </w:tcBorders>
            <w:shd w:val="clear" w:color="auto" w:fill="auto"/>
            <w:vAlign w:val="center"/>
            <w:hideMark/>
          </w:tcPr>
          <w:p w14:paraId="6177B47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KM Portal, copies of white papers and communal action plans</w:t>
            </w:r>
          </w:p>
        </w:tc>
        <w:tc>
          <w:tcPr>
            <w:tcW w:w="0" w:type="auto"/>
            <w:vMerge w:val="restart"/>
            <w:tcBorders>
              <w:top w:val="nil"/>
              <w:left w:val="single" w:sz="4" w:space="0" w:color="auto"/>
              <w:bottom w:val="nil"/>
              <w:right w:val="single" w:sz="4" w:space="0" w:color="auto"/>
            </w:tcBorders>
            <w:shd w:val="clear" w:color="auto" w:fill="auto"/>
            <w:vAlign w:val="center"/>
            <w:hideMark/>
          </w:tcPr>
          <w:p w14:paraId="4852D91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Sub-sector</w:t>
            </w:r>
          </w:p>
        </w:tc>
        <w:tc>
          <w:tcPr>
            <w:tcW w:w="0" w:type="auto"/>
            <w:vMerge w:val="restart"/>
            <w:tcBorders>
              <w:top w:val="nil"/>
              <w:left w:val="single" w:sz="4" w:space="0" w:color="auto"/>
              <w:bottom w:val="nil"/>
              <w:right w:val="single" w:sz="4" w:space="0" w:color="auto"/>
            </w:tcBorders>
            <w:shd w:val="clear" w:color="auto" w:fill="auto"/>
            <w:vAlign w:val="center"/>
            <w:hideMark/>
          </w:tcPr>
          <w:p w14:paraId="2D5E8F5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1FACA8A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DCE2E03"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29C7F6C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w:t>
            </w:r>
          </w:p>
        </w:tc>
        <w:tc>
          <w:tcPr>
            <w:tcW w:w="0" w:type="auto"/>
            <w:tcBorders>
              <w:top w:val="nil"/>
              <w:left w:val="nil"/>
              <w:bottom w:val="single" w:sz="4" w:space="0" w:color="auto"/>
              <w:right w:val="single" w:sz="4" w:space="0" w:color="auto"/>
            </w:tcBorders>
            <w:shd w:val="clear" w:color="auto" w:fill="auto"/>
            <w:vAlign w:val="center"/>
            <w:hideMark/>
          </w:tcPr>
          <w:p w14:paraId="77538B1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w:t>
            </w:r>
          </w:p>
        </w:tc>
        <w:tc>
          <w:tcPr>
            <w:tcW w:w="0" w:type="auto"/>
            <w:tcBorders>
              <w:top w:val="nil"/>
              <w:left w:val="nil"/>
              <w:bottom w:val="single" w:sz="4" w:space="0" w:color="auto"/>
              <w:right w:val="single" w:sz="4" w:space="0" w:color="auto"/>
            </w:tcBorders>
            <w:shd w:val="clear" w:color="000000" w:fill="F2F2F2"/>
            <w:vAlign w:val="center"/>
            <w:hideMark/>
          </w:tcPr>
          <w:p w14:paraId="5B0B8D7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3</w:t>
            </w:r>
          </w:p>
        </w:tc>
        <w:tc>
          <w:tcPr>
            <w:tcW w:w="0" w:type="auto"/>
            <w:tcBorders>
              <w:top w:val="nil"/>
              <w:left w:val="nil"/>
              <w:bottom w:val="single" w:sz="4" w:space="0" w:color="auto"/>
              <w:right w:val="single" w:sz="4" w:space="0" w:color="auto"/>
            </w:tcBorders>
            <w:shd w:val="clear" w:color="auto" w:fill="auto"/>
            <w:vAlign w:val="center"/>
            <w:hideMark/>
          </w:tcPr>
          <w:p w14:paraId="653E797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w:t>
            </w:r>
          </w:p>
        </w:tc>
        <w:tc>
          <w:tcPr>
            <w:tcW w:w="654" w:type="dxa"/>
            <w:tcBorders>
              <w:top w:val="nil"/>
              <w:left w:val="nil"/>
              <w:bottom w:val="single" w:sz="4" w:space="0" w:color="auto"/>
              <w:right w:val="single" w:sz="4" w:space="0" w:color="auto"/>
            </w:tcBorders>
            <w:shd w:val="clear" w:color="000000" w:fill="F2F2F2"/>
            <w:vAlign w:val="center"/>
            <w:hideMark/>
          </w:tcPr>
          <w:p w14:paraId="28C70B1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10</w:t>
            </w:r>
          </w:p>
        </w:tc>
      </w:tr>
      <w:tr w:rsidR="00BF216F" w:rsidRPr="00842724" w14:paraId="2CFF0795" w14:textId="77777777" w:rsidTr="00B91F87">
        <w:trPr>
          <w:trHeight w:val="300"/>
        </w:trPr>
        <w:tc>
          <w:tcPr>
            <w:tcW w:w="0" w:type="auto"/>
            <w:vMerge/>
            <w:tcBorders>
              <w:top w:val="nil"/>
              <w:left w:val="single" w:sz="8" w:space="0" w:color="auto"/>
              <w:bottom w:val="nil"/>
              <w:right w:val="single" w:sz="4" w:space="0" w:color="auto"/>
            </w:tcBorders>
            <w:vAlign w:val="center"/>
            <w:hideMark/>
          </w:tcPr>
          <w:p w14:paraId="108D68AC"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nil"/>
              <w:right w:val="single" w:sz="4" w:space="0" w:color="auto"/>
            </w:tcBorders>
            <w:vAlign w:val="center"/>
            <w:hideMark/>
          </w:tcPr>
          <w:p w14:paraId="1BF546C2"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2BA843C4"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13C6E0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nil"/>
              <w:left w:val="single" w:sz="4" w:space="0" w:color="auto"/>
              <w:bottom w:val="nil"/>
              <w:right w:val="single" w:sz="4" w:space="0" w:color="auto"/>
            </w:tcBorders>
            <w:vAlign w:val="center"/>
            <w:hideMark/>
          </w:tcPr>
          <w:p w14:paraId="3655C262"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130EFA27"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09F67C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E5C6328" w14:textId="6F8738B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954BBA9" w14:textId="3197544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2B04332" w14:textId="1589815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F0EB84A" w14:textId="5732992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2C0FAFF" w14:textId="4B2A44C2"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7069FC40" w14:textId="2F9CAD48" w:rsidR="00842724" w:rsidRPr="00842724" w:rsidRDefault="00842724" w:rsidP="00B91F87">
            <w:pPr>
              <w:jc w:val="center"/>
              <w:rPr>
                <w:rFonts w:ascii="Arial" w:eastAsia="Times New Roman" w:hAnsi="Arial" w:cs="Arial"/>
                <w:b/>
                <w:bCs/>
                <w:sz w:val="16"/>
                <w:szCs w:val="16"/>
              </w:rPr>
            </w:pPr>
          </w:p>
        </w:tc>
      </w:tr>
      <w:tr w:rsidR="00BF216F" w:rsidRPr="00842724" w14:paraId="4AE20D06" w14:textId="77777777" w:rsidTr="003E583A">
        <w:trPr>
          <w:trHeight w:val="450"/>
        </w:trPr>
        <w:tc>
          <w:tcPr>
            <w:tcW w:w="0" w:type="auto"/>
            <w:vMerge/>
            <w:tcBorders>
              <w:top w:val="nil"/>
              <w:left w:val="single" w:sz="8" w:space="0" w:color="auto"/>
              <w:bottom w:val="nil"/>
              <w:right w:val="single" w:sz="4" w:space="0" w:color="auto"/>
            </w:tcBorders>
            <w:vAlign w:val="center"/>
            <w:hideMark/>
          </w:tcPr>
          <w:p w14:paraId="4ED29AFF"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00910780"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56D96B54"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DF7475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Annually</w:t>
            </w:r>
          </w:p>
        </w:tc>
        <w:tc>
          <w:tcPr>
            <w:tcW w:w="0" w:type="auto"/>
            <w:vMerge/>
            <w:tcBorders>
              <w:top w:val="nil"/>
              <w:left w:val="single" w:sz="4" w:space="0" w:color="auto"/>
              <w:bottom w:val="single" w:sz="4" w:space="0" w:color="auto"/>
              <w:right w:val="single" w:sz="4" w:space="0" w:color="auto"/>
            </w:tcBorders>
            <w:vAlign w:val="center"/>
            <w:hideMark/>
          </w:tcPr>
          <w:p w14:paraId="4278A108"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28C6943D"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531A3F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C6B9F88" w14:textId="28B05EBA"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7D400B9" w14:textId="112EC88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B2C644A" w14:textId="4AD0D84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211055BC" w14:textId="490552AA"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AB5C1AD" w14:textId="6C4112C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79D3BC0C" w14:textId="177B5AE1" w:rsidR="00842724" w:rsidRPr="00842724" w:rsidRDefault="00842724" w:rsidP="00B91F87">
            <w:pPr>
              <w:jc w:val="center"/>
              <w:rPr>
                <w:rFonts w:ascii="Arial" w:eastAsia="Times New Roman" w:hAnsi="Arial" w:cs="Arial"/>
                <w:b/>
                <w:bCs/>
                <w:sz w:val="16"/>
                <w:szCs w:val="16"/>
              </w:rPr>
            </w:pPr>
          </w:p>
        </w:tc>
      </w:tr>
      <w:tr w:rsidR="00BF216F" w:rsidRPr="00842724" w14:paraId="202FB648" w14:textId="77777777" w:rsidTr="003E583A">
        <w:trPr>
          <w:trHeight w:val="450"/>
        </w:trPr>
        <w:tc>
          <w:tcPr>
            <w:tcW w:w="0" w:type="auto"/>
            <w:vMerge w:val="restart"/>
            <w:tcBorders>
              <w:top w:val="single" w:sz="4" w:space="0" w:color="auto"/>
              <w:left w:val="single" w:sz="8" w:space="0" w:color="auto"/>
              <w:bottom w:val="nil"/>
              <w:right w:val="single" w:sz="4" w:space="0" w:color="auto"/>
            </w:tcBorders>
            <w:shd w:val="clear" w:color="auto" w:fill="auto"/>
            <w:vAlign w:val="center"/>
            <w:hideMark/>
          </w:tcPr>
          <w:p w14:paraId="5D1A71F9"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2.4</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9352A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 indicator) # of new USG-supported public-private partnerships (PPPs) formed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D6611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Counterpart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570DA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Record of formal agreements indicating any PPP formed through PRG-PA interventions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B30A1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Partnership focus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97196D"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B75B3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33271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000000" w:fill="F2F2F2"/>
            <w:vAlign w:val="center"/>
            <w:hideMark/>
          </w:tcPr>
          <w:p w14:paraId="0D70978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719931"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000000" w:fill="F2F2F2"/>
            <w:vAlign w:val="center"/>
            <w:hideMark/>
          </w:tcPr>
          <w:p w14:paraId="280EB86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C52BD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w:t>
            </w:r>
          </w:p>
        </w:tc>
        <w:tc>
          <w:tcPr>
            <w:tcW w:w="654"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22F006A"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w:t>
            </w:r>
          </w:p>
        </w:tc>
      </w:tr>
      <w:tr w:rsidR="00BF216F" w:rsidRPr="00842724" w14:paraId="29CF82F3" w14:textId="77777777" w:rsidTr="003E583A">
        <w:trPr>
          <w:trHeight w:val="300"/>
        </w:trPr>
        <w:tc>
          <w:tcPr>
            <w:tcW w:w="0" w:type="auto"/>
            <w:vMerge/>
            <w:tcBorders>
              <w:top w:val="single" w:sz="4" w:space="0" w:color="auto"/>
              <w:left w:val="single" w:sz="8" w:space="0" w:color="auto"/>
              <w:bottom w:val="nil"/>
              <w:right w:val="single" w:sz="4" w:space="0" w:color="auto"/>
            </w:tcBorders>
            <w:vAlign w:val="center"/>
            <w:hideMark/>
          </w:tcPr>
          <w:p w14:paraId="61709E7A"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CA29C"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7710EB"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D0BD7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Quarterly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0183FA"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30F06C"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68460E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F879AD8" w14:textId="725A2EE5"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104C5180" w14:textId="08C5FA23"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ADF46E2" w14:textId="2E19B668"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42AF2C76" w14:textId="2B777545"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4974F8" w14:textId="20DAA877" w:rsidR="00842724" w:rsidRPr="00842724" w:rsidRDefault="00842724" w:rsidP="00B91F87">
            <w:pPr>
              <w:jc w:val="center"/>
              <w:rPr>
                <w:rFonts w:ascii="Arial" w:eastAsia="Times New Roman" w:hAnsi="Arial" w:cs="Arial"/>
                <w:b/>
                <w:bCs/>
                <w:sz w:val="16"/>
                <w:szCs w:val="16"/>
              </w:rPr>
            </w:pPr>
          </w:p>
        </w:tc>
        <w:tc>
          <w:tcPr>
            <w:tcW w:w="654" w:type="dxa"/>
            <w:tcBorders>
              <w:top w:val="single" w:sz="4" w:space="0" w:color="auto"/>
              <w:left w:val="nil"/>
              <w:bottom w:val="single" w:sz="4" w:space="0" w:color="auto"/>
              <w:right w:val="single" w:sz="4" w:space="0" w:color="auto"/>
            </w:tcBorders>
            <w:shd w:val="clear" w:color="000000" w:fill="F2F2F2"/>
            <w:vAlign w:val="center"/>
            <w:hideMark/>
          </w:tcPr>
          <w:p w14:paraId="7E194095" w14:textId="7F7DB33F" w:rsidR="00842724" w:rsidRPr="00842724" w:rsidRDefault="00842724" w:rsidP="00B91F87">
            <w:pPr>
              <w:jc w:val="center"/>
              <w:rPr>
                <w:rFonts w:ascii="Arial" w:eastAsia="Times New Roman" w:hAnsi="Arial" w:cs="Arial"/>
                <w:b/>
                <w:bCs/>
                <w:sz w:val="16"/>
                <w:szCs w:val="16"/>
              </w:rPr>
            </w:pPr>
          </w:p>
        </w:tc>
      </w:tr>
      <w:tr w:rsidR="00BF216F" w:rsidRPr="00842724" w14:paraId="511A6BE7" w14:textId="77777777" w:rsidTr="00B91F87">
        <w:trPr>
          <w:trHeight w:val="450"/>
        </w:trPr>
        <w:tc>
          <w:tcPr>
            <w:tcW w:w="0" w:type="auto"/>
            <w:vMerge/>
            <w:tcBorders>
              <w:top w:val="single" w:sz="4" w:space="0" w:color="auto"/>
              <w:left w:val="single" w:sz="8" w:space="0" w:color="auto"/>
              <w:bottom w:val="nil"/>
              <w:right w:val="single" w:sz="4" w:space="0" w:color="auto"/>
            </w:tcBorders>
            <w:vAlign w:val="center"/>
            <w:hideMark/>
          </w:tcPr>
          <w:p w14:paraId="18DF70A2"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F0ADD9"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4A441D"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623BDA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Annually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30E8C6"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ECA9E"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69015A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09C2E25" w14:textId="145265C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2A2FFEE" w14:textId="38187BA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2413A07" w14:textId="1E4CC47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4B5C2663" w14:textId="021A8478"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93989F2" w14:textId="4E58A4A4"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1F6DC48F" w14:textId="39B11880" w:rsidR="00842724" w:rsidRPr="00842724" w:rsidRDefault="00842724" w:rsidP="00B91F87">
            <w:pPr>
              <w:jc w:val="center"/>
              <w:rPr>
                <w:rFonts w:ascii="Arial" w:eastAsia="Times New Roman" w:hAnsi="Arial" w:cs="Arial"/>
                <w:b/>
                <w:bCs/>
                <w:sz w:val="16"/>
                <w:szCs w:val="16"/>
              </w:rPr>
            </w:pPr>
          </w:p>
        </w:tc>
      </w:tr>
      <w:tr w:rsidR="00842724" w:rsidRPr="00842724" w14:paraId="0C6A2FA9" w14:textId="77777777" w:rsidTr="00B91F87">
        <w:trPr>
          <w:trHeight w:val="300"/>
        </w:trPr>
        <w:tc>
          <w:tcPr>
            <w:tcW w:w="14480" w:type="dxa"/>
            <w:gridSpan w:val="13"/>
            <w:tcBorders>
              <w:top w:val="single" w:sz="4" w:space="0" w:color="auto"/>
              <w:left w:val="single" w:sz="8" w:space="0" w:color="auto"/>
              <w:bottom w:val="single" w:sz="4" w:space="0" w:color="auto"/>
              <w:right w:val="nil"/>
            </w:tcBorders>
            <w:shd w:val="clear" w:color="000000" w:fill="F79646"/>
            <w:noWrap/>
            <w:vAlign w:val="center"/>
            <w:hideMark/>
          </w:tcPr>
          <w:p w14:paraId="7DAA6178"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Impact Indicators</w:t>
            </w:r>
          </w:p>
        </w:tc>
      </w:tr>
      <w:tr w:rsidR="00BF216F" w:rsidRPr="00842724" w14:paraId="6A7C49C8" w14:textId="77777777" w:rsidTr="00B91F87">
        <w:trPr>
          <w:trHeight w:val="300"/>
        </w:trPr>
        <w:tc>
          <w:tcPr>
            <w:tcW w:w="0" w:type="auto"/>
            <w:vMerge w:val="restart"/>
            <w:tcBorders>
              <w:top w:val="nil"/>
              <w:left w:val="single" w:sz="8" w:space="0" w:color="auto"/>
              <w:bottom w:val="nil"/>
              <w:right w:val="single" w:sz="4" w:space="0" w:color="auto"/>
            </w:tcBorders>
            <w:shd w:val="clear" w:color="auto" w:fill="auto"/>
            <w:vAlign w:val="center"/>
            <w:hideMark/>
          </w:tcPr>
          <w:p w14:paraId="60B30BA2"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2.5</w:t>
            </w:r>
          </w:p>
        </w:tc>
        <w:tc>
          <w:tcPr>
            <w:tcW w:w="0" w:type="auto"/>
            <w:vMerge w:val="restart"/>
            <w:tcBorders>
              <w:top w:val="nil"/>
              <w:left w:val="single" w:sz="4" w:space="0" w:color="auto"/>
              <w:bottom w:val="nil"/>
              <w:right w:val="single" w:sz="4" w:space="0" w:color="auto"/>
            </w:tcBorders>
            <w:shd w:val="clear" w:color="auto" w:fill="auto"/>
            <w:vAlign w:val="center"/>
            <w:hideMark/>
          </w:tcPr>
          <w:p w14:paraId="4FD22A4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citizens who report awareness of the public goods provision process</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CABE8B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7A0C6E6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nil"/>
              <w:left w:val="single" w:sz="4" w:space="0" w:color="auto"/>
              <w:bottom w:val="nil"/>
              <w:right w:val="single" w:sz="4" w:space="0" w:color="auto"/>
            </w:tcBorders>
            <w:shd w:val="clear" w:color="auto" w:fill="auto"/>
            <w:vAlign w:val="center"/>
            <w:hideMark/>
          </w:tcPr>
          <w:p w14:paraId="49F54EA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nil"/>
              <w:left w:val="single" w:sz="4" w:space="0" w:color="auto"/>
              <w:bottom w:val="nil"/>
              <w:right w:val="single" w:sz="4" w:space="0" w:color="auto"/>
            </w:tcBorders>
            <w:shd w:val="clear" w:color="auto" w:fill="auto"/>
            <w:vAlign w:val="center"/>
            <w:hideMark/>
          </w:tcPr>
          <w:p w14:paraId="62D7044E" w14:textId="7E04E866"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6DCD018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CC13033"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4A62F45C"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5145538C"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6BA311C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69EECD8C"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0950593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70%</w:t>
            </w:r>
          </w:p>
        </w:tc>
      </w:tr>
      <w:tr w:rsidR="00BF216F" w:rsidRPr="00842724" w14:paraId="44207D3A" w14:textId="77777777" w:rsidTr="00B91F87">
        <w:trPr>
          <w:trHeight w:val="300"/>
        </w:trPr>
        <w:tc>
          <w:tcPr>
            <w:tcW w:w="0" w:type="auto"/>
            <w:vMerge/>
            <w:tcBorders>
              <w:top w:val="nil"/>
              <w:left w:val="single" w:sz="8" w:space="0" w:color="auto"/>
              <w:bottom w:val="nil"/>
              <w:right w:val="single" w:sz="4" w:space="0" w:color="auto"/>
            </w:tcBorders>
            <w:vAlign w:val="center"/>
            <w:hideMark/>
          </w:tcPr>
          <w:p w14:paraId="3D276894"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nil"/>
              <w:right w:val="single" w:sz="4" w:space="0" w:color="auto"/>
            </w:tcBorders>
            <w:vAlign w:val="center"/>
            <w:hideMark/>
          </w:tcPr>
          <w:p w14:paraId="2BE3D753"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5EC851A9"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5F19750" w14:textId="5A05A6B6"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nil"/>
              <w:left w:val="single" w:sz="4" w:space="0" w:color="auto"/>
              <w:bottom w:val="nil"/>
              <w:right w:val="single" w:sz="4" w:space="0" w:color="auto"/>
            </w:tcBorders>
            <w:vAlign w:val="center"/>
            <w:hideMark/>
          </w:tcPr>
          <w:p w14:paraId="6046A683"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116ED040"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337E6D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2A08E4A" w14:textId="25D9878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47F9D34" w14:textId="2530559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EBE9227" w14:textId="4A4FCFF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FF9E032" w14:textId="72E99E8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01ACC15" w14:textId="0773878C"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7F142D72" w14:textId="7623CBEA" w:rsidR="00842724" w:rsidRPr="00842724" w:rsidRDefault="00842724" w:rsidP="00B91F87">
            <w:pPr>
              <w:jc w:val="center"/>
              <w:rPr>
                <w:rFonts w:ascii="Arial" w:eastAsia="Times New Roman" w:hAnsi="Arial" w:cs="Arial"/>
                <w:b/>
                <w:bCs/>
                <w:sz w:val="16"/>
                <w:szCs w:val="16"/>
              </w:rPr>
            </w:pPr>
          </w:p>
        </w:tc>
      </w:tr>
      <w:tr w:rsidR="00BF216F" w:rsidRPr="00842724" w14:paraId="6188579A" w14:textId="77777777" w:rsidTr="00B91F87">
        <w:trPr>
          <w:trHeight w:val="450"/>
        </w:trPr>
        <w:tc>
          <w:tcPr>
            <w:tcW w:w="0" w:type="auto"/>
            <w:vMerge/>
            <w:tcBorders>
              <w:top w:val="nil"/>
              <w:left w:val="single" w:sz="8" w:space="0" w:color="auto"/>
              <w:bottom w:val="nil"/>
              <w:right w:val="single" w:sz="4" w:space="0" w:color="auto"/>
            </w:tcBorders>
            <w:vAlign w:val="center"/>
            <w:hideMark/>
          </w:tcPr>
          <w:p w14:paraId="2D70FC01"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nil"/>
              <w:right w:val="single" w:sz="4" w:space="0" w:color="auto"/>
            </w:tcBorders>
            <w:vAlign w:val="center"/>
            <w:hideMark/>
          </w:tcPr>
          <w:p w14:paraId="62807559"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7522C001"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12CDD0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nil"/>
              <w:left w:val="single" w:sz="4" w:space="0" w:color="auto"/>
              <w:bottom w:val="nil"/>
              <w:right w:val="single" w:sz="4" w:space="0" w:color="auto"/>
            </w:tcBorders>
            <w:vAlign w:val="center"/>
            <w:hideMark/>
          </w:tcPr>
          <w:p w14:paraId="41290AC6"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nil"/>
              <w:right w:val="single" w:sz="4" w:space="0" w:color="auto"/>
            </w:tcBorders>
            <w:vAlign w:val="center"/>
            <w:hideMark/>
          </w:tcPr>
          <w:p w14:paraId="5E8F199B"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2D63AA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F960A36" w14:textId="5652C9D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A12B421" w14:textId="4116246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A9508CA" w14:textId="09807C5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227F0D12" w14:textId="212DAF3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F251D4A" w14:textId="70A722D2"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4DE19119" w14:textId="56EFD6B0" w:rsidR="00842724" w:rsidRPr="00842724" w:rsidRDefault="00842724" w:rsidP="00B91F87">
            <w:pPr>
              <w:jc w:val="center"/>
              <w:rPr>
                <w:rFonts w:ascii="Arial" w:eastAsia="Times New Roman" w:hAnsi="Arial" w:cs="Arial"/>
                <w:b/>
                <w:bCs/>
                <w:sz w:val="16"/>
                <w:szCs w:val="16"/>
              </w:rPr>
            </w:pPr>
          </w:p>
        </w:tc>
      </w:tr>
      <w:tr w:rsidR="00BF216F" w:rsidRPr="00842724" w14:paraId="1F43EE4D" w14:textId="77777777" w:rsidTr="00B91F87">
        <w:trPr>
          <w:trHeight w:val="300"/>
        </w:trPr>
        <w:tc>
          <w:tcPr>
            <w:tcW w:w="0" w:type="auto"/>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14:paraId="4695A1E3"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2.6</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75704D5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citizens who report awareness of whom to contact within the GoN to address provision of priority public goods</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054E90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047DE37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6C8BAE7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45B1A09D" w14:textId="66476272"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4A6B91A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BBFC61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271EC44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625BED6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7BAF183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07414F6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6F90C0D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50%</w:t>
            </w:r>
          </w:p>
        </w:tc>
      </w:tr>
      <w:tr w:rsidR="00BF216F" w:rsidRPr="00842724" w14:paraId="49B94AB6" w14:textId="77777777" w:rsidTr="00B91F87">
        <w:trPr>
          <w:trHeight w:val="300"/>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0C19B7F3"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51B28CB0"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49CC2A9B"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88B6103" w14:textId="4A0BF64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single" w:sz="4" w:space="0" w:color="auto"/>
              <w:left w:val="single" w:sz="4" w:space="0" w:color="auto"/>
              <w:bottom w:val="nil"/>
              <w:right w:val="single" w:sz="4" w:space="0" w:color="auto"/>
            </w:tcBorders>
            <w:vAlign w:val="center"/>
            <w:hideMark/>
          </w:tcPr>
          <w:p w14:paraId="56158EB9"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141138DC"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3BF07B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298EA3B" w14:textId="47F3E18D"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F5E839E" w14:textId="7220BD4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7EC285B" w14:textId="6D0B466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29D50161" w14:textId="6499D5C8"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BA2A34D" w14:textId="7CAB422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95FC299" w14:textId="5116C776" w:rsidR="00842724" w:rsidRPr="00842724" w:rsidRDefault="00842724" w:rsidP="00B91F87">
            <w:pPr>
              <w:jc w:val="center"/>
              <w:rPr>
                <w:rFonts w:ascii="Arial" w:eastAsia="Times New Roman" w:hAnsi="Arial" w:cs="Arial"/>
                <w:b/>
                <w:bCs/>
                <w:sz w:val="16"/>
                <w:szCs w:val="16"/>
              </w:rPr>
            </w:pPr>
          </w:p>
        </w:tc>
      </w:tr>
      <w:tr w:rsidR="00BF216F" w:rsidRPr="00842724" w14:paraId="77D63B83" w14:textId="77777777" w:rsidTr="00B91F87">
        <w:trPr>
          <w:trHeight w:val="450"/>
        </w:trPr>
        <w:tc>
          <w:tcPr>
            <w:tcW w:w="0" w:type="auto"/>
            <w:vMerge/>
            <w:tcBorders>
              <w:top w:val="single" w:sz="4" w:space="0" w:color="auto"/>
              <w:left w:val="single" w:sz="8" w:space="0" w:color="auto"/>
              <w:bottom w:val="single" w:sz="4" w:space="0" w:color="000000"/>
              <w:right w:val="single" w:sz="4" w:space="0" w:color="auto"/>
            </w:tcBorders>
            <w:vAlign w:val="center"/>
            <w:hideMark/>
          </w:tcPr>
          <w:p w14:paraId="64740DDE"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5344F11D"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16E2BBDB"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34D7DA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single" w:sz="4" w:space="0" w:color="auto"/>
              <w:left w:val="single" w:sz="4" w:space="0" w:color="auto"/>
              <w:bottom w:val="nil"/>
              <w:right w:val="single" w:sz="4" w:space="0" w:color="auto"/>
            </w:tcBorders>
            <w:vAlign w:val="center"/>
            <w:hideMark/>
          </w:tcPr>
          <w:p w14:paraId="1ED93E64"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0F3B3EF3"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EEAA1B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A4B5847" w14:textId="71EED14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786716F" w14:textId="71E09C9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BBAA0C3" w14:textId="50E32AA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41B65958" w14:textId="35E77F7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B8E4C3B" w14:textId="0D11C051"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6D0F1CF1" w14:textId="7D0B8CDC" w:rsidR="00842724" w:rsidRPr="00842724" w:rsidRDefault="00842724" w:rsidP="00B91F87">
            <w:pPr>
              <w:jc w:val="center"/>
              <w:rPr>
                <w:rFonts w:ascii="Arial" w:eastAsia="Times New Roman" w:hAnsi="Arial" w:cs="Arial"/>
                <w:b/>
                <w:bCs/>
                <w:sz w:val="16"/>
                <w:szCs w:val="16"/>
              </w:rPr>
            </w:pPr>
          </w:p>
        </w:tc>
      </w:tr>
      <w:tr w:rsidR="00BF216F" w:rsidRPr="00842724" w14:paraId="6145F8AA" w14:textId="77777777" w:rsidTr="00B91F87">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vAlign w:val="center"/>
            <w:hideMark/>
          </w:tcPr>
          <w:p w14:paraId="70B61B6E"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2.7</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15473B2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increase in citizens' reported expectations of the value of contacting GoN officials about citizen priority public goods</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8B437A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64C8EE1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0B63E1E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11DED93A" w14:textId="45C675CE"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2D404C4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6BB213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23F58077"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1C4E0E07"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797CF03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4919623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6DDA0D87"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25%</w:t>
            </w:r>
          </w:p>
        </w:tc>
      </w:tr>
      <w:tr w:rsidR="00BF216F" w:rsidRPr="00842724" w14:paraId="331C4116" w14:textId="77777777" w:rsidTr="00B91F87">
        <w:trPr>
          <w:trHeight w:val="300"/>
        </w:trPr>
        <w:tc>
          <w:tcPr>
            <w:tcW w:w="0" w:type="auto"/>
            <w:vMerge/>
            <w:tcBorders>
              <w:top w:val="nil"/>
              <w:left w:val="single" w:sz="8" w:space="0" w:color="auto"/>
              <w:bottom w:val="single" w:sz="4" w:space="0" w:color="000000"/>
              <w:right w:val="single" w:sz="4" w:space="0" w:color="auto"/>
            </w:tcBorders>
            <w:vAlign w:val="center"/>
            <w:hideMark/>
          </w:tcPr>
          <w:p w14:paraId="54617F14"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3B54FCA1"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466C8893"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CC0524F" w14:textId="3F27BEEB"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single" w:sz="4" w:space="0" w:color="auto"/>
              <w:left w:val="single" w:sz="4" w:space="0" w:color="auto"/>
              <w:bottom w:val="nil"/>
              <w:right w:val="single" w:sz="4" w:space="0" w:color="auto"/>
            </w:tcBorders>
            <w:vAlign w:val="center"/>
            <w:hideMark/>
          </w:tcPr>
          <w:p w14:paraId="0922718D"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096AE154"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453025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F8DD7F6" w14:textId="72D425E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FA2EB15" w14:textId="4FBEAAF1"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82161FE" w14:textId="60B0B6F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3B90D31" w14:textId="7669072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D3BC1F4" w14:textId="3643B3E4"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288C8D7A" w14:textId="5E58F423" w:rsidR="00842724" w:rsidRPr="00842724" w:rsidRDefault="00842724" w:rsidP="00B91F87">
            <w:pPr>
              <w:jc w:val="center"/>
              <w:rPr>
                <w:rFonts w:ascii="Arial" w:eastAsia="Times New Roman" w:hAnsi="Arial" w:cs="Arial"/>
                <w:b/>
                <w:bCs/>
                <w:sz w:val="16"/>
                <w:szCs w:val="16"/>
              </w:rPr>
            </w:pPr>
          </w:p>
        </w:tc>
      </w:tr>
      <w:tr w:rsidR="00BF216F" w:rsidRPr="00842724" w14:paraId="3DDB44D9" w14:textId="77777777" w:rsidTr="00B91F87">
        <w:trPr>
          <w:trHeight w:val="450"/>
        </w:trPr>
        <w:tc>
          <w:tcPr>
            <w:tcW w:w="0" w:type="auto"/>
            <w:vMerge/>
            <w:tcBorders>
              <w:top w:val="nil"/>
              <w:left w:val="single" w:sz="8" w:space="0" w:color="auto"/>
              <w:bottom w:val="single" w:sz="4" w:space="0" w:color="000000"/>
              <w:right w:val="single" w:sz="4" w:space="0" w:color="auto"/>
            </w:tcBorders>
            <w:vAlign w:val="center"/>
            <w:hideMark/>
          </w:tcPr>
          <w:p w14:paraId="5DF9B292"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4F44731D"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100104D7"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22375C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single" w:sz="4" w:space="0" w:color="auto"/>
              <w:left w:val="single" w:sz="4" w:space="0" w:color="auto"/>
              <w:bottom w:val="nil"/>
              <w:right w:val="single" w:sz="4" w:space="0" w:color="auto"/>
            </w:tcBorders>
            <w:vAlign w:val="center"/>
            <w:hideMark/>
          </w:tcPr>
          <w:p w14:paraId="75698284"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6BC1097F"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7963D9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9C62F84" w14:textId="159AD96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3198404" w14:textId="7093137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4EA559C" w14:textId="555EAE4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CE31870" w14:textId="2C50789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F2D6790" w14:textId="262F056F"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3BEAE836" w14:textId="74F03F39" w:rsidR="00842724" w:rsidRPr="00842724" w:rsidRDefault="00842724" w:rsidP="00B91F87">
            <w:pPr>
              <w:jc w:val="center"/>
              <w:rPr>
                <w:rFonts w:ascii="Arial" w:eastAsia="Times New Roman" w:hAnsi="Arial" w:cs="Arial"/>
                <w:b/>
                <w:bCs/>
                <w:sz w:val="16"/>
                <w:szCs w:val="16"/>
              </w:rPr>
            </w:pPr>
          </w:p>
        </w:tc>
      </w:tr>
      <w:tr w:rsidR="00BF216F" w:rsidRPr="00842724" w14:paraId="1F1F4261" w14:textId="77777777" w:rsidTr="00B91F87">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vAlign w:val="center"/>
            <w:hideMark/>
          </w:tcPr>
          <w:p w14:paraId="1FECFB85"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2.8</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6179EA1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citizens who report willingness to contact government officials (e.g., local and national representatives) to call for provision of priority public goods</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D1761B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250C2A4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5EBFCC1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7F05CC25" w14:textId="4C6EACF3"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1C75AB5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93A104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738F431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5A0CC3C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36BEC89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5021030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1D7EA8D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70%</w:t>
            </w:r>
          </w:p>
        </w:tc>
      </w:tr>
      <w:tr w:rsidR="00BF216F" w:rsidRPr="00842724" w14:paraId="2E35FBBA" w14:textId="77777777" w:rsidTr="00B91F87">
        <w:trPr>
          <w:trHeight w:val="300"/>
        </w:trPr>
        <w:tc>
          <w:tcPr>
            <w:tcW w:w="0" w:type="auto"/>
            <w:vMerge/>
            <w:tcBorders>
              <w:top w:val="nil"/>
              <w:left w:val="single" w:sz="8" w:space="0" w:color="auto"/>
              <w:bottom w:val="single" w:sz="4" w:space="0" w:color="000000"/>
              <w:right w:val="single" w:sz="4" w:space="0" w:color="auto"/>
            </w:tcBorders>
            <w:vAlign w:val="center"/>
            <w:hideMark/>
          </w:tcPr>
          <w:p w14:paraId="0D423EA9"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416A8E72"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2FE775F8"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DA57AAB" w14:textId="3FB66DFC"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single" w:sz="4" w:space="0" w:color="auto"/>
              <w:left w:val="single" w:sz="4" w:space="0" w:color="auto"/>
              <w:bottom w:val="nil"/>
              <w:right w:val="single" w:sz="4" w:space="0" w:color="auto"/>
            </w:tcBorders>
            <w:vAlign w:val="center"/>
            <w:hideMark/>
          </w:tcPr>
          <w:p w14:paraId="305FC837"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6590B481"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B69A07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E3EBD45" w14:textId="54A6353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7EFBC3B" w14:textId="075347B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3151E2A" w14:textId="20F2B95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C331F55" w14:textId="1ABDA04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045ACEA" w14:textId="77BB149D"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2C0746DB" w14:textId="5F12D427" w:rsidR="00842724" w:rsidRPr="00842724" w:rsidRDefault="00842724" w:rsidP="00B91F87">
            <w:pPr>
              <w:jc w:val="center"/>
              <w:rPr>
                <w:rFonts w:ascii="Arial" w:eastAsia="Times New Roman" w:hAnsi="Arial" w:cs="Arial"/>
                <w:b/>
                <w:bCs/>
                <w:sz w:val="16"/>
                <w:szCs w:val="16"/>
              </w:rPr>
            </w:pPr>
          </w:p>
        </w:tc>
      </w:tr>
      <w:tr w:rsidR="00BF216F" w:rsidRPr="00842724" w14:paraId="2D50C1D4" w14:textId="77777777" w:rsidTr="003E583A">
        <w:trPr>
          <w:trHeight w:val="450"/>
        </w:trPr>
        <w:tc>
          <w:tcPr>
            <w:tcW w:w="0" w:type="auto"/>
            <w:vMerge/>
            <w:tcBorders>
              <w:top w:val="nil"/>
              <w:left w:val="single" w:sz="8" w:space="0" w:color="auto"/>
              <w:bottom w:val="single" w:sz="4" w:space="0" w:color="auto"/>
              <w:right w:val="single" w:sz="4" w:space="0" w:color="auto"/>
            </w:tcBorders>
            <w:vAlign w:val="center"/>
            <w:hideMark/>
          </w:tcPr>
          <w:p w14:paraId="6806E2F0"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3CFF41"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1E195A4D"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DA9EED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single" w:sz="4" w:space="0" w:color="auto"/>
              <w:left w:val="single" w:sz="4" w:space="0" w:color="auto"/>
              <w:bottom w:val="nil"/>
              <w:right w:val="single" w:sz="4" w:space="0" w:color="auto"/>
            </w:tcBorders>
            <w:vAlign w:val="center"/>
            <w:hideMark/>
          </w:tcPr>
          <w:p w14:paraId="0B3CE17D"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39A3260B"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2F73F3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24155A2" w14:textId="7061C59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F7EFF38" w14:textId="71E6217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611D93F" w14:textId="249FF7D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5C7E774" w14:textId="27F443A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107355E" w14:textId="60D364BB"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C972419" w14:textId="28CC53B2" w:rsidR="00842724" w:rsidRPr="00842724" w:rsidRDefault="00842724" w:rsidP="00B91F87">
            <w:pPr>
              <w:jc w:val="center"/>
              <w:rPr>
                <w:rFonts w:ascii="Arial" w:eastAsia="Times New Roman" w:hAnsi="Arial" w:cs="Arial"/>
                <w:b/>
                <w:bCs/>
                <w:sz w:val="16"/>
                <w:szCs w:val="16"/>
              </w:rPr>
            </w:pPr>
          </w:p>
        </w:tc>
      </w:tr>
      <w:tr w:rsidR="00BF216F" w:rsidRPr="00842724" w14:paraId="24A7141B" w14:textId="77777777" w:rsidTr="003E583A">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28A754"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2.9</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A7F5A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of citizens who report that CSO/citizen advocacy on targeted citizen priorities is effective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8864C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18F275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6BE4468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2F72D621" w14:textId="6B8A91FD"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638D85A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74C62E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587C1E73"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2CA90163"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6AA7041C"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24559B83"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033BB54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70%</w:t>
            </w:r>
          </w:p>
        </w:tc>
      </w:tr>
      <w:tr w:rsidR="003E583A" w:rsidRPr="00842724" w14:paraId="4D0454E0" w14:textId="77777777" w:rsidTr="003E583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BB0E14"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17DD91"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C0EBE"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6EE6DA8" w14:textId="41B38D82"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F1AFAE"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ED8466"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7FCFCE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F7EADBD" w14:textId="204896C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9DC0F9E" w14:textId="1BCC64D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A4FDFB7" w14:textId="0B45A08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546359D" w14:textId="092CA17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183A27A" w14:textId="103AB862"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31FCDF03" w14:textId="37C047E4" w:rsidR="00842724" w:rsidRPr="00842724" w:rsidRDefault="00842724" w:rsidP="00B91F87">
            <w:pPr>
              <w:jc w:val="center"/>
              <w:rPr>
                <w:rFonts w:ascii="Arial" w:eastAsia="Times New Roman" w:hAnsi="Arial" w:cs="Arial"/>
                <w:b/>
                <w:bCs/>
                <w:sz w:val="16"/>
                <w:szCs w:val="16"/>
              </w:rPr>
            </w:pPr>
          </w:p>
        </w:tc>
      </w:tr>
      <w:tr w:rsidR="003E583A" w:rsidRPr="00842724" w14:paraId="778ABFA6" w14:textId="77777777" w:rsidTr="003E583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38F219"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AC8DA3"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C276EA"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58BA8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8F734"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307324"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BDD94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44A71F" w14:textId="6692C9D2"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000000" w:fill="F2F2F2"/>
            <w:vAlign w:val="center"/>
            <w:hideMark/>
          </w:tcPr>
          <w:p w14:paraId="09CC418F" w14:textId="28556EE2"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FBB0A3" w14:textId="708B95A9"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000000" w:fill="F2F2F2"/>
            <w:vAlign w:val="center"/>
            <w:hideMark/>
          </w:tcPr>
          <w:p w14:paraId="01B44512" w14:textId="35F97220" w:rsidR="00842724" w:rsidRPr="00842724" w:rsidRDefault="00842724" w:rsidP="00B91F87">
            <w:pPr>
              <w:jc w:val="center"/>
              <w:rPr>
                <w:rFonts w:ascii="Arial" w:eastAsia="Times New Roman" w:hAnsi="Arial" w:cs="Arial"/>
                <w:b/>
                <w:bCs/>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CA6DB8" w14:textId="3D9C07AC" w:rsidR="00842724" w:rsidRPr="00842724" w:rsidRDefault="00842724" w:rsidP="00B91F87">
            <w:pPr>
              <w:jc w:val="center"/>
              <w:rPr>
                <w:rFonts w:ascii="Arial" w:eastAsia="Times New Roman" w:hAnsi="Arial" w:cs="Arial"/>
                <w:b/>
                <w:bCs/>
                <w:sz w:val="16"/>
                <w:szCs w:val="16"/>
              </w:rPr>
            </w:pPr>
          </w:p>
        </w:tc>
        <w:tc>
          <w:tcPr>
            <w:tcW w:w="654"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FE0362A" w14:textId="25DF275B" w:rsidR="00842724" w:rsidRPr="00842724" w:rsidRDefault="00842724" w:rsidP="00B91F87">
            <w:pPr>
              <w:jc w:val="center"/>
              <w:rPr>
                <w:rFonts w:ascii="Arial" w:eastAsia="Times New Roman" w:hAnsi="Arial" w:cs="Arial"/>
                <w:b/>
                <w:bCs/>
                <w:sz w:val="16"/>
                <w:szCs w:val="16"/>
              </w:rPr>
            </w:pPr>
          </w:p>
        </w:tc>
      </w:tr>
      <w:tr w:rsidR="00BF216F" w:rsidRPr="00842724" w14:paraId="7AA0A31C" w14:textId="77777777" w:rsidTr="003E583A">
        <w:trPr>
          <w:trHeight w:val="300"/>
        </w:trPr>
        <w:tc>
          <w:tcPr>
            <w:tcW w:w="0" w:type="auto"/>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20E72DB5"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2.10</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5FD1298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increase in the number of citizens who report use of mechanisms for external oversight of public resource use</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63329C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D5F22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61B6E98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single" w:sz="4" w:space="0" w:color="auto"/>
              <w:left w:val="single" w:sz="4" w:space="0" w:color="auto"/>
              <w:bottom w:val="nil"/>
              <w:right w:val="single" w:sz="4" w:space="0" w:color="auto"/>
            </w:tcBorders>
            <w:shd w:val="clear" w:color="auto" w:fill="auto"/>
            <w:vAlign w:val="center"/>
            <w:hideMark/>
          </w:tcPr>
          <w:p w14:paraId="4129BE74" w14:textId="2BED7AB8"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TBD at </w:t>
            </w:r>
            <w:r w:rsidR="00DD3CAE" w:rsidRPr="00842724">
              <w:rPr>
                <w:rFonts w:ascii="Arial" w:eastAsia="Times New Roman" w:hAnsi="Arial" w:cs="Arial"/>
                <w:sz w:val="16"/>
                <w:szCs w:val="16"/>
              </w:rPr>
              <w:t>baseline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7C3CE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E3894A7"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4BAB898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C80F7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2C05C84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E2392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single" w:sz="4" w:space="0" w:color="auto"/>
              <w:left w:val="nil"/>
              <w:bottom w:val="single" w:sz="4" w:space="0" w:color="auto"/>
              <w:right w:val="single" w:sz="4" w:space="0" w:color="auto"/>
            </w:tcBorders>
            <w:shd w:val="clear" w:color="000000" w:fill="F2F2F2"/>
            <w:vAlign w:val="center"/>
            <w:hideMark/>
          </w:tcPr>
          <w:p w14:paraId="25B70DF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25%</w:t>
            </w:r>
          </w:p>
        </w:tc>
      </w:tr>
      <w:tr w:rsidR="00BF216F" w:rsidRPr="00842724" w14:paraId="009B3A36" w14:textId="77777777" w:rsidTr="00B91F87">
        <w:trPr>
          <w:trHeight w:val="300"/>
        </w:trPr>
        <w:tc>
          <w:tcPr>
            <w:tcW w:w="0" w:type="auto"/>
            <w:vMerge/>
            <w:tcBorders>
              <w:top w:val="nil"/>
              <w:left w:val="single" w:sz="8" w:space="0" w:color="auto"/>
              <w:bottom w:val="single" w:sz="8" w:space="0" w:color="000000"/>
              <w:right w:val="single" w:sz="4" w:space="0" w:color="auto"/>
            </w:tcBorders>
            <w:vAlign w:val="center"/>
            <w:hideMark/>
          </w:tcPr>
          <w:p w14:paraId="7F9E6134"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7A0407CA"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07ABD2FD"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5C9D819" w14:textId="7CF587AD"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single" w:sz="4" w:space="0" w:color="auto"/>
              <w:left w:val="single" w:sz="4" w:space="0" w:color="auto"/>
              <w:bottom w:val="nil"/>
              <w:right w:val="single" w:sz="4" w:space="0" w:color="auto"/>
            </w:tcBorders>
            <w:vAlign w:val="center"/>
            <w:hideMark/>
          </w:tcPr>
          <w:p w14:paraId="0B742D06"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02EFEEEA"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9AD2F2B"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3F76C41" w14:textId="7262EBD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600A5C0" w14:textId="57FE517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1E369B4" w14:textId="52887BFA"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C5AE5A5" w14:textId="59090AAC"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628E12E" w14:textId="4AEB550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29536D77" w14:textId="412ADB7E" w:rsidR="00842724" w:rsidRPr="00842724" w:rsidRDefault="00842724" w:rsidP="00B91F87">
            <w:pPr>
              <w:jc w:val="center"/>
              <w:rPr>
                <w:rFonts w:ascii="Arial" w:eastAsia="Times New Roman" w:hAnsi="Arial" w:cs="Arial"/>
                <w:b/>
                <w:bCs/>
                <w:sz w:val="16"/>
                <w:szCs w:val="16"/>
              </w:rPr>
            </w:pPr>
          </w:p>
        </w:tc>
      </w:tr>
      <w:tr w:rsidR="00BF216F" w:rsidRPr="00842724" w14:paraId="4686D0FF" w14:textId="77777777" w:rsidTr="00B91F87">
        <w:trPr>
          <w:trHeight w:val="465"/>
        </w:trPr>
        <w:tc>
          <w:tcPr>
            <w:tcW w:w="0" w:type="auto"/>
            <w:vMerge/>
            <w:tcBorders>
              <w:top w:val="nil"/>
              <w:left w:val="single" w:sz="8" w:space="0" w:color="auto"/>
              <w:bottom w:val="single" w:sz="8" w:space="0" w:color="000000"/>
              <w:right w:val="single" w:sz="4" w:space="0" w:color="auto"/>
            </w:tcBorders>
            <w:vAlign w:val="center"/>
            <w:hideMark/>
          </w:tcPr>
          <w:p w14:paraId="5E14E422"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6280E73C"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0633C9E8"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BD58C5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single" w:sz="4" w:space="0" w:color="auto"/>
              <w:left w:val="single" w:sz="4" w:space="0" w:color="auto"/>
              <w:bottom w:val="nil"/>
              <w:right w:val="single" w:sz="4" w:space="0" w:color="auto"/>
            </w:tcBorders>
            <w:vAlign w:val="center"/>
            <w:hideMark/>
          </w:tcPr>
          <w:p w14:paraId="1A75D540"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nil"/>
              <w:right w:val="single" w:sz="4" w:space="0" w:color="auto"/>
            </w:tcBorders>
            <w:vAlign w:val="center"/>
            <w:hideMark/>
          </w:tcPr>
          <w:p w14:paraId="3582C474"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4B7659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AC033D5" w14:textId="24334FB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A914938" w14:textId="5F85B1E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2B2D731" w14:textId="27072BB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11F6315E" w14:textId="5924A67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CD0B053" w14:textId="6E1298F6"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D093D70" w14:textId="5A8319FD" w:rsidR="00842724" w:rsidRPr="00842724" w:rsidRDefault="00842724" w:rsidP="00B91F87">
            <w:pPr>
              <w:jc w:val="center"/>
              <w:rPr>
                <w:rFonts w:ascii="Arial" w:eastAsia="Times New Roman" w:hAnsi="Arial" w:cs="Arial"/>
                <w:b/>
                <w:bCs/>
                <w:sz w:val="16"/>
                <w:szCs w:val="16"/>
              </w:rPr>
            </w:pPr>
          </w:p>
        </w:tc>
      </w:tr>
      <w:tr w:rsidR="00842724" w:rsidRPr="00842724" w14:paraId="0AD88C0B" w14:textId="77777777" w:rsidTr="00B91F87">
        <w:trPr>
          <w:trHeight w:val="315"/>
        </w:trPr>
        <w:tc>
          <w:tcPr>
            <w:tcW w:w="0" w:type="auto"/>
            <w:tcBorders>
              <w:top w:val="nil"/>
              <w:left w:val="single" w:sz="8" w:space="0" w:color="auto"/>
              <w:bottom w:val="single" w:sz="8" w:space="0" w:color="auto"/>
              <w:right w:val="single" w:sz="8" w:space="0" w:color="auto"/>
            </w:tcBorders>
            <w:shd w:val="clear" w:color="000000" w:fill="C0C0C0"/>
            <w:vAlign w:val="center"/>
            <w:hideMark/>
          </w:tcPr>
          <w:p w14:paraId="3D0CA246" w14:textId="7288EC3A" w:rsidR="00842724" w:rsidRPr="00842724" w:rsidRDefault="00842724" w:rsidP="00B91F87">
            <w:pPr>
              <w:jc w:val="center"/>
              <w:rPr>
                <w:rFonts w:ascii="Arial" w:eastAsia="Times New Roman" w:hAnsi="Arial" w:cs="Arial"/>
                <w:b/>
                <w:bCs/>
                <w:sz w:val="20"/>
                <w:szCs w:val="20"/>
              </w:rPr>
            </w:pPr>
          </w:p>
        </w:tc>
        <w:tc>
          <w:tcPr>
            <w:tcW w:w="13929" w:type="dxa"/>
            <w:gridSpan w:val="12"/>
            <w:tcBorders>
              <w:top w:val="single" w:sz="8" w:space="0" w:color="auto"/>
              <w:left w:val="nil"/>
              <w:bottom w:val="single" w:sz="8" w:space="0" w:color="auto"/>
              <w:right w:val="nil"/>
            </w:tcBorders>
            <w:shd w:val="clear" w:color="000000" w:fill="C0C0C0"/>
            <w:vAlign w:val="center"/>
            <w:hideMark/>
          </w:tcPr>
          <w:p w14:paraId="28BA36E4" w14:textId="77777777" w:rsidR="00842724" w:rsidRPr="00842724" w:rsidRDefault="00842724" w:rsidP="00B91F87">
            <w:pPr>
              <w:jc w:val="center"/>
              <w:rPr>
                <w:rFonts w:ascii="Arial" w:eastAsia="Times New Roman" w:hAnsi="Arial" w:cs="Arial"/>
                <w:b/>
                <w:bCs/>
                <w:sz w:val="20"/>
                <w:szCs w:val="20"/>
              </w:rPr>
            </w:pPr>
            <w:r w:rsidRPr="00842724">
              <w:rPr>
                <w:rFonts w:ascii="Arial" w:eastAsia="Times New Roman" w:hAnsi="Arial" w:cs="Arial"/>
                <w:b/>
                <w:bCs/>
                <w:sz w:val="20"/>
                <w:szCs w:val="20"/>
              </w:rPr>
              <w:t>Outcome 3: Increased capacity of key actors to promote collective action</w:t>
            </w:r>
          </w:p>
        </w:tc>
      </w:tr>
      <w:tr w:rsidR="00BF216F" w:rsidRPr="00842724" w14:paraId="3C1E51A2" w14:textId="77777777" w:rsidTr="00B91F87">
        <w:trPr>
          <w:trHeight w:val="480"/>
        </w:trPr>
        <w:tc>
          <w:tcPr>
            <w:tcW w:w="0" w:type="auto"/>
            <w:tcBorders>
              <w:top w:val="nil"/>
              <w:left w:val="single" w:sz="8" w:space="0" w:color="auto"/>
              <w:bottom w:val="nil"/>
              <w:right w:val="single" w:sz="4" w:space="0" w:color="auto"/>
            </w:tcBorders>
            <w:shd w:val="clear" w:color="000000" w:fill="C0C0C0"/>
            <w:vAlign w:val="center"/>
            <w:hideMark/>
          </w:tcPr>
          <w:p w14:paraId="308132DA"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Ind.</w:t>
            </w:r>
          </w:p>
        </w:tc>
        <w:tc>
          <w:tcPr>
            <w:tcW w:w="0" w:type="auto"/>
            <w:tcBorders>
              <w:top w:val="nil"/>
              <w:left w:val="nil"/>
              <w:bottom w:val="nil"/>
              <w:right w:val="single" w:sz="4" w:space="0" w:color="auto"/>
            </w:tcBorders>
            <w:shd w:val="clear" w:color="000000" w:fill="C0C0C0"/>
            <w:vAlign w:val="center"/>
            <w:hideMark/>
          </w:tcPr>
          <w:p w14:paraId="67889927"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Indicators</w:t>
            </w:r>
          </w:p>
        </w:tc>
        <w:tc>
          <w:tcPr>
            <w:tcW w:w="0" w:type="auto"/>
            <w:tcBorders>
              <w:top w:val="nil"/>
              <w:left w:val="nil"/>
              <w:bottom w:val="nil"/>
              <w:right w:val="single" w:sz="4" w:space="0" w:color="auto"/>
            </w:tcBorders>
            <w:shd w:val="clear" w:color="000000" w:fill="C0C0C0"/>
            <w:vAlign w:val="center"/>
            <w:hideMark/>
          </w:tcPr>
          <w:p w14:paraId="7E6863B3"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Data Source</w:t>
            </w:r>
          </w:p>
        </w:tc>
        <w:tc>
          <w:tcPr>
            <w:tcW w:w="0" w:type="auto"/>
            <w:tcBorders>
              <w:top w:val="nil"/>
              <w:left w:val="nil"/>
              <w:bottom w:val="nil"/>
              <w:right w:val="single" w:sz="4" w:space="0" w:color="auto"/>
            </w:tcBorders>
            <w:shd w:val="clear" w:color="000000" w:fill="C0C0C0"/>
            <w:vAlign w:val="center"/>
            <w:hideMark/>
          </w:tcPr>
          <w:p w14:paraId="05C5D7DF"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Method of data collection; frequency</w:t>
            </w:r>
          </w:p>
        </w:tc>
        <w:tc>
          <w:tcPr>
            <w:tcW w:w="0" w:type="auto"/>
            <w:tcBorders>
              <w:top w:val="nil"/>
              <w:left w:val="nil"/>
              <w:bottom w:val="nil"/>
              <w:right w:val="single" w:sz="4" w:space="0" w:color="auto"/>
            </w:tcBorders>
            <w:shd w:val="clear" w:color="000000" w:fill="C0C0C0"/>
            <w:vAlign w:val="center"/>
            <w:hideMark/>
          </w:tcPr>
          <w:p w14:paraId="11F733A5"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Disaggregation</w:t>
            </w:r>
          </w:p>
        </w:tc>
        <w:tc>
          <w:tcPr>
            <w:tcW w:w="0" w:type="auto"/>
            <w:tcBorders>
              <w:top w:val="nil"/>
              <w:left w:val="nil"/>
              <w:bottom w:val="nil"/>
              <w:right w:val="single" w:sz="4" w:space="0" w:color="auto"/>
            </w:tcBorders>
            <w:shd w:val="clear" w:color="000000" w:fill="C0C0C0"/>
            <w:vAlign w:val="center"/>
            <w:hideMark/>
          </w:tcPr>
          <w:p w14:paraId="53850C2B"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Baseline</w:t>
            </w:r>
          </w:p>
        </w:tc>
        <w:tc>
          <w:tcPr>
            <w:tcW w:w="0" w:type="auto"/>
            <w:tcBorders>
              <w:top w:val="nil"/>
              <w:left w:val="nil"/>
              <w:bottom w:val="nil"/>
              <w:right w:val="single" w:sz="4" w:space="0" w:color="auto"/>
            </w:tcBorders>
            <w:shd w:val="clear" w:color="000000" w:fill="C0C0C0"/>
            <w:vAlign w:val="center"/>
            <w:hideMark/>
          </w:tcPr>
          <w:p w14:paraId="3230B58C" w14:textId="09DB6DCD" w:rsidR="00842724" w:rsidRPr="00842724" w:rsidRDefault="00842724" w:rsidP="00B91F87">
            <w:pPr>
              <w:jc w:val="center"/>
              <w:rPr>
                <w:rFonts w:ascii="Arial" w:eastAsia="Times New Roman" w:hAnsi="Arial" w:cs="Arial"/>
                <w:b/>
                <w:bCs/>
                <w:sz w:val="18"/>
                <w:szCs w:val="18"/>
              </w:rPr>
            </w:pPr>
          </w:p>
        </w:tc>
        <w:tc>
          <w:tcPr>
            <w:tcW w:w="0" w:type="auto"/>
            <w:tcBorders>
              <w:top w:val="nil"/>
              <w:left w:val="single" w:sz="4" w:space="0" w:color="auto"/>
              <w:bottom w:val="nil"/>
              <w:right w:val="single" w:sz="4" w:space="0" w:color="auto"/>
            </w:tcBorders>
            <w:shd w:val="clear" w:color="000000" w:fill="FFFFFF"/>
            <w:vAlign w:val="center"/>
            <w:hideMark/>
          </w:tcPr>
          <w:p w14:paraId="11B1933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1</w:t>
            </w:r>
          </w:p>
        </w:tc>
        <w:tc>
          <w:tcPr>
            <w:tcW w:w="0" w:type="auto"/>
            <w:tcBorders>
              <w:top w:val="nil"/>
              <w:left w:val="nil"/>
              <w:bottom w:val="nil"/>
              <w:right w:val="single" w:sz="4" w:space="0" w:color="auto"/>
            </w:tcBorders>
            <w:shd w:val="clear" w:color="000000" w:fill="F2F2F2"/>
            <w:vAlign w:val="center"/>
            <w:hideMark/>
          </w:tcPr>
          <w:p w14:paraId="6469E9F7"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2</w:t>
            </w:r>
          </w:p>
        </w:tc>
        <w:tc>
          <w:tcPr>
            <w:tcW w:w="0" w:type="auto"/>
            <w:tcBorders>
              <w:top w:val="nil"/>
              <w:left w:val="nil"/>
              <w:bottom w:val="nil"/>
              <w:right w:val="single" w:sz="4" w:space="0" w:color="auto"/>
            </w:tcBorders>
            <w:shd w:val="clear" w:color="000000" w:fill="FFFFFF"/>
            <w:vAlign w:val="center"/>
            <w:hideMark/>
          </w:tcPr>
          <w:p w14:paraId="4E41970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3</w:t>
            </w:r>
          </w:p>
        </w:tc>
        <w:tc>
          <w:tcPr>
            <w:tcW w:w="0" w:type="auto"/>
            <w:tcBorders>
              <w:top w:val="nil"/>
              <w:left w:val="nil"/>
              <w:bottom w:val="nil"/>
              <w:right w:val="single" w:sz="4" w:space="0" w:color="auto"/>
            </w:tcBorders>
            <w:shd w:val="clear" w:color="000000" w:fill="F2F2F2"/>
            <w:vAlign w:val="center"/>
            <w:hideMark/>
          </w:tcPr>
          <w:p w14:paraId="454BA96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4</w:t>
            </w:r>
          </w:p>
        </w:tc>
        <w:tc>
          <w:tcPr>
            <w:tcW w:w="0" w:type="auto"/>
            <w:tcBorders>
              <w:top w:val="nil"/>
              <w:left w:val="nil"/>
              <w:bottom w:val="nil"/>
              <w:right w:val="single" w:sz="4" w:space="0" w:color="auto"/>
            </w:tcBorders>
            <w:shd w:val="clear" w:color="000000" w:fill="FFFFFF"/>
            <w:vAlign w:val="center"/>
            <w:hideMark/>
          </w:tcPr>
          <w:p w14:paraId="02AEC7A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Year 5</w:t>
            </w:r>
          </w:p>
        </w:tc>
        <w:tc>
          <w:tcPr>
            <w:tcW w:w="654" w:type="dxa"/>
            <w:tcBorders>
              <w:top w:val="nil"/>
              <w:left w:val="nil"/>
              <w:bottom w:val="nil"/>
              <w:right w:val="single" w:sz="4" w:space="0" w:color="auto"/>
            </w:tcBorders>
            <w:shd w:val="clear" w:color="000000" w:fill="F2F2F2"/>
            <w:vAlign w:val="center"/>
            <w:hideMark/>
          </w:tcPr>
          <w:p w14:paraId="062E5FD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LOP</w:t>
            </w:r>
          </w:p>
        </w:tc>
      </w:tr>
      <w:tr w:rsidR="00842724" w:rsidRPr="00842724" w14:paraId="7CBC6EF4" w14:textId="77777777" w:rsidTr="00B91F87">
        <w:trPr>
          <w:trHeight w:val="300"/>
        </w:trPr>
        <w:tc>
          <w:tcPr>
            <w:tcW w:w="14480" w:type="dxa"/>
            <w:gridSpan w:val="13"/>
            <w:tcBorders>
              <w:top w:val="single" w:sz="4" w:space="0" w:color="auto"/>
              <w:left w:val="single" w:sz="8" w:space="0" w:color="auto"/>
              <w:bottom w:val="single" w:sz="4" w:space="0" w:color="auto"/>
              <w:right w:val="nil"/>
            </w:tcBorders>
            <w:shd w:val="clear" w:color="000000" w:fill="F79646"/>
            <w:noWrap/>
            <w:vAlign w:val="center"/>
            <w:hideMark/>
          </w:tcPr>
          <w:p w14:paraId="722E7E9E" w14:textId="77777777" w:rsidR="00842724" w:rsidRPr="00842724" w:rsidRDefault="00842724" w:rsidP="00B91F87">
            <w:pPr>
              <w:jc w:val="center"/>
              <w:rPr>
                <w:rFonts w:ascii="Arial" w:eastAsia="Times New Roman" w:hAnsi="Arial" w:cs="Arial"/>
                <w:b/>
                <w:bCs/>
                <w:sz w:val="18"/>
                <w:szCs w:val="18"/>
              </w:rPr>
            </w:pPr>
            <w:r w:rsidRPr="00842724">
              <w:rPr>
                <w:rFonts w:ascii="Arial" w:eastAsia="Times New Roman" w:hAnsi="Arial" w:cs="Arial"/>
                <w:b/>
                <w:bCs/>
                <w:sz w:val="18"/>
                <w:szCs w:val="18"/>
              </w:rPr>
              <w:t>Outcome Indicators</w:t>
            </w:r>
          </w:p>
        </w:tc>
      </w:tr>
      <w:tr w:rsidR="00BF216F" w:rsidRPr="00842724" w14:paraId="1AF02138" w14:textId="77777777" w:rsidTr="00B91F87">
        <w:trPr>
          <w:trHeight w:val="900"/>
        </w:trPr>
        <w:tc>
          <w:tcPr>
            <w:tcW w:w="0" w:type="auto"/>
            <w:vMerge w:val="restart"/>
            <w:tcBorders>
              <w:top w:val="nil"/>
              <w:left w:val="single" w:sz="8" w:space="0" w:color="auto"/>
              <w:bottom w:val="single" w:sz="4" w:space="0" w:color="000000"/>
              <w:right w:val="single" w:sz="4" w:space="0" w:color="auto"/>
            </w:tcBorders>
            <w:shd w:val="clear" w:color="auto" w:fill="auto"/>
            <w:vAlign w:val="center"/>
            <w:hideMark/>
          </w:tcPr>
          <w:p w14:paraId="63F974B5"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3.1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3FF3D82"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of organizations with improved organizational capacity in PEA per Counterpart's OD Assessment</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1E7AAC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Counterpart</w:t>
            </w:r>
          </w:p>
        </w:tc>
        <w:tc>
          <w:tcPr>
            <w:tcW w:w="0" w:type="auto"/>
            <w:tcBorders>
              <w:top w:val="nil"/>
              <w:left w:val="nil"/>
              <w:bottom w:val="single" w:sz="4" w:space="0" w:color="auto"/>
              <w:right w:val="single" w:sz="4" w:space="0" w:color="auto"/>
            </w:tcBorders>
            <w:shd w:val="clear" w:color="auto" w:fill="auto"/>
            <w:vAlign w:val="center"/>
            <w:hideMark/>
          </w:tcPr>
          <w:p w14:paraId="4F9036A4" w14:textId="4D2E7DF2"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Method: Comparison of different assessment scores per organization and tallying organizations that increase by at least one point from the baseline to </w:t>
            </w:r>
            <w:r w:rsidR="00DD3CAE" w:rsidRPr="00842724">
              <w:rPr>
                <w:rFonts w:ascii="Arial" w:eastAsia="Times New Roman" w:hAnsi="Arial" w:cs="Arial"/>
                <w:sz w:val="16"/>
                <w:szCs w:val="16"/>
              </w:rPr>
              <w:t>end line</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A8D05F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Sector; Sub-sector; Third-level administrative division; Functional area</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F2A02FC" w14:textId="42100759" w:rsidR="00842724" w:rsidRPr="00842724" w:rsidRDefault="00AB5267" w:rsidP="00B91F87">
            <w:pPr>
              <w:jc w:val="center"/>
              <w:rPr>
                <w:rFonts w:ascii="Arial" w:eastAsia="Times New Roman" w:hAnsi="Arial" w:cs="Arial"/>
                <w:color w:val="000000"/>
                <w:sz w:val="16"/>
                <w:szCs w:val="16"/>
              </w:rPr>
            </w:pPr>
            <w:r>
              <w:rPr>
                <w:rFonts w:ascii="Arial" w:eastAsia="Times New Roman" w:hAnsi="Arial" w:cs="Arial"/>
                <w:color w:val="000000"/>
                <w:sz w:val="16"/>
                <w:szCs w:val="16"/>
              </w:rPr>
              <w:t>TBD at baseline</w:t>
            </w:r>
          </w:p>
        </w:tc>
        <w:tc>
          <w:tcPr>
            <w:tcW w:w="0" w:type="auto"/>
            <w:tcBorders>
              <w:top w:val="nil"/>
              <w:left w:val="nil"/>
              <w:bottom w:val="single" w:sz="4" w:space="0" w:color="auto"/>
              <w:right w:val="single" w:sz="4" w:space="0" w:color="auto"/>
            </w:tcBorders>
            <w:shd w:val="clear" w:color="auto" w:fill="auto"/>
            <w:vAlign w:val="center"/>
            <w:hideMark/>
          </w:tcPr>
          <w:p w14:paraId="49C150D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8482DE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2415441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5EE306E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468C4A6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10</w:t>
            </w:r>
          </w:p>
        </w:tc>
        <w:tc>
          <w:tcPr>
            <w:tcW w:w="0" w:type="auto"/>
            <w:tcBorders>
              <w:top w:val="nil"/>
              <w:left w:val="nil"/>
              <w:bottom w:val="single" w:sz="4" w:space="0" w:color="auto"/>
              <w:right w:val="single" w:sz="4" w:space="0" w:color="auto"/>
            </w:tcBorders>
            <w:shd w:val="clear" w:color="auto" w:fill="auto"/>
            <w:vAlign w:val="center"/>
            <w:hideMark/>
          </w:tcPr>
          <w:p w14:paraId="0F0FD2C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10</w:t>
            </w:r>
          </w:p>
        </w:tc>
        <w:tc>
          <w:tcPr>
            <w:tcW w:w="654" w:type="dxa"/>
            <w:tcBorders>
              <w:top w:val="nil"/>
              <w:left w:val="nil"/>
              <w:bottom w:val="single" w:sz="4" w:space="0" w:color="auto"/>
              <w:right w:val="single" w:sz="4" w:space="0" w:color="auto"/>
            </w:tcBorders>
            <w:shd w:val="clear" w:color="000000" w:fill="F2F2F2"/>
            <w:vAlign w:val="center"/>
            <w:hideMark/>
          </w:tcPr>
          <w:p w14:paraId="6D16B37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20</w:t>
            </w:r>
          </w:p>
        </w:tc>
      </w:tr>
      <w:tr w:rsidR="00BF216F" w:rsidRPr="00842724" w14:paraId="147DC354" w14:textId="77777777" w:rsidTr="00B91F87">
        <w:trPr>
          <w:trHeight w:val="300"/>
        </w:trPr>
        <w:tc>
          <w:tcPr>
            <w:tcW w:w="0" w:type="auto"/>
            <w:vMerge/>
            <w:tcBorders>
              <w:top w:val="nil"/>
              <w:left w:val="single" w:sz="8" w:space="0" w:color="auto"/>
              <w:bottom w:val="single" w:sz="4" w:space="0" w:color="000000"/>
              <w:right w:val="single" w:sz="4" w:space="0" w:color="auto"/>
            </w:tcBorders>
            <w:vAlign w:val="center"/>
            <w:hideMark/>
          </w:tcPr>
          <w:p w14:paraId="0937295A"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243A2A87"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667E45CC"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5488B4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TBD</w:t>
            </w:r>
          </w:p>
        </w:tc>
        <w:tc>
          <w:tcPr>
            <w:tcW w:w="0" w:type="auto"/>
            <w:vMerge/>
            <w:tcBorders>
              <w:top w:val="nil"/>
              <w:left w:val="single" w:sz="4" w:space="0" w:color="auto"/>
              <w:bottom w:val="single" w:sz="4" w:space="0" w:color="000000"/>
              <w:right w:val="single" w:sz="4" w:space="0" w:color="auto"/>
            </w:tcBorders>
            <w:vAlign w:val="center"/>
            <w:hideMark/>
          </w:tcPr>
          <w:p w14:paraId="1B134F40"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4ED40FC8"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86E5B1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CA8C58F" w14:textId="7BF6ABC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1B00119" w14:textId="412A132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827098E" w14:textId="062E32EA"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CA64E99" w14:textId="3563E9C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3221E64" w14:textId="550BC4D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7EF4E839" w14:textId="3F8C491F" w:rsidR="00842724" w:rsidRPr="00842724" w:rsidRDefault="00842724" w:rsidP="00B91F87">
            <w:pPr>
              <w:jc w:val="center"/>
              <w:rPr>
                <w:rFonts w:ascii="Arial" w:eastAsia="Times New Roman" w:hAnsi="Arial" w:cs="Arial"/>
                <w:b/>
                <w:bCs/>
                <w:sz w:val="16"/>
                <w:szCs w:val="16"/>
              </w:rPr>
            </w:pPr>
          </w:p>
        </w:tc>
      </w:tr>
      <w:tr w:rsidR="00BF216F" w:rsidRPr="00842724" w14:paraId="7168E26D" w14:textId="77777777" w:rsidTr="00B91F87">
        <w:trPr>
          <w:trHeight w:val="450"/>
        </w:trPr>
        <w:tc>
          <w:tcPr>
            <w:tcW w:w="0" w:type="auto"/>
            <w:vMerge/>
            <w:tcBorders>
              <w:top w:val="nil"/>
              <w:left w:val="single" w:sz="8" w:space="0" w:color="auto"/>
              <w:bottom w:val="single" w:sz="4" w:space="0" w:color="000000"/>
              <w:right w:val="single" w:sz="4" w:space="0" w:color="auto"/>
            </w:tcBorders>
            <w:vAlign w:val="center"/>
            <w:hideMark/>
          </w:tcPr>
          <w:p w14:paraId="37BB214B"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20F9016E"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0BB8A1DF"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526915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TBD</w:t>
            </w:r>
          </w:p>
        </w:tc>
        <w:tc>
          <w:tcPr>
            <w:tcW w:w="0" w:type="auto"/>
            <w:vMerge/>
            <w:tcBorders>
              <w:top w:val="nil"/>
              <w:left w:val="single" w:sz="4" w:space="0" w:color="auto"/>
              <w:bottom w:val="single" w:sz="4" w:space="0" w:color="000000"/>
              <w:right w:val="single" w:sz="4" w:space="0" w:color="auto"/>
            </w:tcBorders>
            <w:vAlign w:val="center"/>
            <w:hideMark/>
          </w:tcPr>
          <w:p w14:paraId="73A3CD8A"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6E1113C7"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030A1D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4BCB7C1" w14:textId="03DE0740"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6E21F02" w14:textId="77C8E5A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BCC7CE6" w14:textId="712056B1"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2EE04FFC" w14:textId="00AAC8B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E693483" w14:textId="32E2535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51067BF" w14:textId="2FA51CE9" w:rsidR="00842724" w:rsidRPr="00842724" w:rsidRDefault="00842724" w:rsidP="00B91F87">
            <w:pPr>
              <w:jc w:val="center"/>
              <w:rPr>
                <w:rFonts w:ascii="Arial" w:eastAsia="Times New Roman" w:hAnsi="Arial" w:cs="Arial"/>
                <w:b/>
                <w:bCs/>
                <w:sz w:val="16"/>
                <w:szCs w:val="16"/>
              </w:rPr>
            </w:pPr>
          </w:p>
        </w:tc>
      </w:tr>
      <w:tr w:rsidR="00BF216F" w:rsidRPr="00842724" w14:paraId="15235401" w14:textId="77777777" w:rsidTr="00B91F87">
        <w:trPr>
          <w:trHeight w:val="900"/>
        </w:trPr>
        <w:tc>
          <w:tcPr>
            <w:tcW w:w="0" w:type="auto"/>
            <w:vMerge w:val="restart"/>
            <w:tcBorders>
              <w:top w:val="nil"/>
              <w:left w:val="single" w:sz="8" w:space="0" w:color="auto"/>
              <w:bottom w:val="single" w:sz="4" w:space="0" w:color="000000"/>
              <w:right w:val="single" w:sz="4" w:space="0" w:color="auto"/>
            </w:tcBorders>
            <w:shd w:val="clear" w:color="auto" w:fill="auto"/>
            <w:vAlign w:val="center"/>
            <w:hideMark/>
          </w:tcPr>
          <w:p w14:paraId="5FC359D8"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3.2</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45AA32F"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increase in PEA capacity assessment scores of PEA-based action research organizations</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4333B9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Counterpart</w:t>
            </w:r>
          </w:p>
        </w:tc>
        <w:tc>
          <w:tcPr>
            <w:tcW w:w="0" w:type="auto"/>
            <w:tcBorders>
              <w:top w:val="nil"/>
              <w:left w:val="nil"/>
              <w:bottom w:val="single" w:sz="4" w:space="0" w:color="auto"/>
              <w:right w:val="single" w:sz="4" w:space="0" w:color="auto"/>
            </w:tcBorders>
            <w:shd w:val="clear" w:color="auto" w:fill="auto"/>
            <w:vAlign w:val="center"/>
            <w:hideMark/>
          </w:tcPr>
          <w:p w14:paraId="3C829AFA" w14:textId="7F707840"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 xml:space="preserve">Method: Comparison of different assessment scores per organization and tallying organizations that increase by at least one point from the baseline to </w:t>
            </w:r>
            <w:r w:rsidR="00DD3CAE" w:rsidRPr="00842724">
              <w:rPr>
                <w:rFonts w:ascii="Arial" w:eastAsia="Times New Roman" w:hAnsi="Arial" w:cs="Arial"/>
                <w:sz w:val="16"/>
                <w:szCs w:val="16"/>
              </w:rPr>
              <w:t>end line</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980315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Sector; Sub-sector; Third-level administrative division; Functional area</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5F21CF1" w14:textId="4BC1D01A"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xml:space="preserve">TBD at </w:t>
            </w:r>
            <w:r w:rsidR="00DD3CAE" w:rsidRPr="00842724">
              <w:rPr>
                <w:rFonts w:ascii="Arial" w:eastAsia="Times New Roman" w:hAnsi="Arial" w:cs="Arial"/>
                <w:color w:val="000000"/>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744D1BE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D3411EF"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61A0CD79"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auto" w:fill="auto"/>
            <w:vAlign w:val="center"/>
            <w:hideMark/>
          </w:tcPr>
          <w:p w14:paraId="70F77804"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0</w:t>
            </w:r>
          </w:p>
        </w:tc>
        <w:tc>
          <w:tcPr>
            <w:tcW w:w="0" w:type="auto"/>
            <w:tcBorders>
              <w:top w:val="nil"/>
              <w:left w:val="nil"/>
              <w:bottom w:val="single" w:sz="4" w:space="0" w:color="auto"/>
              <w:right w:val="single" w:sz="4" w:space="0" w:color="auto"/>
            </w:tcBorders>
            <w:shd w:val="clear" w:color="000000" w:fill="F2F2F2"/>
            <w:vAlign w:val="center"/>
            <w:hideMark/>
          </w:tcPr>
          <w:p w14:paraId="60C4223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10%</w:t>
            </w:r>
          </w:p>
        </w:tc>
        <w:tc>
          <w:tcPr>
            <w:tcW w:w="0" w:type="auto"/>
            <w:tcBorders>
              <w:top w:val="nil"/>
              <w:left w:val="nil"/>
              <w:bottom w:val="single" w:sz="4" w:space="0" w:color="auto"/>
              <w:right w:val="single" w:sz="4" w:space="0" w:color="auto"/>
            </w:tcBorders>
            <w:shd w:val="clear" w:color="auto" w:fill="auto"/>
            <w:vAlign w:val="center"/>
            <w:hideMark/>
          </w:tcPr>
          <w:p w14:paraId="5F61A66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10%</w:t>
            </w:r>
          </w:p>
        </w:tc>
        <w:tc>
          <w:tcPr>
            <w:tcW w:w="654" w:type="dxa"/>
            <w:tcBorders>
              <w:top w:val="nil"/>
              <w:left w:val="nil"/>
              <w:bottom w:val="single" w:sz="4" w:space="0" w:color="auto"/>
              <w:right w:val="single" w:sz="4" w:space="0" w:color="auto"/>
            </w:tcBorders>
            <w:shd w:val="clear" w:color="000000" w:fill="F2F2F2"/>
            <w:vAlign w:val="center"/>
            <w:hideMark/>
          </w:tcPr>
          <w:p w14:paraId="403A3C2D"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21%</w:t>
            </w:r>
          </w:p>
        </w:tc>
      </w:tr>
      <w:tr w:rsidR="00BF216F" w:rsidRPr="00842724" w14:paraId="5FF3899F" w14:textId="77777777" w:rsidTr="00B91F87">
        <w:trPr>
          <w:trHeight w:val="300"/>
        </w:trPr>
        <w:tc>
          <w:tcPr>
            <w:tcW w:w="0" w:type="auto"/>
            <w:vMerge/>
            <w:tcBorders>
              <w:top w:val="nil"/>
              <w:left w:val="single" w:sz="8" w:space="0" w:color="auto"/>
              <w:bottom w:val="single" w:sz="4" w:space="0" w:color="000000"/>
              <w:right w:val="single" w:sz="4" w:space="0" w:color="auto"/>
            </w:tcBorders>
            <w:vAlign w:val="center"/>
            <w:hideMark/>
          </w:tcPr>
          <w:p w14:paraId="075A730C"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33FC4E2E"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715004BD"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5D2B22F"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TBD</w:t>
            </w:r>
          </w:p>
        </w:tc>
        <w:tc>
          <w:tcPr>
            <w:tcW w:w="0" w:type="auto"/>
            <w:vMerge/>
            <w:tcBorders>
              <w:top w:val="nil"/>
              <w:left w:val="single" w:sz="4" w:space="0" w:color="auto"/>
              <w:bottom w:val="single" w:sz="4" w:space="0" w:color="000000"/>
              <w:right w:val="single" w:sz="4" w:space="0" w:color="auto"/>
            </w:tcBorders>
            <w:vAlign w:val="center"/>
            <w:hideMark/>
          </w:tcPr>
          <w:p w14:paraId="1F0A81BA"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711F8F70"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2CEB7D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F6FB28F" w14:textId="6C52DADD"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B21F0A9" w14:textId="41A34C08"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01A85FF" w14:textId="30A894D1"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4935230" w14:textId="4E61DB75"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2C4F161" w14:textId="1B2D06ED"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86CC5F7" w14:textId="296F6965" w:rsidR="00842724" w:rsidRPr="00842724" w:rsidRDefault="00842724" w:rsidP="00B91F87">
            <w:pPr>
              <w:jc w:val="center"/>
              <w:rPr>
                <w:rFonts w:ascii="Arial" w:eastAsia="Times New Roman" w:hAnsi="Arial" w:cs="Arial"/>
                <w:b/>
                <w:bCs/>
                <w:sz w:val="16"/>
                <w:szCs w:val="16"/>
              </w:rPr>
            </w:pPr>
          </w:p>
        </w:tc>
      </w:tr>
      <w:tr w:rsidR="00BF216F" w:rsidRPr="00842724" w14:paraId="2FE57E14" w14:textId="77777777" w:rsidTr="00B91F87">
        <w:trPr>
          <w:trHeight w:val="450"/>
        </w:trPr>
        <w:tc>
          <w:tcPr>
            <w:tcW w:w="0" w:type="auto"/>
            <w:vMerge/>
            <w:tcBorders>
              <w:top w:val="nil"/>
              <w:left w:val="single" w:sz="8" w:space="0" w:color="auto"/>
              <w:bottom w:val="single" w:sz="4" w:space="0" w:color="000000"/>
              <w:right w:val="single" w:sz="4" w:space="0" w:color="auto"/>
            </w:tcBorders>
            <w:vAlign w:val="center"/>
            <w:hideMark/>
          </w:tcPr>
          <w:p w14:paraId="1CF37108"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4243F255"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43B48A16"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3472D4E" w14:textId="77777777" w:rsid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TBD</w:t>
            </w:r>
          </w:p>
          <w:p w14:paraId="315AB861" w14:textId="77777777" w:rsidR="003E583A" w:rsidRDefault="003E583A" w:rsidP="00B91F87">
            <w:pPr>
              <w:jc w:val="center"/>
              <w:rPr>
                <w:rFonts w:ascii="Arial" w:eastAsia="Times New Roman" w:hAnsi="Arial" w:cs="Arial"/>
                <w:sz w:val="16"/>
                <w:szCs w:val="16"/>
              </w:rPr>
            </w:pPr>
          </w:p>
          <w:p w14:paraId="23DADAD9" w14:textId="77777777" w:rsidR="003E583A" w:rsidRDefault="003E583A" w:rsidP="00B91F87">
            <w:pPr>
              <w:jc w:val="center"/>
              <w:rPr>
                <w:rFonts w:ascii="Arial" w:eastAsia="Times New Roman" w:hAnsi="Arial" w:cs="Arial"/>
                <w:sz w:val="16"/>
                <w:szCs w:val="16"/>
              </w:rPr>
            </w:pPr>
          </w:p>
          <w:p w14:paraId="3360629A" w14:textId="77777777" w:rsidR="003E583A" w:rsidRDefault="003E583A" w:rsidP="00B91F87">
            <w:pPr>
              <w:jc w:val="center"/>
              <w:rPr>
                <w:rFonts w:ascii="Arial" w:eastAsia="Times New Roman" w:hAnsi="Arial" w:cs="Arial"/>
                <w:sz w:val="16"/>
                <w:szCs w:val="16"/>
              </w:rPr>
            </w:pPr>
          </w:p>
          <w:p w14:paraId="0022345B" w14:textId="4618757F" w:rsidR="003E583A" w:rsidRPr="00842724" w:rsidRDefault="003E583A"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3B3F29AD"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012EA88C"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604A46D"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B24D1D3" w14:textId="322B237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E926425" w14:textId="3BFCECB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118A6C7" w14:textId="711209C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79C2D0C5" w14:textId="5C0F488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1D00369" w14:textId="515E4679"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641FB812" w14:textId="28C26B39" w:rsidR="00842724" w:rsidRPr="00842724" w:rsidRDefault="00842724" w:rsidP="00B91F87">
            <w:pPr>
              <w:jc w:val="center"/>
              <w:rPr>
                <w:rFonts w:ascii="Arial" w:eastAsia="Times New Roman" w:hAnsi="Arial" w:cs="Arial"/>
                <w:b/>
                <w:bCs/>
                <w:sz w:val="16"/>
                <w:szCs w:val="16"/>
              </w:rPr>
            </w:pPr>
          </w:p>
        </w:tc>
      </w:tr>
      <w:tr w:rsidR="00842724" w:rsidRPr="00842724" w14:paraId="55C2DA88" w14:textId="77777777" w:rsidTr="00B91F87">
        <w:trPr>
          <w:trHeight w:val="300"/>
        </w:trPr>
        <w:tc>
          <w:tcPr>
            <w:tcW w:w="14480" w:type="dxa"/>
            <w:gridSpan w:val="13"/>
            <w:tcBorders>
              <w:top w:val="single" w:sz="4" w:space="0" w:color="auto"/>
              <w:left w:val="single" w:sz="8" w:space="0" w:color="auto"/>
              <w:bottom w:val="single" w:sz="4" w:space="0" w:color="auto"/>
              <w:right w:val="nil"/>
            </w:tcBorders>
            <w:shd w:val="clear" w:color="000000" w:fill="F79646"/>
            <w:noWrap/>
            <w:vAlign w:val="center"/>
            <w:hideMark/>
          </w:tcPr>
          <w:p w14:paraId="1222A28E" w14:textId="295DA70B" w:rsidR="00842724" w:rsidRPr="00842724" w:rsidRDefault="00BF216F" w:rsidP="00B91F87">
            <w:pPr>
              <w:jc w:val="center"/>
              <w:rPr>
                <w:rFonts w:ascii="Arial" w:eastAsia="Times New Roman" w:hAnsi="Arial" w:cs="Arial"/>
                <w:b/>
                <w:bCs/>
                <w:sz w:val="18"/>
                <w:szCs w:val="18"/>
              </w:rPr>
            </w:pPr>
            <w:r>
              <w:rPr>
                <w:rFonts w:ascii="Arial" w:eastAsia="Times New Roman" w:hAnsi="Arial" w:cs="Arial"/>
                <w:b/>
                <w:bCs/>
                <w:sz w:val="18"/>
                <w:szCs w:val="18"/>
              </w:rPr>
              <w:t>Impact</w:t>
            </w:r>
            <w:r w:rsidR="00842724" w:rsidRPr="00842724">
              <w:rPr>
                <w:rFonts w:ascii="Arial" w:eastAsia="Times New Roman" w:hAnsi="Arial" w:cs="Arial"/>
                <w:b/>
                <w:bCs/>
                <w:sz w:val="18"/>
                <w:szCs w:val="18"/>
              </w:rPr>
              <w:t xml:space="preserve"> Indicators</w:t>
            </w:r>
          </w:p>
        </w:tc>
      </w:tr>
      <w:tr w:rsidR="00BF216F" w:rsidRPr="00842724" w14:paraId="5E5092BD" w14:textId="77777777" w:rsidTr="003E583A">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466F0B"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3.3</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1ED875"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of citizens who report that media investigative reporting is promoting collective action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62C3B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15FB1AB3"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3C08F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31A215" w14:textId="5EEDEC89"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xml:space="preserve">TBD at </w:t>
            </w:r>
            <w:r w:rsidR="00DD3CAE" w:rsidRPr="00842724">
              <w:rPr>
                <w:rFonts w:ascii="Arial" w:eastAsia="Times New Roman" w:hAnsi="Arial" w:cs="Arial"/>
                <w:color w:val="000000"/>
                <w:sz w:val="16"/>
                <w:szCs w:val="16"/>
              </w:rPr>
              <w:t>baseline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23E71C"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65CAB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7A1F2C31"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8EF56DA"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30E3B732"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F7D66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single" w:sz="4" w:space="0" w:color="auto"/>
              <w:left w:val="nil"/>
              <w:bottom w:val="single" w:sz="4" w:space="0" w:color="auto"/>
              <w:right w:val="single" w:sz="4" w:space="0" w:color="auto"/>
            </w:tcBorders>
            <w:shd w:val="clear" w:color="000000" w:fill="F2F2F2"/>
            <w:vAlign w:val="center"/>
            <w:hideMark/>
          </w:tcPr>
          <w:p w14:paraId="00E7F93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50%</w:t>
            </w:r>
          </w:p>
        </w:tc>
      </w:tr>
      <w:tr w:rsidR="00BF216F" w:rsidRPr="00842724" w14:paraId="0482024D" w14:textId="77777777" w:rsidTr="003E583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1A3BBF"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2E096"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1E97F0" w14:textId="77777777" w:rsidR="00842724" w:rsidRPr="00842724" w:rsidRDefault="00842724" w:rsidP="00B91F87">
            <w:pPr>
              <w:jc w:val="center"/>
              <w:rPr>
                <w:rFonts w:ascii="Arial" w:eastAsia="Times New Roman" w:hAnsi="Arial" w:cs="Arial"/>
                <w:sz w:val="16"/>
                <w:szCs w:val="16"/>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FB78391" w14:textId="45982653"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3F200D"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D6C69"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BF4E23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C984628" w14:textId="790315F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8C83A14" w14:textId="066EA071"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4691164" w14:textId="5D0DBE5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2DCD1A65" w14:textId="734B8DF4"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07A7234" w14:textId="3491C9FE"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647C02BD" w14:textId="57FEF4F5" w:rsidR="00842724" w:rsidRPr="00842724" w:rsidRDefault="00842724" w:rsidP="00B91F87">
            <w:pPr>
              <w:jc w:val="center"/>
              <w:rPr>
                <w:rFonts w:ascii="Arial" w:eastAsia="Times New Roman" w:hAnsi="Arial" w:cs="Arial"/>
                <w:b/>
                <w:bCs/>
                <w:sz w:val="16"/>
                <w:szCs w:val="16"/>
              </w:rPr>
            </w:pPr>
          </w:p>
        </w:tc>
      </w:tr>
      <w:tr w:rsidR="00BF216F" w:rsidRPr="00842724" w14:paraId="66ED01E7" w14:textId="77777777" w:rsidTr="003E583A">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9EFE32"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A7CD0"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E2F754"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3D371B1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174FCC" w14:textId="77777777" w:rsidR="00842724" w:rsidRPr="00842724" w:rsidRDefault="00842724" w:rsidP="00B91F87">
            <w:pPr>
              <w:jc w:val="center"/>
              <w:rPr>
                <w:rFonts w:ascii="Arial" w:eastAsia="Times New Roman" w:hAnsi="Arial" w:cs="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D040D"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5671306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F59C1EB" w14:textId="6B08331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4171358E" w14:textId="349DF71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2F20529E" w14:textId="2B1DFF0F"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60E3C90" w14:textId="38CEAF07"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B360686" w14:textId="6C1D6B71"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12A534F3" w14:textId="3FAFCE54" w:rsidR="00842724" w:rsidRPr="00842724" w:rsidRDefault="00842724" w:rsidP="00B91F87">
            <w:pPr>
              <w:jc w:val="center"/>
              <w:rPr>
                <w:rFonts w:ascii="Arial" w:eastAsia="Times New Roman" w:hAnsi="Arial" w:cs="Arial"/>
                <w:b/>
                <w:bCs/>
                <w:sz w:val="16"/>
                <w:szCs w:val="16"/>
              </w:rPr>
            </w:pPr>
          </w:p>
        </w:tc>
      </w:tr>
      <w:tr w:rsidR="00BF216F" w:rsidRPr="00842724" w14:paraId="3BA16821" w14:textId="77777777" w:rsidTr="003E583A">
        <w:trPr>
          <w:trHeight w:val="300"/>
        </w:trPr>
        <w:tc>
          <w:tcPr>
            <w:tcW w:w="0" w:type="auto"/>
            <w:vMerge w:val="restart"/>
            <w:tcBorders>
              <w:top w:val="single" w:sz="4" w:space="0" w:color="auto"/>
              <w:left w:val="single" w:sz="8" w:space="0" w:color="auto"/>
              <w:bottom w:val="single" w:sz="4" w:space="0" w:color="000000"/>
              <w:right w:val="single" w:sz="4" w:space="0" w:color="auto"/>
            </w:tcBorders>
            <w:shd w:val="clear" w:color="auto" w:fill="auto"/>
            <w:vAlign w:val="center"/>
            <w:hideMark/>
          </w:tcPr>
          <w:p w14:paraId="2D6EDA87"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3.4</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0C23E32"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of citizens who report that cultural artists messaging is influencing governance practices</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6D8ACC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single" w:sz="4" w:space="0" w:color="auto"/>
              <w:left w:val="nil"/>
              <w:right w:val="single" w:sz="4" w:space="0" w:color="auto"/>
            </w:tcBorders>
            <w:shd w:val="clear" w:color="auto" w:fill="auto"/>
            <w:vAlign w:val="center"/>
            <w:hideMark/>
          </w:tcPr>
          <w:p w14:paraId="41691301"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0AD67E"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5D38466" w14:textId="0241F3B8"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xml:space="preserve">TBD at </w:t>
            </w:r>
            <w:r w:rsidR="00DD3CAE" w:rsidRPr="00842724">
              <w:rPr>
                <w:rFonts w:ascii="Arial" w:eastAsia="Times New Roman" w:hAnsi="Arial" w:cs="Arial"/>
                <w:color w:val="000000"/>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4E8B3B29"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E69625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3BEEAAA0"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4E14A21A"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089BA175"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558DA918"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369CE246"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50%</w:t>
            </w:r>
          </w:p>
        </w:tc>
      </w:tr>
      <w:tr w:rsidR="00BF216F" w:rsidRPr="00842724" w14:paraId="5ABACDF7" w14:textId="77777777" w:rsidTr="00B91F87">
        <w:trPr>
          <w:trHeight w:val="300"/>
        </w:trPr>
        <w:tc>
          <w:tcPr>
            <w:tcW w:w="0" w:type="auto"/>
            <w:vMerge/>
            <w:tcBorders>
              <w:top w:val="nil"/>
              <w:left w:val="single" w:sz="8" w:space="0" w:color="auto"/>
              <w:bottom w:val="single" w:sz="4" w:space="0" w:color="000000"/>
              <w:right w:val="single" w:sz="4" w:space="0" w:color="auto"/>
            </w:tcBorders>
            <w:vAlign w:val="center"/>
            <w:hideMark/>
          </w:tcPr>
          <w:p w14:paraId="3A248584"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2622F664"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26532136" w14:textId="77777777" w:rsidR="00842724" w:rsidRPr="00842724" w:rsidRDefault="00842724" w:rsidP="00B91F87">
            <w:pPr>
              <w:jc w:val="center"/>
              <w:rPr>
                <w:rFonts w:ascii="Arial" w:eastAsia="Times New Roman" w:hAnsi="Arial" w:cs="Arial"/>
                <w:sz w:val="16"/>
                <w:szCs w:val="16"/>
              </w:rPr>
            </w:pPr>
          </w:p>
        </w:tc>
        <w:tc>
          <w:tcPr>
            <w:tcW w:w="0" w:type="auto"/>
            <w:tcBorders>
              <w:left w:val="nil"/>
              <w:bottom w:val="single" w:sz="4" w:space="0" w:color="auto"/>
              <w:right w:val="single" w:sz="4" w:space="0" w:color="auto"/>
            </w:tcBorders>
            <w:shd w:val="clear" w:color="auto" w:fill="auto"/>
            <w:vAlign w:val="center"/>
            <w:hideMark/>
          </w:tcPr>
          <w:p w14:paraId="5E2DE803" w14:textId="568B4528"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nil"/>
              <w:left w:val="single" w:sz="4" w:space="0" w:color="auto"/>
              <w:bottom w:val="single" w:sz="4" w:space="0" w:color="000000"/>
              <w:right w:val="single" w:sz="4" w:space="0" w:color="auto"/>
            </w:tcBorders>
            <w:vAlign w:val="center"/>
            <w:hideMark/>
          </w:tcPr>
          <w:p w14:paraId="222A9B4D"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57949524"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A2A5A72"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5DCB57C" w14:textId="37E8E4CD"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F2B2971" w14:textId="7C9E5B1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5E1B441" w14:textId="6218B02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ECD2A81" w14:textId="6829E61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FE491AC" w14:textId="2A6CBCC0"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0EB5423D" w14:textId="2891D4AA" w:rsidR="00842724" w:rsidRPr="00842724" w:rsidRDefault="00842724" w:rsidP="00B91F87">
            <w:pPr>
              <w:jc w:val="center"/>
              <w:rPr>
                <w:rFonts w:ascii="Arial" w:eastAsia="Times New Roman" w:hAnsi="Arial" w:cs="Arial"/>
                <w:b/>
                <w:bCs/>
                <w:sz w:val="16"/>
                <w:szCs w:val="16"/>
              </w:rPr>
            </w:pPr>
          </w:p>
        </w:tc>
      </w:tr>
      <w:tr w:rsidR="00BF216F" w:rsidRPr="00842724" w14:paraId="3596BCCD" w14:textId="77777777" w:rsidTr="00B91F87">
        <w:trPr>
          <w:trHeight w:val="450"/>
        </w:trPr>
        <w:tc>
          <w:tcPr>
            <w:tcW w:w="0" w:type="auto"/>
            <w:vMerge/>
            <w:tcBorders>
              <w:top w:val="nil"/>
              <w:left w:val="single" w:sz="8" w:space="0" w:color="auto"/>
              <w:bottom w:val="single" w:sz="4" w:space="0" w:color="000000"/>
              <w:right w:val="single" w:sz="4" w:space="0" w:color="auto"/>
            </w:tcBorders>
            <w:vAlign w:val="center"/>
            <w:hideMark/>
          </w:tcPr>
          <w:p w14:paraId="4B7C5239"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7B6B3835"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5B5851D9"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648D0C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nil"/>
              <w:left w:val="single" w:sz="4" w:space="0" w:color="auto"/>
              <w:bottom w:val="single" w:sz="4" w:space="0" w:color="000000"/>
              <w:right w:val="single" w:sz="4" w:space="0" w:color="auto"/>
            </w:tcBorders>
            <w:vAlign w:val="center"/>
            <w:hideMark/>
          </w:tcPr>
          <w:p w14:paraId="127DCE5D"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7F62937B"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3C0E3C0"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9EDFF37" w14:textId="7D98391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5A6498E0" w14:textId="53D36EE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049B68B" w14:textId="7151EF9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06ECE54A" w14:textId="6F60D6E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92505D9" w14:textId="71226477"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2C5E37FD" w14:textId="4F751ABF" w:rsidR="00842724" w:rsidRPr="00842724" w:rsidRDefault="00842724" w:rsidP="00B91F87">
            <w:pPr>
              <w:jc w:val="center"/>
              <w:rPr>
                <w:rFonts w:ascii="Arial" w:eastAsia="Times New Roman" w:hAnsi="Arial" w:cs="Arial"/>
                <w:b/>
                <w:bCs/>
                <w:sz w:val="16"/>
                <w:szCs w:val="16"/>
              </w:rPr>
            </w:pPr>
          </w:p>
        </w:tc>
      </w:tr>
      <w:tr w:rsidR="00BF216F" w:rsidRPr="00842724" w14:paraId="0975D373" w14:textId="77777777" w:rsidTr="00B91F87">
        <w:trPr>
          <w:trHeight w:val="300"/>
        </w:trPr>
        <w:tc>
          <w:tcPr>
            <w:tcW w:w="0" w:type="auto"/>
            <w:vMerge w:val="restart"/>
            <w:tcBorders>
              <w:top w:val="nil"/>
              <w:left w:val="single" w:sz="8" w:space="0" w:color="auto"/>
              <w:bottom w:val="single" w:sz="4" w:space="0" w:color="000000"/>
              <w:right w:val="single" w:sz="4" w:space="0" w:color="auto"/>
            </w:tcBorders>
            <w:shd w:val="clear" w:color="auto" w:fill="auto"/>
            <w:vAlign w:val="center"/>
            <w:hideMark/>
          </w:tcPr>
          <w:p w14:paraId="72D5E0C8"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3.5</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21D5078" w14:textId="77777777"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of citizens and public officials who report that investigative journalism in Niger is fair</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9A4D02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Baseline study and final evaluation</w:t>
            </w:r>
          </w:p>
        </w:tc>
        <w:tc>
          <w:tcPr>
            <w:tcW w:w="0" w:type="auto"/>
            <w:tcBorders>
              <w:top w:val="nil"/>
              <w:left w:val="nil"/>
              <w:bottom w:val="single" w:sz="4" w:space="0" w:color="auto"/>
              <w:right w:val="single" w:sz="4" w:space="0" w:color="auto"/>
            </w:tcBorders>
            <w:shd w:val="clear" w:color="auto" w:fill="auto"/>
            <w:vAlign w:val="center"/>
            <w:hideMark/>
          </w:tcPr>
          <w:p w14:paraId="12D249BA"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Method: Review of third-party evaluation reports</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8632B14"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Third-level administrative division; Sex; Youth: binary; Literacy: binary; Ethnicity; Education;</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F78752E" w14:textId="1F2ACB2A" w:rsidR="00842724" w:rsidRPr="00842724" w:rsidRDefault="00842724" w:rsidP="00B91F87">
            <w:pPr>
              <w:jc w:val="center"/>
              <w:rPr>
                <w:rFonts w:ascii="Arial" w:eastAsia="Times New Roman" w:hAnsi="Arial" w:cs="Arial"/>
                <w:color w:val="000000"/>
                <w:sz w:val="16"/>
                <w:szCs w:val="16"/>
              </w:rPr>
            </w:pPr>
            <w:r w:rsidRPr="00842724">
              <w:rPr>
                <w:rFonts w:ascii="Arial" w:eastAsia="Times New Roman" w:hAnsi="Arial" w:cs="Arial"/>
                <w:color w:val="000000"/>
                <w:sz w:val="16"/>
                <w:szCs w:val="16"/>
              </w:rPr>
              <w:t xml:space="preserve">TBD at </w:t>
            </w:r>
            <w:r w:rsidR="00DD3CAE" w:rsidRPr="00842724">
              <w:rPr>
                <w:rFonts w:ascii="Arial" w:eastAsia="Times New Roman" w:hAnsi="Arial" w:cs="Arial"/>
                <w:color w:val="000000"/>
                <w:sz w:val="16"/>
                <w:szCs w:val="16"/>
              </w:rPr>
              <w:t>baseline</w:t>
            </w:r>
          </w:p>
        </w:tc>
        <w:tc>
          <w:tcPr>
            <w:tcW w:w="0" w:type="auto"/>
            <w:tcBorders>
              <w:top w:val="nil"/>
              <w:left w:val="nil"/>
              <w:bottom w:val="single" w:sz="4" w:space="0" w:color="auto"/>
              <w:right w:val="single" w:sz="4" w:space="0" w:color="auto"/>
            </w:tcBorders>
            <w:shd w:val="clear" w:color="auto" w:fill="auto"/>
            <w:vAlign w:val="center"/>
            <w:hideMark/>
          </w:tcPr>
          <w:p w14:paraId="4B345A86"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Target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281A76A"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33005417"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2EA6D43E"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000000" w:fill="F2F2F2"/>
            <w:vAlign w:val="center"/>
            <w:hideMark/>
          </w:tcPr>
          <w:p w14:paraId="512918DA"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0" w:type="auto"/>
            <w:tcBorders>
              <w:top w:val="nil"/>
              <w:left w:val="nil"/>
              <w:bottom w:val="single" w:sz="4" w:space="0" w:color="auto"/>
              <w:right w:val="single" w:sz="4" w:space="0" w:color="auto"/>
            </w:tcBorders>
            <w:shd w:val="clear" w:color="auto" w:fill="auto"/>
            <w:vAlign w:val="center"/>
            <w:hideMark/>
          </w:tcPr>
          <w:p w14:paraId="30AB443B"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NA</w:t>
            </w:r>
          </w:p>
        </w:tc>
        <w:tc>
          <w:tcPr>
            <w:tcW w:w="654" w:type="dxa"/>
            <w:tcBorders>
              <w:top w:val="nil"/>
              <w:left w:val="nil"/>
              <w:bottom w:val="single" w:sz="4" w:space="0" w:color="auto"/>
              <w:right w:val="single" w:sz="4" w:space="0" w:color="auto"/>
            </w:tcBorders>
            <w:shd w:val="clear" w:color="000000" w:fill="F2F2F2"/>
            <w:vAlign w:val="center"/>
            <w:hideMark/>
          </w:tcPr>
          <w:p w14:paraId="35654787" w14:textId="77777777" w:rsidR="00842724" w:rsidRPr="00842724" w:rsidRDefault="00842724" w:rsidP="00B91F87">
            <w:pPr>
              <w:jc w:val="center"/>
              <w:rPr>
                <w:rFonts w:ascii="Arial" w:eastAsia="Times New Roman" w:hAnsi="Arial" w:cs="Arial"/>
                <w:b/>
                <w:bCs/>
                <w:sz w:val="16"/>
                <w:szCs w:val="16"/>
              </w:rPr>
            </w:pPr>
            <w:r w:rsidRPr="00842724">
              <w:rPr>
                <w:rFonts w:ascii="Arial" w:eastAsia="Times New Roman" w:hAnsi="Arial" w:cs="Arial"/>
                <w:b/>
                <w:bCs/>
                <w:sz w:val="16"/>
                <w:szCs w:val="16"/>
              </w:rPr>
              <w:t>15%</w:t>
            </w:r>
          </w:p>
        </w:tc>
      </w:tr>
      <w:tr w:rsidR="00BF216F" w:rsidRPr="00842724" w14:paraId="5CF394FC" w14:textId="77777777" w:rsidTr="00B91F87">
        <w:trPr>
          <w:trHeight w:val="300"/>
        </w:trPr>
        <w:tc>
          <w:tcPr>
            <w:tcW w:w="0" w:type="auto"/>
            <w:vMerge/>
            <w:tcBorders>
              <w:top w:val="nil"/>
              <w:left w:val="single" w:sz="8" w:space="0" w:color="auto"/>
              <w:bottom w:val="single" w:sz="4" w:space="0" w:color="000000"/>
              <w:right w:val="single" w:sz="4" w:space="0" w:color="auto"/>
            </w:tcBorders>
            <w:vAlign w:val="center"/>
            <w:hideMark/>
          </w:tcPr>
          <w:p w14:paraId="083D883F"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3BA08578"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182D295C"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17985CF5" w14:textId="5A8FF26B"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Frequency: Twice: baseline and final</w:t>
            </w:r>
          </w:p>
        </w:tc>
        <w:tc>
          <w:tcPr>
            <w:tcW w:w="0" w:type="auto"/>
            <w:vMerge/>
            <w:tcBorders>
              <w:top w:val="nil"/>
              <w:left w:val="single" w:sz="4" w:space="0" w:color="auto"/>
              <w:bottom w:val="single" w:sz="4" w:space="0" w:color="000000"/>
              <w:right w:val="single" w:sz="4" w:space="0" w:color="auto"/>
            </w:tcBorders>
            <w:vAlign w:val="center"/>
            <w:hideMark/>
          </w:tcPr>
          <w:p w14:paraId="4B32CEC3"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7732EBAC"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778827B5"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Actual</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3D683F45" w14:textId="5F53D55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634FFEEC" w14:textId="2E2BC4EB"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EF3A12B" w14:textId="602E3732"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37AA4A5" w14:textId="68087279"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30B265C" w14:textId="271C68B8"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DCB57C9" w14:textId="07EA2FBE" w:rsidR="00842724" w:rsidRPr="00842724" w:rsidRDefault="00842724" w:rsidP="00B91F87">
            <w:pPr>
              <w:jc w:val="center"/>
              <w:rPr>
                <w:rFonts w:ascii="Arial" w:eastAsia="Times New Roman" w:hAnsi="Arial" w:cs="Arial"/>
                <w:b/>
                <w:bCs/>
                <w:sz w:val="16"/>
                <w:szCs w:val="16"/>
              </w:rPr>
            </w:pPr>
          </w:p>
        </w:tc>
      </w:tr>
      <w:tr w:rsidR="00BF216F" w:rsidRPr="00842724" w14:paraId="2C0D3C8D" w14:textId="77777777" w:rsidTr="00B91F87">
        <w:trPr>
          <w:trHeight w:val="450"/>
        </w:trPr>
        <w:tc>
          <w:tcPr>
            <w:tcW w:w="0" w:type="auto"/>
            <w:vMerge/>
            <w:tcBorders>
              <w:top w:val="nil"/>
              <w:left w:val="single" w:sz="8" w:space="0" w:color="auto"/>
              <w:bottom w:val="single" w:sz="4" w:space="0" w:color="000000"/>
              <w:right w:val="single" w:sz="4" w:space="0" w:color="auto"/>
            </w:tcBorders>
            <w:vAlign w:val="center"/>
            <w:hideMark/>
          </w:tcPr>
          <w:p w14:paraId="07A765A9"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3BF3BD44" w14:textId="77777777" w:rsidR="00842724" w:rsidRPr="00842724" w:rsidRDefault="00842724" w:rsidP="00B91F87">
            <w:pPr>
              <w:jc w:val="center"/>
              <w:rPr>
                <w:rFonts w:ascii="Arial" w:eastAsia="Times New Roman" w:hAnsi="Arial" w:cs="Arial"/>
                <w:color w:val="00000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10B0AE60" w14:textId="77777777" w:rsidR="00842724" w:rsidRPr="00842724" w:rsidRDefault="00842724" w:rsidP="00B91F87">
            <w:pPr>
              <w:jc w:val="center"/>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51E5617"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Analysis &amp; Reporting: baseline and final evaluation reports</w:t>
            </w:r>
          </w:p>
        </w:tc>
        <w:tc>
          <w:tcPr>
            <w:tcW w:w="0" w:type="auto"/>
            <w:vMerge/>
            <w:tcBorders>
              <w:top w:val="nil"/>
              <w:left w:val="single" w:sz="4" w:space="0" w:color="auto"/>
              <w:bottom w:val="single" w:sz="4" w:space="0" w:color="000000"/>
              <w:right w:val="single" w:sz="4" w:space="0" w:color="auto"/>
            </w:tcBorders>
            <w:vAlign w:val="center"/>
            <w:hideMark/>
          </w:tcPr>
          <w:p w14:paraId="57D9998E" w14:textId="77777777" w:rsidR="00842724" w:rsidRPr="00842724" w:rsidRDefault="00842724" w:rsidP="00B91F87">
            <w:pPr>
              <w:jc w:val="center"/>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14:paraId="51E4B753" w14:textId="77777777" w:rsidR="00842724" w:rsidRPr="00842724" w:rsidRDefault="00842724" w:rsidP="00B91F87">
            <w:pPr>
              <w:jc w:val="center"/>
              <w:rPr>
                <w:rFonts w:ascii="Arial" w:eastAsia="Times New Roman" w:hAnsi="Arial" w:cs="Arial"/>
                <w:color w:val="000000"/>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4E59C3B8" w14:textId="77777777" w:rsidR="00842724" w:rsidRPr="00842724" w:rsidRDefault="00842724" w:rsidP="00B91F87">
            <w:pPr>
              <w:jc w:val="center"/>
              <w:rPr>
                <w:rFonts w:ascii="Arial" w:eastAsia="Times New Roman" w:hAnsi="Arial" w:cs="Arial"/>
                <w:sz w:val="16"/>
                <w:szCs w:val="16"/>
              </w:rPr>
            </w:pPr>
            <w:r w:rsidRPr="00842724">
              <w:rPr>
                <w:rFonts w:ascii="Arial" w:eastAsia="Times New Roman" w:hAnsi="Arial" w:cs="Arial"/>
                <w:sz w:val="16"/>
                <w:szCs w:val="16"/>
              </w:rPr>
              <w:t>Variance</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64B63824" w14:textId="3E3637C8"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D94B62A" w14:textId="4106D07E"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0D1D311E" w14:textId="3D794DA3"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000000" w:fill="F2F2F2"/>
            <w:vAlign w:val="center"/>
            <w:hideMark/>
          </w:tcPr>
          <w:p w14:paraId="33F206CB" w14:textId="71A43436" w:rsidR="00842724" w:rsidRPr="00842724" w:rsidRDefault="00842724" w:rsidP="00B91F87">
            <w:pPr>
              <w:jc w:val="center"/>
              <w:rPr>
                <w:rFonts w:ascii="Arial" w:eastAsia="Times New Roman" w:hAnsi="Arial" w:cs="Arial"/>
                <w:b/>
                <w:bCs/>
                <w:sz w:val="16"/>
                <w:szCs w:val="16"/>
              </w:rPr>
            </w:pPr>
          </w:p>
        </w:tc>
        <w:tc>
          <w:tcPr>
            <w:tcW w:w="0" w:type="auto"/>
            <w:tcBorders>
              <w:top w:val="nil"/>
              <w:left w:val="nil"/>
              <w:bottom w:val="single" w:sz="4" w:space="0" w:color="auto"/>
              <w:right w:val="single" w:sz="4" w:space="0" w:color="auto"/>
            </w:tcBorders>
            <w:shd w:val="clear" w:color="auto" w:fill="auto"/>
            <w:vAlign w:val="center"/>
            <w:hideMark/>
          </w:tcPr>
          <w:p w14:paraId="66FB6ABE" w14:textId="4373FF31" w:rsidR="00842724" w:rsidRPr="00842724" w:rsidRDefault="00842724" w:rsidP="00B91F87">
            <w:pPr>
              <w:jc w:val="center"/>
              <w:rPr>
                <w:rFonts w:ascii="Arial" w:eastAsia="Times New Roman" w:hAnsi="Arial" w:cs="Arial"/>
                <w:b/>
                <w:bCs/>
                <w:sz w:val="16"/>
                <w:szCs w:val="16"/>
              </w:rPr>
            </w:pPr>
          </w:p>
        </w:tc>
        <w:tc>
          <w:tcPr>
            <w:tcW w:w="654" w:type="dxa"/>
            <w:tcBorders>
              <w:top w:val="nil"/>
              <w:left w:val="nil"/>
              <w:bottom w:val="single" w:sz="4" w:space="0" w:color="auto"/>
              <w:right w:val="single" w:sz="4" w:space="0" w:color="auto"/>
            </w:tcBorders>
            <w:shd w:val="clear" w:color="000000" w:fill="F2F2F2"/>
            <w:vAlign w:val="center"/>
            <w:hideMark/>
          </w:tcPr>
          <w:p w14:paraId="563AE26C" w14:textId="5411D324" w:rsidR="00842724" w:rsidRPr="00842724" w:rsidRDefault="00842724" w:rsidP="00B91F87">
            <w:pPr>
              <w:jc w:val="center"/>
              <w:rPr>
                <w:rFonts w:ascii="Arial" w:eastAsia="Times New Roman" w:hAnsi="Arial" w:cs="Arial"/>
                <w:b/>
                <w:bCs/>
                <w:sz w:val="16"/>
                <w:szCs w:val="16"/>
              </w:rPr>
            </w:pPr>
          </w:p>
        </w:tc>
      </w:tr>
    </w:tbl>
    <w:p w14:paraId="180CDC1E" w14:textId="108700F1" w:rsidR="000128B7" w:rsidRDefault="00B91F87" w:rsidP="0003573F">
      <w:pPr>
        <w:rPr>
          <w:rFonts w:asciiTheme="majorBidi" w:hAnsiTheme="majorBidi" w:cstheme="majorBidi"/>
        </w:rPr>
        <w:sectPr w:rsidR="000128B7" w:rsidSect="001149C4">
          <w:headerReference w:type="default" r:id="rId14"/>
          <w:pgSz w:w="15840" w:h="12240" w:orient="landscape" w:code="1"/>
          <w:pgMar w:top="720" w:right="720" w:bottom="720" w:left="720" w:header="720" w:footer="720" w:gutter="0"/>
          <w:cols w:space="720"/>
          <w:docGrid w:linePitch="360"/>
        </w:sectPr>
      </w:pPr>
      <w:r>
        <w:rPr>
          <w:rFonts w:asciiTheme="majorBidi" w:hAnsiTheme="majorBidi" w:cstheme="majorBidi"/>
        </w:rPr>
        <w:br w:type="textWrapping" w:clear="all"/>
      </w:r>
    </w:p>
    <w:p w14:paraId="3D4A6755" w14:textId="2D22990E" w:rsidR="000128B7" w:rsidRDefault="000128B7" w:rsidP="000128B7">
      <w:pPr>
        <w:pStyle w:val="Heading1"/>
        <w:ind w:left="0" w:firstLine="0"/>
      </w:pPr>
      <w:bookmarkStart w:id="124" w:name="_Toc453621899"/>
      <w:r>
        <w:t>Annex B Performance Indicator Reference Sheet</w:t>
      </w:r>
      <w:bookmarkEnd w:id="124"/>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1EB2A1A4"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12BE042B"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1D185E0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5EFD703" w14:textId="77777777" w:rsidR="000128B7" w:rsidRPr="00105005" w:rsidRDefault="000128B7" w:rsidP="000128B7">
            <w:pPr>
              <w:rPr>
                <w:i/>
                <w:iCs/>
                <w:sz w:val="20"/>
                <w:szCs w:val="20"/>
              </w:rPr>
            </w:pPr>
            <w:r w:rsidRPr="00105005">
              <w:rPr>
                <w:b/>
                <w:sz w:val="20"/>
                <w:szCs w:val="20"/>
              </w:rPr>
              <w:t>Name of Indicator (</w:t>
            </w:r>
            <w:r w:rsidRPr="00105005">
              <w:rPr>
                <w:b/>
                <w:bCs/>
                <w:sz w:val="20"/>
                <w:szCs w:val="20"/>
              </w:rPr>
              <w:t>CC1):</w:t>
            </w:r>
            <w:r w:rsidRPr="00105005">
              <w:rPr>
                <w:sz w:val="20"/>
                <w:szCs w:val="20"/>
              </w:rPr>
              <w:t xml:space="preserve"> Number of people trained </w:t>
            </w:r>
          </w:p>
        </w:tc>
      </w:tr>
      <w:tr w:rsidR="000128B7" w:rsidRPr="00105005" w14:paraId="06FC432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ADC7834"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X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r w:rsidRPr="00105005">
              <w:rPr>
                <w:rFonts w:ascii="Times New Roman" w:hAnsi="Times New Roman" w:cs="Times New Roman"/>
                <w:sz w:val="20"/>
                <w:szCs w:val="20"/>
              </w:rPr>
              <w:t xml:space="preserve"> </w:t>
            </w:r>
          </w:p>
        </w:tc>
      </w:tr>
      <w:tr w:rsidR="000128B7" w:rsidRPr="00105005" w14:paraId="0CE2DD4C"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6A9D87C"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07997A1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65074B0"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This indicator will track the number of people who have attended a half-day or more </w:t>
            </w:r>
            <w:r w:rsidRPr="00105005">
              <w:rPr>
                <w:rFonts w:ascii="Times New Roman" w:hAnsi="Times New Roman" w:cs="Times New Roman"/>
                <w:bCs/>
                <w:sz w:val="20"/>
                <w:szCs w:val="20"/>
              </w:rPr>
              <w:t>PRG-PA</w:t>
            </w:r>
            <w:r w:rsidRPr="00105005">
              <w:rPr>
                <w:rFonts w:ascii="Times New Roman" w:hAnsi="Times New Roman" w:cs="Times New Roman"/>
                <w:sz w:val="20"/>
                <w:szCs w:val="20"/>
              </w:rPr>
              <w:t>-sponsored</w:t>
            </w:r>
            <w:r w:rsidRPr="00105005">
              <w:rPr>
                <w:rFonts w:ascii="Times New Roman" w:hAnsi="Times New Roman" w:cs="Times New Roman"/>
                <w:sz w:val="20"/>
                <w:szCs w:val="20"/>
                <w:vertAlign w:val="superscript"/>
              </w:rPr>
              <w:footnoteReference w:id="1"/>
            </w:r>
            <w:r w:rsidRPr="00105005">
              <w:rPr>
                <w:rFonts w:ascii="Times New Roman" w:hAnsi="Times New Roman" w:cs="Times New Roman"/>
                <w:sz w:val="20"/>
                <w:szCs w:val="20"/>
              </w:rPr>
              <w:t xml:space="preserve"> training implemented by any partner or grantee. Training is defined as a session with clear training/learning objectives that is intended to transfer knowledge about a specific topic. Trainings can be conducted on any topic (e.g. gender mainstreaming, financial management, community mobilization, advocacy, etc.)  and should have a clear outline or curriculum led by an identified trainer. Trainings include, but are not limited to, seminars (lecture with questions and answers), workshops, webinars, study tours, vocational training, on-the-job training/internships, etc. that have clear learning objectives. Trainees should not be double counted within the same fiscal year.</w:t>
            </w:r>
          </w:p>
        </w:tc>
      </w:tr>
      <w:tr w:rsidR="000128B7" w:rsidRPr="00105005" w14:paraId="35EF53A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5EDFC2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trainees</w:t>
            </w:r>
          </w:p>
        </w:tc>
      </w:tr>
      <w:tr w:rsidR="000128B7" w:rsidRPr="00105005" w14:paraId="1A6F40D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9695F06" w14:textId="77777777" w:rsidR="000128B7" w:rsidRPr="00105005" w:rsidRDefault="000128B7" w:rsidP="000128B7">
            <w:pPr>
              <w:rPr>
                <w:rFonts w:eastAsia="Times New Roman"/>
                <w:sz w:val="20"/>
                <w:szCs w:val="20"/>
              </w:rPr>
            </w:pPr>
            <w:r w:rsidRPr="00105005">
              <w:rPr>
                <w:b/>
                <w:sz w:val="20"/>
                <w:szCs w:val="20"/>
              </w:rPr>
              <w:t xml:space="preserve">Disaggregated by:  </w:t>
            </w:r>
            <w:r w:rsidRPr="00105005">
              <w:rPr>
                <w:sz w:val="20"/>
                <w:szCs w:val="20"/>
              </w:rPr>
              <w:t>Sex; Youth: binary; Sector; Third-level administrative division; Training topic/subject; Training format</w:t>
            </w:r>
          </w:p>
        </w:tc>
      </w:tr>
      <w:tr w:rsidR="000128B7" w:rsidRPr="00105005" w14:paraId="576BDDF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9178C3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PRG-PA will conduct trainings with CSO personnel, journalists, and public sector actors.</w:t>
            </w:r>
          </w:p>
        </w:tc>
      </w:tr>
      <w:tr w:rsidR="000128B7" w:rsidRPr="00105005" w14:paraId="1408A315"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02F5CD1"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0363DF4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A65185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Counterpart will use KM Portal to track the number of people trained. Quarterly KM data quality check will be conducted to verify numbers on the KM Portal through reviewing program records, including sign-in sheets, training curriculum, event agendas, invitation letters, and activity reports.</w:t>
            </w:r>
          </w:p>
        </w:tc>
      </w:tr>
      <w:tr w:rsidR="000128B7" w:rsidRPr="00105005" w14:paraId="13C71A6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978A10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Counterpart</w:t>
            </w:r>
          </w:p>
        </w:tc>
      </w:tr>
      <w:tr w:rsidR="000128B7" w:rsidRPr="00105005" w14:paraId="3E0A71B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84DDC5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256F222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1B91BE0"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13E2162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37E6B2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2B40E92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378C59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708A760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43D58F4"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2BBFA3F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ADF189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74102F5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202E4C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4A0D35E3"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2BF3FBBC"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Potential double counting of trainees</w:t>
            </w:r>
          </w:p>
        </w:tc>
      </w:tr>
      <w:tr w:rsidR="000128B7" w:rsidRPr="00105005" w14:paraId="5D4B3F4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7D91017"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bCs/>
                <w:sz w:val="20"/>
                <w:szCs w:val="20"/>
              </w:rPr>
              <w:t>Provide all of the partners/grantees with standard attendance sheets that require the same sign-in information for all training events.</w:t>
            </w:r>
          </w:p>
        </w:tc>
      </w:tr>
      <w:tr w:rsidR="000128B7" w:rsidRPr="00105005" w14:paraId="25A90ED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AC6BF6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73947A6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AAE15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1760F46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228EEE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189DE01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D8CAB8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3C438BE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BA9CDA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18E52E5D"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065C2AD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7A69DF2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B30639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71378DF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AA32E6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7E9C4728"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7B4E1C3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0/440</w:t>
            </w:r>
          </w:p>
        </w:tc>
      </w:tr>
      <w:tr w:rsidR="000128B7" w:rsidRPr="00105005" w14:paraId="0696EF6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C62D51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None at this time</w:t>
            </w:r>
          </w:p>
        </w:tc>
      </w:tr>
      <w:tr w:rsidR="000128B7" w:rsidRPr="00105005" w14:paraId="7B4014F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76A7CBC"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6/4/2016</w:t>
            </w:r>
          </w:p>
        </w:tc>
      </w:tr>
    </w:tbl>
    <w:p w14:paraId="6471D578"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60C5D5FD"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7E175932"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7AFC219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0AF2A72" w14:textId="77777777" w:rsidR="000128B7" w:rsidRPr="00105005" w:rsidRDefault="000128B7" w:rsidP="000128B7">
            <w:pPr>
              <w:rPr>
                <w:i/>
                <w:iCs/>
                <w:sz w:val="20"/>
                <w:szCs w:val="20"/>
              </w:rPr>
            </w:pPr>
            <w:r w:rsidRPr="00105005">
              <w:rPr>
                <w:b/>
                <w:sz w:val="20"/>
                <w:szCs w:val="20"/>
              </w:rPr>
              <w:t>Name of Indicator (</w:t>
            </w:r>
            <w:r w:rsidRPr="00105005">
              <w:rPr>
                <w:b/>
                <w:bCs/>
                <w:sz w:val="20"/>
                <w:szCs w:val="20"/>
              </w:rPr>
              <w:t>CC2):</w:t>
            </w:r>
            <w:r w:rsidRPr="00105005">
              <w:rPr>
                <w:sz w:val="20"/>
                <w:szCs w:val="20"/>
              </w:rPr>
              <w:t xml:space="preserve"> Number of CSOs/Social Organizations/Government Agencies/Media Outlets assisted</w:t>
            </w:r>
          </w:p>
        </w:tc>
      </w:tr>
      <w:tr w:rsidR="000128B7" w:rsidRPr="00105005" w14:paraId="1336C2D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5A19751"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X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r w:rsidRPr="00105005">
              <w:rPr>
                <w:rFonts w:ascii="Times New Roman" w:hAnsi="Times New Roman" w:cs="Times New Roman"/>
                <w:sz w:val="20"/>
                <w:szCs w:val="20"/>
              </w:rPr>
              <w:t xml:space="preserve"> </w:t>
            </w:r>
          </w:p>
        </w:tc>
      </w:tr>
      <w:tr w:rsidR="000128B7" w:rsidRPr="00105005" w14:paraId="65A04188"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6DD5F5D"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260ABAB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FFEFAF0"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Civil society organizations (CSOs) and social organizations are non-governmental organizations that manifest the interest and will of citizens/communities/environments/etc. Governmental agencies are state-controlled organizations who act independently to carry out the policies of the Government of Niger. Media outlets in this indicator include privately-owned, community, or independent public service news outlets. Types of platforms include: television, radio, print, or Internet media outlets that produce news and public affairs related contents. For the entity to be counted under this indicator, it (or an individual representing it) must have received PRG-PA technical or financial support</w:t>
            </w:r>
            <w:r w:rsidRPr="00105005">
              <w:rPr>
                <w:rFonts w:ascii="Times New Roman" w:hAnsi="Times New Roman" w:cs="Times New Roman"/>
                <w:sz w:val="20"/>
                <w:szCs w:val="20"/>
                <w:vertAlign w:val="superscript"/>
              </w:rPr>
              <w:footnoteReference w:id="2"/>
            </w:r>
            <w:r w:rsidRPr="00105005">
              <w:rPr>
                <w:rFonts w:ascii="Times New Roman" w:hAnsi="Times New Roman" w:cs="Times New Roman"/>
                <w:sz w:val="20"/>
                <w:szCs w:val="20"/>
              </w:rPr>
              <w:t>. This includes, but is not limited to: training; technical assistance; events; grants; exchange/study tour; etc. This indicator will be disaggregated by new versus continuing for the LoP:</w:t>
            </w:r>
          </w:p>
          <w:p w14:paraId="03ED9EAF" w14:textId="77777777" w:rsidR="000128B7" w:rsidRPr="00105005" w:rsidRDefault="000128B7" w:rsidP="0017151D">
            <w:pPr>
              <w:pStyle w:val="TableText"/>
              <w:numPr>
                <w:ilvl w:val="0"/>
                <w:numId w:val="20"/>
              </w:numPr>
              <w:rPr>
                <w:rFonts w:ascii="Times New Roman" w:hAnsi="Times New Roman" w:cs="Times New Roman"/>
                <w:sz w:val="20"/>
                <w:szCs w:val="20"/>
              </w:rPr>
            </w:pPr>
            <w:r w:rsidRPr="00105005">
              <w:rPr>
                <w:rFonts w:ascii="Times New Roman" w:hAnsi="Times New Roman" w:cs="Times New Roman"/>
                <w:sz w:val="20"/>
                <w:szCs w:val="20"/>
              </w:rPr>
              <w:t>New = this reporting quarter is the first time that a CSO/social organization/government agency has received assistance</w:t>
            </w:r>
          </w:p>
          <w:p w14:paraId="4DED5CB7" w14:textId="77777777" w:rsidR="000128B7" w:rsidRPr="00105005" w:rsidRDefault="000128B7" w:rsidP="0017151D">
            <w:pPr>
              <w:pStyle w:val="TableText"/>
              <w:numPr>
                <w:ilvl w:val="0"/>
                <w:numId w:val="20"/>
              </w:numPr>
              <w:rPr>
                <w:rFonts w:ascii="Times New Roman" w:hAnsi="Times New Roman" w:cs="Times New Roman"/>
                <w:sz w:val="20"/>
                <w:szCs w:val="20"/>
              </w:rPr>
            </w:pPr>
            <w:r w:rsidRPr="00105005">
              <w:rPr>
                <w:rFonts w:ascii="Times New Roman" w:hAnsi="Times New Roman" w:cs="Times New Roman"/>
                <w:sz w:val="20"/>
                <w:szCs w:val="20"/>
              </w:rPr>
              <w:t>Continuing = this CSO/social organization/government agency has received assistance in previous program quarters</w:t>
            </w:r>
          </w:p>
        </w:tc>
      </w:tr>
      <w:tr w:rsidR="000128B7" w:rsidRPr="00105005" w14:paraId="7DDD6D0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4A9B6F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CSOs/Social Organizations/Government Agencies/Media Outlets</w:t>
            </w:r>
          </w:p>
        </w:tc>
      </w:tr>
      <w:tr w:rsidR="000128B7" w:rsidRPr="00105005" w14:paraId="066D1AF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2ABDDEA" w14:textId="77777777" w:rsidR="000128B7" w:rsidRPr="00105005" w:rsidRDefault="000128B7" w:rsidP="000128B7">
            <w:pPr>
              <w:rPr>
                <w:rFonts w:eastAsia="Times New Roman"/>
                <w:sz w:val="20"/>
                <w:szCs w:val="20"/>
              </w:rPr>
            </w:pPr>
            <w:r w:rsidRPr="00105005">
              <w:rPr>
                <w:b/>
                <w:sz w:val="20"/>
                <w:szCs w:val="20"/>
              </w:rPr>
              <w:t xml:space="preserve">Disaggregated by: </w:t>
            </w:r>
            <w:r w:rsidRPr="00105005">
              <w:rPr>
                <w:sz w:val="20"/>
                <w:szCs w:val="20"/>
              </w:rPr>
              <w:t>Sector; Third-level administrative division; New/Continuing; Leader sex</w:t>
            </w:r>
          </w:p>
        </w:tc>
      </w:tr>
      <w:tr w:rsidR="000128B7" w:rsidRPr="00105005" w14:paraId="696F238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2B0887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tracks the level at which the program is able to provide CSOs/social organizations/government agencies with assistance.</w:t>
            </w:r>
          </w:p>
        </w:tc>
      </w:tr>
      <w:tr w:rsidR="000128B7" w:rsidRPr="00105005" w14:paraId="7660A359"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7B3C385"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4371354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4678BF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 xml:space="preserve">Counterpart will use KM Portal to track the number of organizations assisted. Quarterly data quality check will be conducted to verify numbers on the KM Portal through reviewing program records, including sign-in sheets, training curriculum, event agendas, invitation letters, and activity reports. Direct observation will be carried out during follow-up visits to assisted organizations to ensure data quality in terms of quality of assistance. </w:t>
            </w:r>
          </w:p>
        </w:tc>
      </w:tr>
      <w:tr w:rsidR="000128B7" w:rsidRPr="00105005" w14:paraId="2DFE26A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916E28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Counterpart</w:t>
            </w:r>
          </w:p>
        </w:tc>
      </w:tr>
      <w:tr w:rsidR="000128B7" w:rsidRPr="00105005" w14:paraId="49731AB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A1E5A1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26E2A47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FD5C490"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481C7B1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FCC9FD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5C7275F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7AB94A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557AD2D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E24D136"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27327AB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3F77438"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56E2990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6996C7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22CA79BC"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4E1550D2"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sz w:val="20"/>
                <w:szCs w:val="20"/>
              </w:rPr>
              <w:t>None</w:t>
            </w:r>
          </w:p>
        </w:tc>
      </w:tr>
      <w:tr w:rsidR="000128B7" w:rsidRPr="00105005" w14:paraId="1D71415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CACD4EC"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0992B3E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CE49E1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3AFEDE1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C0B5D1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28E6157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E9C2FE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5391624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D3708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2A5B089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B75341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3C038377"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0165DE0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77A4F24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DD74CA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4D49650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DF00DAD"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22337CFD"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13B502A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0/20</w:t>
            </w:r>
          </w:p>
        </w:tc>
      </w:tr>
      <w:tr w:rsidR="000128B7" w:rsidRPr="00105005" w14:paraId="6209DE0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C4EB1D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None at this time</w:t>
            </w:r>
          </w:p>
        </w:tc>
      </w:tr>
      <w:tr w:rsidR="000128B7" w:rsidRPr="00105005" w14:paraId="5D54497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F976040"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6/4/2016</w:t>
            </w:r>
          </w:p>
        </w:tc>
      </w:tr>
    </w:tbl>
    <w:p w14:paraId="05927E39"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21B9D45F"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60010215"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4BDB42D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114F3D6" w14:textId="77777777" w:rsidR="000128B7" w:rsidRPr="00105005" w:rsidRDefault="000128B7" w:rsidP="000128B7">
            <w:pPr>
              <w:rPr>
                <w:i/>
                <w:iCs/>
                <w:sz w:val="20"/>
                <w:szCs w:val="20"/>
              </w:rPr>
            </w:pPr>
            <w:r w:rsidRPr="00105005">
              <w:rPr>
                <w:b/>
                <w:sz w:val="20"/>
                <w:szCs w:val="20"/>
              </w:rPr>
              <w:t>Name of Indicator (</w:t>
            </w:r>
            <w:r w:rsidRPr="00105005">
              <w:rPr>
                <w:b/>
                <w:bCs/>
                <w:sz w:val="20"/>
                <w:szCs w:val="20"/>
              </w:rPr>
              <w:t>CC3):</w:t>
            </w:r>
            <w:r w:rsidRPr="00105005">
              <w:rPr>
                <w:sz w:val="20"/>
                <w:szCs w:val="20"/>
              </w:rPr>
              <w:t xml:space="preserve"> Number of civil society organizations (CSOs) receiving USG assistance engaged in advocacy interventions </w:t>
            </w:r>
          </w:p>
        </w:tc>
      </w:tr>
      <w:tr w:rsidR="000128B7" w:rsidRPr="00105005" w14:paraId="5922072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5A013BD"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_X (2.4.1-9)</w:t>
            </w:r>
            <w:r w:rsidRPr="00105005">
              <w:rPr>
                <w:rFonts w:ascii="Times New Roman" w:hAnsi="Times New Roman" w:cs="Times New Roman"/>
                <w:sz w:val="20"/>
                <w:szCs w:val="20"/>
              </w:rPr>
              <w:t xml:space="preserve"> </w:t>
            </w:r>
          </w:p>
        </w:tc>
      </w:tr>
      <w:tr w:rsidR="000128B7" w:rsidRPr="00105005" w14:paraId="73191C69"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9789C8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0577138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563EBA5"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CSOs receiving technical or financial support from PRG-PA that initiate or participate in advocacy interventions. Advocacy should be understood as a means for individuals, constituencies, or organizations to shape public agendas, change public policies, and influence other processes that impact their lives. Advocacy does not involve one march, meeting or poster, but a series of strategic, interconnected, integrated activities designed to achieve a goal. It may include a wide range of activities, such as lobbying, public interest litigation, letter writing campaigns, civil disobedience, etc. Advocacy interventions tend to: </w:t>
            </w:r>
          </w:p>
          <w:p w14:paraId="0553EA64"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Be strategic (a deliberate, planned action, not random); </w:t>
            </w:r>
          </w:p>
          <w:p w14:paraId="7F53C2CF"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Involve a set of actions that are sustained in order to build and direct pressure; </w:t>
            </w:r>
          </w:p>
          <w:p w14:paraId="4B658027"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Be designed to persuade; </w:t>
            </w:r>
          </w:p>
          <w:p w14:paraId="0FF222E0"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Be targeted; </w:t>
            </w:r>
          </w:p>
          <w:p w14:paraId="5730A285"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Involve alliance building. </w:t>
            </w:r>
          </w:p>
          <w:p w14:paraId="7FD7BC87"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Successful advocacy efforts result in change. </w:t>
            </w:r>
          </w:p>
          <w:p w14:paraId="12687CAF"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PRG-PA will support CSOs’ advocacy efforts in teacher deployment in the education sector and human resource distribution in the health sector.</w:t>
            </w:r>
          </w:p>
          <w:p w14:paraId="4D83FFF1"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All CSOs engaged in any quarter should be counted once for that quarter. Some CSOs can be counted multiple times during the LOP. For example, a CSO with a campaign spanning more than one quarter will be counted for each of the quarters during which the campaign is on-going. This indicator is disaggregated by new versus continuing to reflect the timeframe in which a CSO is engaged:</w:t>
            </w:r>
          </w:p>
          <w:p w14:paraId="5BFEAD7F" w14:textId="77777777" w:rsidR="000128B7" w:rsidRPr="00105005" w:rsidRDefault="000128B7" w:rsidP="0017151D">
            <w:pPr>
              <w:pStyle w:val="TableText"/>
              <w:numPr>
                <w:ilvl w:val="0"/>
                <w:numId w:val="20"/>
              </w:numPr>
              <w:rPr>
                <w:rFonts w:ascii="Times New Roman" w:hAnsi="Times New Roman" w:cs="Times New Roman"/>
                <w:sz w:val="20"/>
                <w:szCs w:val="20"/>
              </w:rPr>
            </w:pPr>
            <w:r w:rsidRPr="00105005">
              <w:rPr>
                <w:rFonts w:ascii="Times New Roman" w:hAnsi="Times New Roman" w:cs="Times New Roman"/>
                <w:sz w:val="20"/>
                <w:szCs w:val="20"/>
              </w:rPr>
              <w:t>New = this reporting quarter is the first time that a CSO/social organization/government agency has received assistance</w:t>
            </w:r>
          </w:p>
          <w:p w14:paraId="5452BF05" w14:textId="77777777" w:rsidR="000128B7" w:rsidRPr="00105005" w:rsidRDefault="000128B7" w:rsidP="0017151D">
            <w:pPr>
              <w:pStyle w:val="TableText"/>
              <w:numPr>
                <w:ilvl w:val="0"/>
                <w:numId w:val="20"/>
              </w:numPr>
              <w:rPr>
                <w:rFonts w:ascii="Times New Roman" w:hAnsi="Times New Roman" w:cs="Times New Roman"/>
                <w:sz w:val="20"/>
                <w:szCs w:val="20"/>
              </w:rPr>
            </w:pPr>
            <w:r w:rsidRPr="00105005">
              <w:rPr>
                <w:rFonts w:ascii="Times New Roman" w:hAnsi="Times New Roman" w:cs="Times New Roman"/>
                <w:sz w:val="20"/>
                <w:szCs w:val="20"/>
              </w:rPr>
              <w:t>Continuing = this CSO/social organization/government agency has received assistance in previous program quarters</w:t>
            </w:r>
          </w:p>
        </w:tc>
      </w:tr>
      <w:tr w:rsidR="000128B7" w:rsidRPr="00105005" w14:paraId="24051D6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434434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CSOs</w:t>
            </w:r>
          </w:p>
        </w:tc>
      </w:tr>
      <w:tr w:rsidR="000128B7" w:rsidRPr="00105005" w14:paraId="04C0C36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346F8B9"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New/Continuing; Leader sex; Advocacy topic</w:t>
            </w:r>
          </w:p>
        </w:tc>
      </w:tr>
      <w:tr w:rsidR="000128B7" w:rsidRPr="00105005" w14:paraId="2E57C4E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214F2F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Advocacy interventions are essential aspects of democratic policy making, citizen participation, and oversight of all branches of government. These interventions play an important role in determining social justice, political and civil liberties, and in giving voice to citizens and historically marginalized groups. At its best, advocacy expresses the power of an individual, constituency, or organization to shape public agendas and change public policies. As part of a broader civil society strategy, </w:t>
            </w:r>
            <w:r w:rsidRPr="00105005">
              <w:rPr>
                <w:rFonts w:ascii="Times New Roman" w:hAnsi="Times New Roman" w:cs="Times New Roman"/>
                <w:noProof/>
                <w:sz w:val="20"/>
                <w:szCs w:val="20"/>
              </w:rPr>
              <w:t>advocacy-oriented</w:t>
            </w:r>
            <w:r w:rsidRPr="00105005">
              <w:rPr>
                <w:rFonts w:ascii="Times New Roman" w:hAnsi="Times New Roman" w:cs="Times New Roman"/>
                <w:sz w:val="20"/>
                <w:szCs w:val="20"/>
              </w:rPr>
              <w:t xml:space="preserve"> action goes beyond specific objectives (e.g., raising the minimum wage) to providing the means to mobilize society, ideas, and resources in an effort to bring about democratic change and/or its consolidation. It is a critical means for citizens to express their needs and concerns to government. </w:t>
            </w:r>
          </w:p>
          <w:p w14:paraId="28BB23C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sz w:val="20"/>
                <w:szCs w:val="20"/>
              </w:rPr>
              <w:t xml:space="preserve">PRG-PA managers will use the data for program planning. This indicator sheds light on the extent to which PRG-PA is working with civil society to assist them in having a voice in public decision-making and other political processes. This would be relevant for the USAID Forward reforms which include a component on strengthening civil society capacity to advance aid effectiveness. </w:t>
            </w:r>
          </w:p>
        </w:tc>
      </w:tr>
      <w:tr w:rsidR="000128B7" w:rsidRPr="00105005" w14:paraId="55DEE37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828F228"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7CB2000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2CA0F1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 xml:space="preserve">Counterpart will use KM Portal to track information of CSOs assisted. Partners/grantees will submit advocacy plans or strategies, implementation plans, recording of </w:t>
            </w:r>
            <w:r w:rsidRPr="00105005">
              <w:rPr>
                <w:rFonts w:ascii="Times New Roman" w:hAnsi="Times New Roman" w:cs="Times New Roman"/>
                <w:noProof/>
                <w:sz w:val="20"/>
                <w:szCs w:val="20"/>
              </w:rPr>
              <w:t>press</w:t>
            </w:r>
            <w:r w:rsidRPr="00105005">
              <w:rPr>
                <w:rFonts w:ascii="Times New Roman" w:hAnsi="Times New Roman" w:cs="Times New Roman"/>
                <w:sz w:val="20"/>
                <w:szCs w:val="20"/>
              </w:rPr>
              <w:t xml:space="preserve"> conference, </w:t>
            </w:r>
            <w:r w:rsidRPr="00105005">
              <w:rPr>
                <w:rFonts w:ascii="Times New Roman" w:hAnsi="Times New Roman" w:cs="Times New Roman"/>
                <w:noProof/>
                <w:sz w:val="20"/>
                <w:szCs w:val="20"/>
              </w:rPr>
              <w:t>copy</w:t>
            </w:r>
            <w:r w:rsidRPr="00105005">
              <w:rPr>
                <w:rFonts w:ascii="Times New Roman" w:hAnsi="Times New Roman" w:cs="Times New Roman"/>
                <w:sz w:val="20"/>
                <w:szCs w:val="20"/>
              </w:rPr>
              <w:t xml:space="preserve"> of testimony or press release, advocacy campaign materials, etc. to support the claim of engagement in advocacy intervention. Counterpart will verify and aggregate data in quarterly reports.</w:t>
            </w:r>
          </w:p>
        </w:tc>
      </w:tr>
      <w:tr w:rsidR="000128B7" w:rsidRPr="00105005" w14:paraId="33C560A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3B722F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 xml:space="preserve">PRG-PA partners/grantees </w:t>
            </w:r>
          </w:p>
        </w:tc>
      </w:tr>
      <w:tr w:rsidR="000128B7" w:rsidRPr="00105005" w14:paraId="745CA49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618E6D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593F711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1231092"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26816A2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1E2D7E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0A96B05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DD1F45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162D834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D53CBBB" w14:textId="77777777" w:rsidR="000128B7"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p w14:paraId="51F74561" w14:textId="3BC70691" w:rsidR="003E583A" w:rsidRPr="00105005" w:rsidRDefault="003E583A" w:rsidP="000128B7">
            <w:pPr>
              <w:rPr>
                <w:sz w:val="20"/>
                <w:szCs w:val="20"/>
              </w:rPr>
            </w:pPr>
          </w:p>
        </w:tc>
      </w:tr>
      <w:tr w:rsidR="000128B7" w:rsidRPr="00105005" w14:paraId="3EF96C6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B127AAF"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332EE6E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1BFB92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1C6C148F"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295E2988"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11A0DA6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5D76BB"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5AF39D7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2E7354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43F7968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EEBB7D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4FF16E7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C55BAF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3DC5C1A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C28A16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05C46F9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A291E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377DDBF8"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5BFA96F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4728D0B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26C7DF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18A1D93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3DB8C4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6BF8F2DE"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1417B14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0/20</w:t>
            </w:r>
          </w:p>
        </w:tc>
      </w:tr>
      <w:tr w:rsidR="000128B7" w:rsidRPr="00105005" w14:paraId="74575F6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88A151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None at this time</w:t>
            </w:r>
          </w:p>
        </w:tc>
      </w:tr>
      <w:tr w:rsidR="000128B7" w:rsidRPr="00105005" w14:paraId="0AE31A2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6F4DD85"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456EEDAF"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01C169B8"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4BA13029"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734B93C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4015CA1" w14:textId="77777777" w:rsidR="000128B7" w:rsidRPr="00105005" w:rsidRDefault="000128B7" w:rsidP="000128B7">
            <w:pPr>
              <w:rPr>
                <w:i/>
                <w:iCs/>
                <w:sz w:val="20"/>
                <w:szCs w:val="20"/>
              </w:rPr>
            </w:pPr>
            <w:r w:rsidRPr="00105005">
              <w:rPr>
                <w:b/>
                <w:sz w:val="20"/>
                <w:szCs w:val="20"/>
              </w:rPr>
              <w:t>Name of Indicator (</w:t>
            </w:r>
            <w:r w:rsidRPr="00105005">
              <w:rPr>
                <w:b/>
                <w:bCs/>
                <w:sz w:val="20"/>
                <w:szCs w:val="20"/>
              </w:rPr>
              <w:t>CC4):</w:t>
            </w:r>
            <w:r w:rsidRPr="00105005">
              <w:rPr>
                <w:sz w:val="20"/>
                <w:szCs w:val="20"/>
              </w:rPr>
              <w:t xml:space="preserve"> Number of consensus building forums (multi-party, civil/security sector, and/or civil/political) held with USG assistance</w:t>
            </w:r>
          </w:p>
        </w:tc>
      </w:tr>
      <w:tr w:rsidR="000128B7" w:rsidRPr="00105005" w14:paraId="7FAA54B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5725EC4"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_X (2.3.1-7)</w:t>
            </w:r>
            <w:r w:rsidRPr="00105005">
              <w:rPr>
                <w:rFonts w:ascii="Times New Roman" w:hAnsi="Times New Roman" w:cs="Times New Roman"/>
                <w:sz w:val="20"/>
                <w:szCs w:val="20"/>
              </w:rPr>
              <w:t xml:space="preserve"> </w:t>
            </w:r>
          </w:p>
        </w:tc>
      </w:tr>
      <w:tr w:rsidR="000128B7" w:rsidRPr="00105005" w14:paraId="0904369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4804C8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42D53AC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1AF72D6"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Multi-party, civil/military, civil /political forums are events, seminars, meetings, and conferences that bring together groups in an effort to generate greater understanding, consensus, and common interests around citizen priorities, key concerns and public agenda. Civil in this sense means “public” and indicates a meeting, town hall, forum, etc. in which the public can communicate directly with representatives of parties (or government) or the security sector (military, police). For purposes of this indicator, a series of regularly recurring meetings/events that are part of the same process are counted as one event: e.g. a series of municipal government hearings to get feedback on a three-year development plan should be counted as one event. For the forum to be counted under this indicator, it must have been conducted by entities that receive PRG-PA technical or financial support</w:t>
            </w:r>
            <w:r w:rsidRPr="00105005">
              <w:rPr>
                <w:rFonts w:ascii="Times New Roman" w:hAnsi="Times New Roman" w:cs="Times New Roman"/>
                <w:sz w:val="20"/>
                <w:szCs w:val="20"/>
                <w:vertAlign w:val="superscript"/>
              </w:rPr>
              <w:footnoteReference w:id="3"/>
            </w:r>
            <w:r w:rsidRPr="00105005">
              <w:rPr>
                <w:rFonts w:ascii="Times New Roman" w:hAnsi="Times New Roman" w:cs="Times New Roman"/>
                <w:sz w:val="20"/>
                <w:szCs w:val="20"/>
              </w:rPr>
              <w:t>.</w:t>
            </w:r>
          </w:p>
        </w:tc>
      </w:tr>
      <w:tr w:rsidR="000128B7" w:rsidRPr="00105005" w14:paraId="5C36C20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93BF51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forums</w:t>
            </w:r>
          </w:p>
        </w:tc>
      </w:tr>
      <w:tr w:rsidR="000128B7" w:rsidRPr="00105005" w14:paraId="7491EEA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BBD9F38"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Primary topic/subject; Third-level administrative division</w:t>
            </w:r>
          </w:p>
        </w:tc>
      </w:tr>
      <w:tr w:rsidR="000128B7" w:rsidRPr="00105005" w14:paraId="0E7802D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7E39B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Increased communication between groups enhance understanding and increase the possibility that consensus building processes will result in an agreement, such as agreed citizen priorities, key concerns, and public agenda. It contributes to peaceful agreement on democratic reform, rules, and frameworks. This data indicates level of effort. If there is a perceived need for consensus-building forums and this is a low number, then PRG-PA management might increase the number of consensus building forums the activity produces.</w:t>
            </w:r>
          </w:p>
        </w:tc>
      </w:tr>
      <w:tr w:rsidR="000128B7" w:rsidRPr="00105005" w14:paraId="3877CCD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D12774F"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0611C70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F953D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Partners/grantees will enter consensus building information into KM Portal with supporting documentation, including activity plans, sign-in sheets, recording of press conference, copy of testimony or press release etc. Counterpart will conduct quarterly data quality check on KM Portal through reviewing supporting documents and on-site observation.</w:t>
            </w:r>
          </w:p>
        </w:tc>
      </w:tr>
      <w:tr w:rsidR="000128B7" w:rsidRPr="00105005" w14:paraId="02A7331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30E322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Partners/grantees</w:t>
            </w:r>
          </w:p>
        </w:tc>
      </w:tr>
      <w:tr w:rsidR="000128B7" w:rsidRPr="00105005" w14:paraId="5662494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35F343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3B23159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3A1A427"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4F04C91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C009FF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50ABCBF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5A2C6A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7BD39AA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9BC674B"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7C919A6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FE12D3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09BC016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8DE785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6C0817C1"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0C8F2EEE"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26FB7CD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D844944"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4943775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8EFF98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704319E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C464EA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03F8563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946961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24F7E96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90FFA0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7275304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5C144B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55E7782D"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14CB4A2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3C4D629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BFA4C4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740F289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FCCEF8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4DCCB34D"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0494715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0/260</w:t>
            </w:r>
          </w:p>
        </w:tc>
      </w:tr>
      <w:tr w:rsidR="000128B7" w:rsidRPr="00105005" w14:paraId="57DDF99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107809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None at this time</w:t>
            </w:r>
          </w:p>
        </w:tc>
      </w:tr>
      <w:tr w:rsidR="000128B7" w:rsidRPr="00105005" w14:paraId="6FF3FCA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9BD585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7E3102F6"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21452D58"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394B854A"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11F139D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5E94B0D" w14:textId="77777777" w:rsidR="000128B7" w:rsidRPr="00105005" w:rsidRDefault="000128B7" w:rsidP="000128B7">
            <w:pPr>
              <w:rPr>
                <w:i/>
                <w:iCs/>
                <w:sz w:val="20"/>
                <w:szCs w:val="20"/>
              </w:rPr>
            </w:pPr>
            <w:r w:rsidRPr="00105005">
              <w:rPr>
                <w:b/>
                <w:sz w:val="20"/>
                <w:szCs w:val="20"/>
              </w:rPr>
              <w:t>Name of Indicator (</w:t>
            </w:r>
            <w:r w:rsidRPr="00105005">
              <w:rPr>
                <w:b/>
                <w:bCs/>
                <w:sz w:val="20"/>
                <w:szCs w:val="20"/>
              </w:rPr>
              <w:t>CC5):</w:t>
            </w:r>
            <w:r w:rsidRPr="00105005">
              <w:rPr>
                <w:sz w:val="20"/>
                <w:szCs w:val="20"/>
              </w:rPr>
              <w:t xml:space="preserve"> Number of event participants in consensus building forums (multi-party, civil/security sector, and/or civil/political) held with USG assistance</w:t>
            </w:r>
          </w:p>
        </w:tc>
      </w:tr>
      <w:tr w:rsidR="000128B7" w:rsidRPr="00105005" w14:paraId="080E713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E45D522"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7F59E98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D1AFC9D"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70104BB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75FC4DE"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This is a complementary indicator to CC4, number of consensus building forums (multi-party, civil/security sector, and/or civil/political) held with USG assistance. Multi-party, civil/military, civil /political forums are events, seminars, meetings, and conferences that bring together groups in tension in an effort to generate greater understanding and consensus. Civil in this sense means “public” and indicates a meeting, town hall, forum, etc. in which the public can communicate directly with representatives of parties (or government) or the security sector (military, police). For purposes of this indicator, a series of regularly recurring meetings/events that are part of the same process are counted as one event: e.g. a series of municipal government hearings to get feedback on a three-year development plan should be counted as one event. For the forum to be counted under this indicator, it must have been conducted by entities that receive PRG-PA technical or financial support</w:t>
            </w:r>
            <w:r w:rsidRPr="00105005">
              <w:rPr>
                <w:rFonts w:ascii="Times New Roman" w:hAnsi="Times New Roman" w:cs="Times New Roman"/>
                <w:sz w:val="20"/>
                <w:szCs w:val="20"/>
                <w:vertAlign w:val="superscript"/>
              </w:rPr>
              <w:footnoteReference w:id="4"/>
            </w:r>
            <w:r w:rsidRPr="00105005">
              <w:rPr>
                <w:rFonts w:ascii="Times New Roman" w:hAnsi="Times New Roman" w:cs="Times New Roman"/>
                <w:sz w:val="20"/>
                <w:szCs w:val="20"/>
              </w:rPr>
              <w:t>. This indicator counts the number of individuals who participated in consensus building forums. Participants should not be double counted within the same fiscal year.</w:t>
            </w:r>
          </w:p>
        </w:tc>
      </w:tr>
      <w:tr w:rsidR="000128B7" w:rsidRPr="00105005" w14:paraId="170D5FD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C36A2B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individuals</w:t>
            </w:r>
          </w:p>
        </w:tc>
      </w:tr>
      <w:tr w:rsidR="000128B7" w:rsidRPr="00105005" w14:paraId="206C3A8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7234DCA"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Sex; Youth: binary; Sector; Third-level administrative division; Primary topic/subject</w:t>
            </w:r>
          </w:p>
        </w:tc>
      </w:tr>
      <w:tr w:rsidR="000128B7" w:rsidRPr="00105005" w14:paraId="1218F86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30E993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Increased communication between groups in tension will enhance understanding and increase the possibility that consensus building processes will result in an agreement, such as agreed citizen priorities, key concerns, and public agenda. It contributes to peaceful agreement on democratic reform, rules, and frameworks. This data complements CC4 to indicate the reach of consensus building forums, providing more in-depth information to PRG-PA management for program planning. </w:t>
            </w:r>
          </w:p>
        </w:tc>
      </w:tr>
      <w:tr w:rsidR="000128B7" w:rsidRPr="00105005" w14:paraId="7100A36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2FF2378"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2732BF8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08AC84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Partners/grantees will enter consensus building information into KM Portal with supporting documentation, including activity plans, sign-in sheets, recording of press conference, copy of testimony or press release etc. Counterpart will conduct quarterly data quality check on KM Portal through reviewing supporting documents and on-site observation.</w:t>
            </w:r>
          </w:p>
        </w:tc>
      </w:tr>
      <w:tr w:rsidR="000128B7" w:rsidRPr="00105005" w14:paraId="28D04E7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0EABFE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Partners/grantees</w:t>
            </w:r>
          </w:p>
        </w:tc>
      </w:tr>
      <w:tr w:rsidR="000128B7" w:rsidRPr="00105005" w14:paraId="312935E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A60083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6BF4125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50495D0"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1102E43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D6FB1C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12A676A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6F93D0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50E9FDA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723BBD8"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1AB5C1B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BB49B47"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795B6E0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9D4876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619AB93B"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43990D29"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10B8E14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7C0F663"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09A1C69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FA7F65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4B82BCB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E4B582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66FCE59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18DC649"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4D25EEF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F01A50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631C48E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34C59C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5573696D"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4F24E50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70C2311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7A06EA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58EC08D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4E24E8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290243D7"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721BA12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0/855</w:t>
            </w:r>
          </w:p>
        </w:tc>
      </w:tr>
      <w:tr w:rsidR="000128B7" w:rsidRPr="00105005" w14:paraId="0237CCE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6F14D8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None at this time</w:t>
            </w:r>
          </w:p>
        </w:tc>
      </w:tr>
      <w:tr w:rsidR="000128B7" w:rsidRPr="00105005" w14:paraId="433CAE1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1BD38E6"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09F08839"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732B2BC7"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6BA6A595"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34A370B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A3B6BCD" w14:textId="77777777" w:rsidR="000128B7" w:rsidRPr="00105005" w:rsidRDefault="000128B7" w:rsidP="000128B7">
            <w:pPr>
              <w:rPr>
                <w:i/>
                <w:iCs/>
                <w:sz w:val="20"/>
                <w:szCs w:val="20"/>
              </w:rPr>
            </w:pPr>
            <w:r w:rsidRPr="00105005">
              <w:rPr>
                <w:b/>
                <w:sz w:val="20"/>
                <w:szCs w:val="20"/>
              </w:rPr>
              <w:t>Name of Indicator (</w:t>
            </w:r>
            <w:r w:rsidRPr="00105005">
              <w:rPr>
                <w:b/>
                <w:bCs/>
                <w:sz w:val="20"/>
                <w:szCs w:val="20"/>
              </w:rPr>
              <w:t>CC6):</w:t>
            </w:r>
            <w:r w:rsidRPr="00105005">
              <w:rPr>
                <w:sz w:val="20"/>
                <w:szCs w:val="20"/>
              </w:rPr>
              <w:t xml:space="preserve"> Number of broadcasts through new and traditional media in the course of CSO led public outreach campaigns</w:t>
            </w:r>
          </w:p>
        </w:tc>
      </w:tr>
      <w:tr w:rsidR="000128B7" w:rsidRPr="00105005" w14:paraId="7D4D458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D27DCC4"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7957260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872709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5356D1E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F59CE94"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bCs/>
                <w:sz w:val="20"/>
                <w:szCs w:val="20"/>
              </w:rPr>
              <w:t>Broadcasted public outreach campaigns that are led by CSOs and conducted with PRG-PA assistance will be counted towards this indicator. Public outreach campaigns are intended to provide information to populations that may have not otherwise had access to this information through new or traditional media (e.g., newspapers, radio, billboards, posters, online advertisements, Facebook, Twitter, Instagram, etc.). For each specific broadcasting message, the indicator will track the number of times it is published by the media type.</w:t>
            </w:r>
          </w:p>
        </w:tc>
      </w:tr>
      <w:tr w:rsidR="000128B7" w:rsidRPr="00105005" w14:paraId="116073A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4BFE92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broadcasts</w:t>
            </w:r>
          </w:p>
        </w:tc>
      </w:tr>
      <w:tr w:rsidR="000128B7" w:rsidRPr="00105005" w14:paraId="1C4559A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C40C7FF"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Broadcast type; Messaging topic</w:t>
            </w:r>
          </w:p>
        </w:tc>
      </w:tr>
      <w:tr w:rsidR="000128B7" w:rsidRPr="00105005" w14:paraId="083E844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B8E2C1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The indicator is intended to help PRG-PA track the number broadcasts that have been made public intended to increase awareness around a given topic</w:t>
            </w:r>
          </w:p>
        </w:tc>
      </w:tr>
      <w:tr w:rsidR="000128B7" w:rsidRPr="00105005" w14:paraId="19EDE27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165D01D"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7D5C137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614F732"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Partners/grantees will enter broadcast information into KM Portal with supporting documentation, including activity reports, broadcast frequency matrix, copy of articles with release dates etc. Counterpart will conduct quarterly data quality check on KM Portal through reviewing supporting documents and on-site observation.</w:t>
            </w:r>
          </w:p>
        </w:tc>
      </w:tr>
      <w:tr w:rsidR="000128B7" w:rsidRPr="00105005" w14:paraId="058CB10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0631E4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Partners/grantees</w:t>
            </w:r>
          </w:p>
        </w:tc>
      </w:tr>
      <w:tr w:rsidR="000128B7" w:rsidRPr="00105005" w14:paraId="248A45B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16F43D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47433FC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7A1DA5E"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60BBE0F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F2553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53574A6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2B34B2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35A7B90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6CDF11D"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5A12868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E714289"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54DFA9B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3C0573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43AEEB7E"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237E69D6"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478AD2F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88D15D2"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560C5BB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3CCE22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61AE2A5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3265C4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684E943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19B27B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5B5D6CE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998861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5AF52EB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A27FBD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530EB173"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0B0ED50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0C43439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5BA6F0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13929A59"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B854AC8"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5308ABBF"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7A380AF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0/800</w:t>
            </w:r>
          </w:p>
        </w:tc>
      </w:tr>
      <w:tr w:rsidR="000128B7" w:rsidRPr="00105005" w14:paraId="4FD3279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EB1A35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None at this time</w:t>
            </w:r>
          </w:p>
        </w:tc>
      </w:tr>
      <w:tr w:rsidR="000128B7" w:rsidRPr="00105005" w14:paraId="767EE2B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2A31C3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7CCD6EA8"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5CFDFCB7"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701B28ED"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7DA0E4F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6D4D29F" w14:textId="77777777" w:rsidR="000128B7" w:rsidRPr="00105005" w:rsidRDefault="000128B7" w:rsidP="000128B7">
            <w:pPr>
              <w:rPr>
                <w:i/>
                <w:iCs/>
                <w:sz w:val="20"/>
                <w:szCs w:val="20"/>
              </w:rPr>
            </w:pPr>
            <w:r w:rsidRPr="00105005">
              <w:rPr>
                <w:b/>
                <w:sz w:val="20"/>
                <w:szCs w:val="20"/>
              </w:rPr>
              <w:t>Name of Indicator (</w:t>
            </w:r>
            <w:r w:rsidRPr="00105005">
              <w:rPr>
                <w:b/>
                <w:bCs/>
                <w:sz w:val="20"/>
                <w:szCs w:val="20"/>
              </w:rPr>
              <w:t>CC7):</w:t>
            </w:r>
            <w:r w:rsidRPr="00105005">
              <w:rPr>
                <w:sz w:val="20"/>
                <w:szCs w:val="20"/>
              </w:rPr>
              <w:t xml:space="preserve"> Number of mechanisms for external oversight of public resource use supported by USG assistance</w:t>
            </w:r>
          </w:p>
        </w:tc>
      </w:tr>
      <w:tr w:rsidR="000128B7" w:rsidRPr="00105005" w14:paraId="4B6CA81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07BE0D2"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2072587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2793EF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642C473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DB78313"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bCs/>
                <w:sz w:val="20"/>
                <w:szCs w:val="20"/>
              </w:rPr>
              <w:t xml:space="preserve">Mechanisms for external oversight include but not limited to: citizen oversight committees, external audits or procedures for external review of government audits; procurement review boards; public expenditure tracking surveys; public accounts committees of legislatures; freedom of information and similar transparency laws, civil society review mechanisms for budget implementation and/or procurements; financial disclosure mechanisms for officials or parties/candidates. To be counted towards this indicator, the mechanism must have been developed or implemented by entities that </w:t>
            </w:r>
            <w:r w:rsidRPr="00105005">
              <w:rPr>
                <w:rFonts w:ascii="Times New Roman" w:hAnsi="Times New Roman" w:cs="Times New Roman"/>
                <w:sz w:val="20"/>
                <w:szCs w:val="20"/>
              </w:rPr>
              <w:t>receive PRG-PA technical or financial support</w:t>
            </w:r>
            <w:r w:rsidRPr="00105005">
              <w:rPr>
                <w:rFonts w:ascii="Times New Roman" w:hAnsi="Times New Roman" w:cs="Times New Roman"/>
                <w:sz w:val="20"/>
                <w:szCs w:val="20"/>
                <w:vertAlign w:val="superscript"/>
              </w:rPr>
              <w:footnoteReference w:id="5"/>
            </w:r>
            <w:r w:rsidRPr="00105005">
              <w:rPr>
                <w:rFonts w:ascii="Times New Roman" w:hAnsi="Times New Roman" w:cs="Times New Roman"/>
                <w:sz w:val="20"/>
                <w:szCs w:val="20"/>
              </w:rPr>
              <w:t>.</w:t>
            </w:r>
          </w:p>
        </w:tc>
      </w:tr>
      <w:tr w:rsidR="000128B7" w:rsidRPr="00105005" w14:paraId="4473A8C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1B4141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mechanisms</w:t>
            </w:r>
          </w:p>
        </w:tc>
      </w:tr>
      <w:tr w:rsidR="000128B7" w:rsidRPr="00105005" w14:paraId="3F8B5A4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41E756B"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Type of mechanism; Sub-sector; Benchmark </w:t>
            </w:r>
          </w:p>
        </w:tc>
      </w:tr>
      <w:tr w:rsidR="000128B7" w:rsidRPr="00105005" w14:paraId="4F05168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012DF1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focuses on the essential elements of transparency and external accountability in public goods/service provision programming and refers to PRG-PA assistance aimed at strengthening those mechanisms.</w:t>
            </w:r>
          </w:p>
        </w:tc>
      </w:tr>
      <w:tr w:rsidR="000128B7" w:rsidRPr="00105005" w14:paraId="34D4EFC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13EE49C"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62CB118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7FFFE4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 xml:space="preserve">Oversight mechanism development and implementation matrix will be developed by Counterpart and partners/grantees to track the development and use of different mechanisms. Counterpart will verify data with supporting documents, such as public resource use analysis reports, mechanism procedure guides, copy of testimony or press release. </w:t>
            </w:r>
          </w:p>
        </w:tc>
      </w:tr>
      <w:tr w:rsidR="000128B7" w:rsidRPr="00105005" w14:paraId="3762EF5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36D690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Counterpart</w:t>
            </w:r>
          </w:p>
        </w:tc>
      </w:tr>
      <w:tr w:rsidR="000128B7" w:rsidRPr="00105005" w14:paraId="3F3F23B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98570A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500A63B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449D8AD"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3F5AEAE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99FB7C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139634E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F3231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6BA336A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4773119"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52E3CE3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F74120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2A12E84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86BC93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1EFB4267"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3266709F"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3759967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82F3D90"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18634C7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2EEA60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4101EB3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479D58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645BB619"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1A9A64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3218F98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D65B68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5C2DE67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32922E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Annual Reports and KM Portal</w:t>
            </w:r>
          </w:p>
        </w:tc>
      </w:tr>
      <w:tr w:rsidR="000128B7" w:rsidRPr="00105005" w14:paraId="63651D6A"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67EF538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an annual basis.</w:t>
            </w:r>
          </w:p>
        </w:tc>
      </w:tr>
      <w:tr w:rsidR="000128B7" w:rsidRPr="00105005" w14:paraId="0F44763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926598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Annual Report as part of the PMP Annex.  It will also be described in the annual narrative.</w:t>
            </w:r>
          </w:p>
        </w:tc>
      </w:tr>
      <w:tr w:rsidR="000128B7" w:rsidRPr="00105005" w14:paraId="25A564E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077F957"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2FA9D23C"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551C099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0/11</w:t>
            </w:r>
          </w:p>
        </w:tc>
      </w:tr>
      <w:tr w:rsidR="000128B7" w:rsidRPr="00105005" w14:paraId="2673090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0F3077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Implementation benchmarks of mechanisms will be set according to partners’/grantees’ action plans</w:t>
            </w:r>
          </w:p>
        </w:tc>
      </w:tr>
      <w:tr w:rsidR="000128B7" w:rsidRPr="00105005" w14:paraId="4B83E505"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62DF10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1DF5BDFF"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014ACB43"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7786968E"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035A2C8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D647E9E" w14:textId="77777777" w:rsidR="000128B7" w:rsidRPr="00105005" w:rsidRDefault="000128B7" w:rsidP="000128B7">
            <w:pPr>
              <w:rPr>
                <w:i/>
                <w:iCs/>
                <w:sz w:val="20"/>
                <w:szCs w:val="20"/>
              </w:rPr>
            </w:pPr>
            <w:r w:rsidRPr="00105005">
              <w:rPr>
                <w:b/>
                <w:sz w:val="20"/>
                <w:szCs w:val="20"/>
              </w:rPr>
              <w:t>Name of Indicator (</w:t>
            </w:r>
            <w:r w:rsidRPr="00105005">
              <w:rPr>
                <w:b/>
                <w:bCs/>
                <w:sz w:val="20"/>
                <w:szCs w:val="20"/>
              </w:rPr>
              <w:t>CC8):</w:t>
            </w:r>
            <w:r w:rsidRPr="00105005">
              <w:rPr>
                <w:sz w:val="20"/>
                <w:szCs w:val="20"/>
              </w:rPr>
              <w:t xml:space="preserve"> Number of public policies changed consistent with citizen input</w:t>
            </w:r>
          </w:p>
        </w:tc>
      </w:tr>
      <w:tr w:rsidR="000128B7" w:rsidRPr="00105005" w14:paraId="37CAB4B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569D2DA"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19F1EB71"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682FB5C"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2858F59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0E1FAA1"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bCs/>
                <w:sz w:val="20"/>
                <w:szCs w:val="20"/>
              </w:rPr>
              <w:t xml:space="preserve">Public policy is the means by which a government maintains order or addresses the needs of its citizens through actions defined by its constitution. It refers to a collection of laws, mandates, or regulations established through a political process. The public policy process is a multi-stage cycle, involving problem identification, agenda setting, policy making, budgeting, implementation, and evaluation. Citizens need to be engaged in the stages of problem identification and agenda setting so that government officials can make policy, budgeting, and implementation decisions consistent with citizen input. Specifically, PRG-PA will facilitate citizens’ engagement in the review of existing policy and/or proposal of new policy and consultation with stakeholders on the proposed new or revised policy through consensus building forums. This indicator will track the number of public policies that have gone through different benchmarks of: analysis; stakeholder consultation/public debate; drafting or revision; approval; and full and effective implementation. </w:t>
            </w:r>
          </w:p>
        </w:tc>
      </w:tr>
      <w:tr w:rsidR="000128B7" w:rsidRPr="00105005" w14:paraId="02A6A85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7D35D1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policies</w:t>
            </w:r>
          </w:p>
        </w:tc>
      </w:tr>
      <w:tr w:rsidR="000128B7" w:rsidRPr="00105005" w14:paraId="2A56D7B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E944CE5"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Sub-sector; Benchmark</w:t>
            </w:r>
          </w:p>
        </w:tc>
      </w:tr>
      <w:tr w:rsidR="000128B7" w:rsidRPr="00105005" w14:paraId="5EA8701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09F69B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The indicator measures the number of policies (disaggregated by sub-sector) completing the various processes/steps required to improve public goods/service provision to address citizens’ key concerns and priorities. </w:t>
            </w:r>
          </w:p>
        </w:tc>
      </w:tr>
      <w:tr w:rsidR="000128B7" w:rsidRPr="00105005" w14:paraId="7AE0CDC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EE03867"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20E376B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42A5E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 xml:space="preserve">After the identification of citizen key concerns/priorities through public dialogue, a policy advocacy matrix will be developed by Counterpart and partners/grantees to track the number of policies going through the different stages of public policy process. Public session sign-in sheets, meeting agendas, event photos, activity reports, etc. will be documented to indicate “citizen input.” Counterpart will confirm policies are going through then change process via receipt letters from the government, official repeal of policies, and other types of evidence. </w:t>
            </w:r>
          </w:p>
        </w:tc>
      </w:tr>
      <w:tr w:rsidR="000128B7" w:rsidRPr="00105005" w14:paraId="1E9FF6D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14D541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Counterpart</w:t>
            </w:r>
          </w:p>
        </w:tc>
      </w:tr>
      <w:tr w:rsidR="000128B7" w:rsidRPr="00105005" w14:paraId="733F5DB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CE1D1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Annually</w:t>
            </w:r>
          </w:p>
        </w:tc>
      </w:tr>
      <w:tr w:rsidR="000128B7" w:rsidRPr="00105005" w14:paraId="19065FD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0FB0547"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0BF706E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49890C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61DF2DD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ED1636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4422F99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9EDD576"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55235DC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CCDFB03"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532F48B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8D29F1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45570BAB"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5804A5BC"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150BC46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76767F4"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0FC9AA6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F7A3ED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1F8524D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69A10D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2926FE3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1E3BF19"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590867C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7F47A6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497E02C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2823D7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Annual Reports and KM Portal</w:t>
            </w:r>
          </w:p>
        </w:tc>
      </w:tr>
      <w:tr w:rsidR="000128B7" w:rsidRPr="00105005" w14:paraId="3670A715"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023E989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an annual basis.</w:t>
            </w:r>
          </w:p>
        </w:tc>
      </w:tr>
      <w:tr w:rsidR="000128B7" w:rsidRPr="00105005" w14:paraId="506A3E9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AC69C6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Annual Report as part of the PMP Annex.  It will also be described in the annual narrative.</w:t>
            </w:r>
          </w:p>
        </w:tc>
      </w:tr>
      <w:tr w:rsidR="000128B7" w:rsidRPr="00105005" w14:paraId="048A664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6EFB1F3"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29D109F9"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4C81C78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0/3</w:t>
            </w:r>
          </w:p>
        </w:tc>
      </w:tr>
      <w:tr w:rsidR="000128B7" w:rsidRPr="00105005" w14:paraId="4936A32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3784D3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Public policy benchmarks will be set according to partners’/grantees’ action plans</w:t>
            </w:r>
          </w:p>
        </w:tc>
      </w:tr>
      <w:tr w:rsidR="000128B7" w:rsidRPr="00105005" w14:paraId="7D7C3BD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01CD74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220FF6DB"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4D9E2064"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597DE3EF"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2300753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64D6AA1" w14:textId="77777777" w:rsidR="000128B7" w:rsidRPr="00105005" w:rsidRDefault="000128B7" w:rsidP="000128B7">
            <w:pPr>
              <w:rPr>
                <w:sz w:val="20"/>
                <w:szCs w:val="20"/>
              </w:rPr>
            </w:pPr>
            <w:r w:rsidRPr="00105005">
              <w:rPr>
                <w:b/>
                <w:sz w:val="20"/>
                <w:szCs w:val="20"/>
              </w:rPr>
              <w:t xml:space="preserve">Outcome 1: </w:t>
            </w:r>
            <w:r w:rsidRPr="00105005">
              <w:rPr>
                <w:sz w:val="20"/>
                <w:szCs w:val="20"/>
              </w:rPr>
              <w:t>Elections are more responsive to priority public needs</w:t>
            </w:r>
          </w:p>
        </w:tc>
      </w:tr>
      <w:tr w:rsidR="000128B7" w:rsidRPr="00105005" w14:paraId="278AE33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39D6079" w14:textId="77777777" w:rsidR="000128B7" w:rsidRPr="00105005" w:rsidRDefault="000128B7" w:rsidP="000128B7">
            <w:pPr>
              <w:rPr>
                <w:i/>
                <w:iCs/>
                <w:sz w:val="20"/>
                <w:szCs w:val="20"/>
              </w:rPr>
            </w:pPr>
            <w:r w:rsidRPr="00105005">
              <w:rPr>
                <w:b/>
                <w:sz w:val="20"/>
                <w:szCs w:val="20"/>
              </w:rPr>
              <w:t>Name of Indicator (1.1</w:t>
            </w:r>
            <w:r w:rsidRPr="00105005">
              <w:rPr>
                <w:b/>
                <w:bCs/>
                <w:sz w:val="20"/>
                <w:szCs w:val="20"/>
              </w:rPr>
              <w:t>):</w:t>
            </w:r>
            <w:r w:rsidRPr="00105005">
              <w:rPr>
                <w:sz w:val="20"/>
                <w:szCs w:val="20"/>
              </w:rPr>
              <w:t xml:space="preserve"> Number of public outreach activities conducted</w:t>
            </w:r>
          </w:p>
        </w:tc>
      </w:tr>
      <w:tr w:rsidR="000128B7" w:rsidRPr="00105005" w14:paraId="048FAF3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63B85FB"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56D41DC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741EAA9"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34FA8E7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287209B"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Public outreach activities are activities that aim to identify, raise the awareness about, and advocate for citizens’ key concerns and priorities in the electoral process. The intended audience for these activities are populations in PRG-PA’s target areas, including religious and traditional leaders, community networks, women, youth, and other vulnerable groups, who might not otherwise have access to election-related information or opportunities to express their opinions in the electoral process. Specifically, public outreach activities can include: communication of priorities through public awareness campaigns, media, and other culturally appropriate venues; citizens’ engagement with political party leaders in town hall meetings, public debates, and roundtables. Beyond the public dialogue sessions, the participatory theater performances and local radio productions that will be conducted to reinforce public priorities and reach broader audiences in advance of elections should also be counted towards this indicator. </w:t>
            </w:r>
            <w:r w:rsidRPr="00105005">
              <w:rPr>
                <w:rFonts w:ascii="Times New Roman" w:hAnsi="Times New Roman" w:cs="Times New Roman"/>
                <w:bCs/>
                <w:sz w:val="20"/>
                <w:szCs w:val="20"/>
              </w:rPr>
              <w:t xml:space="preserve">In addition, these activities must have been initiative or conducted by entities that </w:t>
            </w:r>
            <w:r w:rsidRPr="00105005">
              <w:rPr>
                <w:rFonts w:ascii="Times New Roman" w:hAnsi="Times New Roman" w:cs="Times New Roman"/>
                <w:sz w:val="20"/>
                <w:szCs w:val="20"/>
              </w:rPr>
              <w:t>receive PRG-PA technical or financial support</w:t>
            </w:r>
            <w:r w:rsidRPr="00105005">
              <w:rPr>
                <w:rFonts w:ascii="Times New Roman" w:hAnsi="Times New Roman" w:cs="Times New Roman"/>
                <w:sz w:val="20"/>
                <w:szCs w:val="20"/>
                <w:vertAlign w:val="superscript"/>
              </w:rPr>
              <w:footnoteReference w:id="6"/>
            </w:r>
            <w:r w:rsidRPr="00105005">
              <w:rPr>
                <w:rFonts w:ascii="Times New Roman" w:hAnsi="Times New Roman" w:cs="Times New Roman"/>
                <w:sz w:val="20"/>
                <w:szCs w:val="20"/>
              </w:rPr>
              <w:t>.</w:t>
            </w:r>
          </w:p>
        </w:tc>
      </w:tr>
      <w:tr w:rsidR="000128B7" w:rsidRPr="00105005" w14:paraId="7FABFDB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B38088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activities</w:t>
            </w:r>
          </w:p>
        </w:tc>
      </w:tr>
      <w:tr w:rsidR="000128B7" w:rsidRPr="00105005" w14:paraId="6135813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430DA5B"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Outreach topic; Activity type</w:t>
            </w:r>
          </w:p>
        </w:tc>
      </w:tr>
      <w:tr w:rsidR="000128B7" w:rsidRPr="00105005" w14:paraId="02EC5C2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CAA0E1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Public outreach activities will ensure citizens’ equal access to election-related information and that their experiences, assets, and resources inform public policy priorities. This indicator tracks PRG-PA’s progress in conducting public outreach activities prior to and during the electoral process. </w:t>
            </w:r>
          </w:p>
        </w:tc>
      </w:tr>
      <w:tr w:rsidR="000128B7" w:rsidRPr="00105005" w14:paraId="2B05736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0983A68"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29AA96C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B28720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Partners/grantees will enter public outreach information into KM Portal with supporting documentation, including activity plan/agenda, participant list, event photos, recording of radio programs, copy of press release etc. Counterpart will conduct quarterly data quality check on KM Portal through reviewing supporting documents and on-site observation.</w:t>
            </w:r>
          </w:p>
        </w:tc>
      </w:tr>
      <w:tr w:rsidR="000128B7" w:rsidRPr="00105005" w14:paraId="6B7E70A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067719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Partners/grantees</w:t>
            </w:r>
          </w:p>
        </w:tc>
      </w:tr>
      <w:tr w:rsidR="000128B7" w:rsidRPr="00105005" w14:paraId="5D847FC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CB4574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50498CF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F26D86C"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4DBEB06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0B2930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510B17E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782693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60A26BA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19FF5B8"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3F7AB33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20907BD"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217A8C9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3AA28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0988AA2B"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7570F58A"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01CDEAB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AF4F0FC"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4A75A1D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3B10E1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2FF73B1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CF2CD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1971318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AA2FA8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22B4AEE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686F6B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0F02D23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8A7235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3ECBBE88"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7A4832A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5DE439A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959321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009A70E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785BC6D"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6808D53A"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3FE8FB9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0/190</w:t>
            </w:r>
          </w:p>
        </w:tc>
      </w:tr>
      <w:tr w:rsidR="000128B7" w:rsidRPr="00105005" w14:paraId="473E525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5E903A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4E922F6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CE8EB28"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593256E4"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53FE52F6"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7B3C510D"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42A3079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EC18F4B" w14:textId="77777777" w:rsidR="000128B7" w:rsidRPr="00105005" w:rsidRDefault="000128B7" w:rsidP="000128B7">
            <w:pPr>
              <w:rPr>
                <w:sz w:val="20"/>
                <w:szCs w:val="20"/>
              </w:rPr>
            </w:pPr>
            <w:r w:rsidRPr="00105005">
              <w:rPr>
                <w:b/>
                <w:sz w:val="20"/>
                <w:szCs w:val="20"/>
              </w:rPr>
              <w:t xml:space="preserve">Outcome 1: </w:t>
            </w:r>
            <w:r w:rsidRPr="00105005">
              <w:rPr>
                <w:sz w:val="20"/>
                <w:szCs w:val="20"/>
              </w:rPr>
              <w:t>Elections are more responsive to priority public needs</w:t>
            </w:r>
          </w:p>
        </w:tc>
      </w:tr>
      <w:tr w:rsidR="000128B7" w:rsidRPr="00105005" w14:paraId="43A00FC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367E3F0" w14:textId="77777777" w:rsidR="000128B7" w:rsidRPr="00105005" w:rsidRDefault="000128B7" w:rsidP="000128B7">
            <w:pPr>
              <w:rPr>
                <w:i/>
                <w:iCs/>
                <w:sz w:val="20"/>
                <w:szCs w:val="20"/>
              </w:rPr>
            </w:pPr>
            <w:r w:rsidRPr="00105005">
              <w:rPr>
                <w:b/>
                <w:sz w:val="20"/>
                <w:szCs w:val="20"/>
              </w:rPr>
              <w:t>Name of Indicator (1.2</w:t>
            </w:r>
            <w:r w:rsidRPr="00105005">
              <w:rPr>
                <w:b/>
                <w:bCs/>
                <w:sz w:val="20"/>
                <w:szCs w:val="20"/>
              </w:rPr>
              <w:t>):</w:t>
            </w:r>
            <w:r w:rsidRPr="00105005">
              <w:rPr>
                <w:sz w:val="20"/>
                <w:szCs w:val="20"/>
              </w:rPr>
              <w:t xml:space="preserve"> Number of measures (actions, decisions, calls or events) taken by non-political party actors to support the electoral code of conduct</w:t>
            </w:r>
          </w:p>
        </w:tc>
      </w:tr>
      <w:tr w:rsidR="000128B7" w:rsidRPr="00105005" w14:paraId="2382A17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E894756"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0DB7DF0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579D39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755BAD5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F45487"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Niger’s electoral Code of Conduct was updated and signed b on by over 50 political parties before and after the February 2016 presidential elections. The code of conduct provides guidance for political parties to what is and is not considered acceptable behavior during the campaign, polling day and acceptance of results during the local election. The PRG-PP program is working with political parties to garner more signatories to the code of conduct be for the January 2017 local election. To ensure the electoral integrity in the local elections in January 2017, PRG-PA will conduct workshops and multi-stakeholder dialogues, focusing on the principles stated in the Code of Conduct, with election officials, political parties, CSOs, traditional leaders, social entrepreneurs, and cultural leaders. PRG-PA will seek to secure pledges of support from non-party actors after building their support and respect for the Code. PRG-PA will promote dialogue focused on how civil society actors and traditional leaders can act upon those pledges of support, and undertake measures (actions, calls, or events) organized with the aim to promote electoral integrity and mitigate electoral violence. They will identify sustainable mechanisms through which non-party actors can effectively promote electoral integrity and mitigate conflict. This indicator will track the number of measures undertaken by non-party actors to support the Code of Conduct due to PRG-PA’s interventions. </w:t>
            </w:r>
          </w:p>
        </w:tc>
      </w:tr>
      <w:tr w:rsidR="000128B7" w:rsidRPr="00105005" w14:paraId="2E535C8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915A47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measures</w:t>
            </w:r>
          </w:p>
        </w:tc>
      </w:tr>
      <w:tr w:rsidR="000128B7" w:rsidRPr="00105005" w14:paraId="07AB22D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F122F3D"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None</w:t>
            </w:r>
          </w:p>
        </w:tc>
      </w:tr>
      <w:tr w:rsidR="000128B7" w:rsidRPr="00105005" w14:paraId="5B2857D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B641FE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Non-party actors’ actions in supporting the electoral code of conduct will reinforce the pressures on political party actors to adhere to it, ultimately promoting electoral integrity and non-violence.</w:t>
            </w:r>
          </w:p>
        </w:tc>
      </w:tr>
      <w:tr w:rsidR="000128B7" w:rsidRPr="00105005" w14:paraId="005C698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5BF20DC"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2BA2560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448E5B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TBD</w:t>
            </w:r>
          </w:p>
        </w:tc>
      </w:tr>
      <w:tr w:rsidR="000128B7" w:rsidRPr="00105005" w14:paraId="2880E05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DCA649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Partners/grantees</w:t>
            </w:r>
          </w:p>
        </w:tc>
      </w:tr>
      <w:tr w:rsidR="000128B7" w:rsidRPr="00105005" w14:paraId="69357A6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32B8FB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6F238B3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3A6C014"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72132C5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1A1AA6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Specialist in the Field</w:t>
            </w:r>
          </w:p>
        </w:tc>
      </w:tr>
      <w:tr w:rsidR="000128B7" w:rsidRPr="00105005" w14:paraId="0BE8F15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49A3B7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165BE6A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2807D84"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3BF29CF7"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EAD5DC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744C480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57C802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38DC81FB"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2D733C49"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sz w:val="20"/>
                <w:szCs w:val="20"/>
              </w:rPr>
              <w:t>None</w:t>
            </w:r>
          </w:p>
        </w:tc>
      </w:tr>
      <w:tr w:rsidR="000128B7" w:rsidRPr="00105005" w14:paraId="25DC04D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E733C44"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5B881F4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4B2D45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1E949D6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0260B8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1F510E2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668033D"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40F765D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399DE7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15CCE51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E0A222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446DC731"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707E9D8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2DC1099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27F6E8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3B2BE4A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198BA3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3D49A66C"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1DF0E33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0/5</w:t>
            </w:r>
          </w:p>
        </w:tc>
      </w:tr>
      <w:tr w:rsidR="000128B7" w:rsidRPr="00105005" w14:paraId="1C59055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D82573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5D01676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E2DC593"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19E7B8F3"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7B557968"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69AF0B68"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69D05B1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91F88D0" w14:textId="77777777" w:rsidR="000128B7" w:rsidRPr="00105005" w:rsidRDefault="000128B7" w:rsidP="000128B7">
            <w:pPr>
              <w:rPr>
                <w:sz w:val="20"/>
                <w:szCs w:val="20"/>
              </w:rPr>
            </w:pPr>
            <w:r w:rsidRPr="00105005">
              <w:rPr>
                <w:b/>
                <w:sz w:val="20"/>
                <w:szCs w:val="20"/>
              </w:rPr>
              <w:t xml:space="preserve">Outcome 1: </w:t>
            </w:r>
            <w:r w:rsidRPr="00105005">
              <w:rPr>
                <w:sz w:val="20"/>
                <w:szCs w:val="20"/>
              </w:rPr>
              <w:t>Elections are more responsive to priority public needs</w:t>
            </w:r>
          </w:p>
        </w:tc>
      </w:tr>
      <w:tr w:rsidR="000128B7" w:rsidRPr="00105005" w14:paraId="52FB906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4479A4" w14:textId="77777777" w:rsidR="000128B7" w:rsidRPr="00105005" w:rsidRDefault="000128B7" w:rsidP="000128B7">
            <w:pPr>
              <w:rPr>
                <w:i/>
                <w:iCs/>
                <w:sz w:val="20"/>
                <w:szCs w:val="20"/>
              </w:rPr>
            </w:pPr>
            <w:r w:rsidRPr="00105005">
              <w:rPr>
                <w:b/>
                <w:sz w:val="20"/>
                <w:szCs w:val="20"/>
              </w:rPr>
              <w:t>Name of Indicator (1.3</w:t>
            </w:r>
            <w:r w:rsidRPr="00105005">
              <w:rPr>
                <w:b/>
                <w:bCs/>
                <w:sz w:val="20"/>
                <w:szCs w:val="20"/>
              </w:rPr>
              <w:t>):</w:t>
            </w:r>
            <w:r w:rsidRPr="00105005">
              <w:rPr>
                <w:sz w:val="20"/>
                <w:szCs w:val="20"/>
              </w:rPr>
              <w:t xml:space="preserve"> Number of measures (actions, decisions, calls or events) taken by non-political party actors targeted by the project to mitigate electoral violence</w:t>
            </w:r>
          </w:p>
        </w:tc>
      </w:tr>
      <w:tr w:rsidR="000128B7" w:rsidRPr="00105005" w14:paraId="1697AAA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7E06537"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781991D1"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379861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6818B68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7FBF5FE"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Niger’s electoral Code of Conduct was updated and signed on by over 50 political parties before and after the February 2016 presidential elections. The code of conduct provides guidance for political parties to what is and is not considered acceptable behavior during the campaign, polling day and acceptance of results during the local election. The PRG-PP program is working with political parties to garner more signatories to the code of conduct be for the January 2017 local election. To ensure the electoral integrity in the local elections in January 2017, PRG-PA will conduct workshops and multi-stakeholder dialogues, focusing on the principles stated in the Code of Conduct, with election officials, political parties, CSOs, traditional leaders, social entrepreneurs, and cultural leaders. PRG-PA will seek to secure pledges of support from non-party actors after building their support and respect for the Code. PRG-PA will promote dialogue focused on how civil society actors and traditional leaders can act upon those pledges of support, and undertake measures to promote electoral integrity and mitigate electoral violence. They will identify sustainable mechanisms through which non-party actors can effectively promote electoral integrity and mitigate conflict. This indicator will track the number of measures undertaken by non-party actors to mitigate electoral violence.</w:t>
            </w:r>
          </w:p>
        </w:tc>
      </w:tr>
      <w:tr w:rsidR="000128B7" w:rsidRPr="00105005" w14:paraId="0D86306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71EA3F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measures</w:t>
            </w:r>
          </w:p>
        </w:tc>
      </w:tr>
      <w:tr w:rsidR="000128B7" w:rsidRPr="00105005" w14:paraId="2056575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FFB8CD2"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None</w:t>
            </w:r>
          </w:p>
        </w:tc>
      </w:tr>
      <w:tr w:rsidR="000128B7" w:rsidRPr="00105005" w14:paraId="5476818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B61729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Non-party actors’ actions in mitigating electoral violence will reinforce the pressures on political party actors to adhere to the Code of Conduct, ultimately promoting electoral integrity and non-violence.</w:t>
            </w:r>
          </w:p>
        </w:tc>
      </w:tr>
      <w:tr w:rsidR="000128B7" w:rsidRPr="00105005" w14:paraId="60BA43C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153A3A8"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53D8715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4C77B7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 xml:space="preserve">Follow-up phone calls, online conferences with, and visits to targeted non-political party actors. </w:t>
            </w:r>
          </w:p>
        </w:tc>
      </w:tr>
      <w:tr w:rsidR="000128B7" w:rsidRPr="00105005" w14:paraId="264800E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18068F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Partners/grantees</w:t>
            </w:r>
          </w:p>
        </w:tc>
      </w:tr>
      <w:tr w:rsidR="000128B7" w:rsidRPr="00105005" w14:paraId="448A8F3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357A61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6F91BFB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2A56EA1"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1001CFD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5740C1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232FBAB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090198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6F01739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19D4B1"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2C62D69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5BBB030"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0D41943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CE23D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34C0C9DB"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27DF18A2"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sz w:val="20"/>
                <w:szCs w:val="20"/>
              </w:rPr>
              <w:t>None</w:t>
            </w:r>
          </w:p>
        </w:tc>
      </w:tr>
      <w:tr w:rsidR="000128B7" w:rsidRPr="00105005" w14:paraId="77D2767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30CA994"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2F2DDB4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018B6E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4D2D36B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D428D2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4C19568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A99748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61F6D78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3189AC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6F44BED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5B72CF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6D407F9D"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3B5955E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064DC00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E6C92E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3DDDC7B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FCD9BC5"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5337F372"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004431D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0/20</w:t>
            </w:r>
          </w:p>
        </w:tc>
      </w:tr>
      <w:tr w:rsidR="000128B7" w:rsidRPr="00105005" w14:paraId="582442E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483321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4ED0F28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227E035"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40F4CB09"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3817C247"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0A1DE646"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41E3561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284F623" w14:textId="77777777" w:rsidR="000128B7" w:rsidRPr="00105005" w:rsidRDefault="000128B7" w:rsidP="000128B7">
            <w:pPr>
              <w:rPr>
                <w:sz w:val="20"/>
                <w:szCs w:val="20"/>
              </w:rPr>
            </w:pPr>
            <w:r w:rsidRPr="00105005">
              <w:rPr>
                <w:b/>
                <w:sz w:val="20"/>
                <w:szCs w:val="20"/>
              </w:rPr>
              <w:t xml:space="preserve">Outcome 1: </w:t>
            </w:r>
            <w:r w:rsidRPr="00105005">
              <w:rPr>
                <w:sz w:val="20"/>
                <w:szCs w:val="20"/>
              </w:rPr>
              <w:t>Elections are more responsive to priority public needs</w:t>
            </w:r>
          </w:p>
        </w:tc>
      </w:tr>
      <w:tr w:rsidR="000128B7" w:rsidRPr="00105005" w14:paraId="34CC74B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96B4F42" w14:textId="77777777" w:rsidR="000128B7" w:rsidRPr="00105005" w:rsidRDefault="000128B7" w:rsidP="000128B7">
            <w:pPr>
              <w:rPr>
                <w:i/>
                <w:iCs/>
                <w:sz w:val="20"/>
                <w:szCs w:val="20"/>
              </w:rPr>
            </w:pPr>
            <w:r w:rsidRPr="00105005">
              <w:rPr>
                <w:b/>
                <w:sz w:val="20"/>
                <w:szCs w:val="20"/>
              </w:rPr>
              <w:t>Name of Indicator (1.4</w:t>
            </w:r>
            <w:r w:rsidRPr="00105005">
              <w:rPr>
                <w:b/>
                <w:bCs/>
                <w:sz w:val="20"/>
                <w:szCs w:val="20"/>
              </w:rPr>
              <w:t>):</w:t>
            </w:r>
            <w:r w:rsidRPr="00105005">
              <w:rPr>
                <w:sz w:val="20"/>
                <w:szCs w:val="20"/>
              </w:rPr>
              <w:t xml:space="preserve"> Percent of citizens who report increased multi-stakeholder engagement demanding more responsiveness of political actors to citizen priorities</w:t>
            </w:r>
          </w:p>
        </w:tc>
      </w:tr>
      <w:tr w:rsidR="000128B7" w:rsidRPr="00105005" w14:paraId="60DFF04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2A64CE0"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6FEC3F8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A12023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183FE4D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54D79A0" w14:textId="60711F22"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Multi-stakeholders refer to CSO, CBO, and other local organizations that operate in the civic engagement field.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percentage of citizens perceive increase in multi-stakeholder engagement demanding more responsiveness of political actors to citizen public priorities?   </w:t>
            </w:r>
          </w:p>
        </w:tc>
      </w:tr>
      <w:tr w:rsidR="000128B7" w:rsidRPr="00105005" w14:paraId="78E2912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3ACD4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7A5BB69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6E6ABDB"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73D091F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B799ED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increase or decrease regarding citizens’ perception of multi-stakeholder engagement within the period PRG-PA operated in the area. </w:t>
            </w:r>
          </w:p>
        </w:tc>
      </w:tr>
      <w:tr w:rsidR="000128B7" w:rsidRPr="00105005" w14:paraId="0A22507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37CE9CE"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1EA305F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769E4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6F9F52F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F28144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7DEA82E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E3FBAB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028B640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8ACA6E5"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25A5AAC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88A1DC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7A6B3F3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F9536F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54C25D1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F64B00A"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5CF8D11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F7A96D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0E0AB45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07AB1F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166CED7B"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4BB626E1"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25FE7070" w14:textId="77777777" w:rsidR="000128B7" w:rsidRPr="00105005" w:rsidRDefault="000128B7" w:rsidP="0017151D">
            <w:pPr>
              <w:pStyle w:val="TableText"/>
              <w:numPr>
                <w:ilvl w:val="0"/>
                <w:numId w:val="21"/>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2D2C4557" w14:textId="77777777" w:rsidR="000128B7" w:rsidRPr="00105005" w:rsidRDefault="000128B7" w:rsidP="0017151D">
            <w:pPr>
              <w:pStyle w:val="TableText"/>
              <w:numPr>
                <w:ilvl w:val="0"/>
                <w:numId w:val="21"/>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 xml:space="preserve">Citizens’ perception of multi-stakeholder engagement is influenced by many factors, including those that are outside of PRG-PA’s intervention. An increase in citizens’ perception of multi-stakeholder engagement cannot be directly attributed to our activities. </w:t>
            </w:r>
          </w:p>
        </w:tc>
      </w:tr>
      <w:tr w:rsidR="000128B7" w:rsidRPr="00105005" w14:paraId="5473808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BDF371C"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6D522C8C" w14:textId="77777777" w:rsidR="000128B7" w:rsidRPr="00105005" w:rsidRDefault="000128B7" w:rsidP="0017151D">
            <w:pPr>
              <w:pStyle w:val="TableText"/>
              <w:numPr>
                <w:ilvl w:val="0"/>
                <w:numId w:val="22"/>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assessment and final evaluation</w:t>
            </w:r>
          </w:p>
          <w:p w14:paraId="0483EEF9" w14:textId="77777777" w:rsidR="000128B7" w:rsidRPr="00105005" w:rsidRDefault="000128B7" w:rsidP="0017151D">
            <w:pPr>
              <w:pStyle w:val="TableText"/>
              <w:numPr>
                <w:ilvl w:val="0"/>
                <w:numId w:val="22"/>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720A22E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E168C1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6D56EC3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9E9E73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4C0BE845"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AB1A4CC"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7D99343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FDA87D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1B74106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75135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baseline assessment and final evaluation reports</w:t>
            </w:r>
          </w:p>
        </w:tc>
      </w:tr>
      <w:tr w:rsidR="000128B7" w:rsidRPr="00105005" w14:paraId="7A2BE021"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4EA7105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09AE86B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042471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383A38D1"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771EA67"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6FF4CF5D"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2CA2787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TBD/50%</w:t>
            </w:r>
          </w:p>
        </w:tc>
      </w:tr>
      <w:tr w:rsidR="000128B7" w:rsidRPr="00105005" w14:paraId="03D90B3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C403F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71BB487C"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88F6FA8"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38D8AFB0"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76B645A7"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6BD8C97A"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5C51AA6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99B0D15" w14:textId="77777777" w:rsidR="000128B7" w:rsidRPr="00105005" w:rsidRDefault="000128B7" w:rsidP="000128B7">
            <w:pPr>
              <w:rPr>
                <w:sz w:val="20"/>
                <w:szCs w:val="20"/>
              </w:rPr>
            </w:pPr>
            <w:r w:rsidRPr="00105005">
              <w:rPr>
                <w:b/>
                <w:sz w:val="20"/>
                <w:szCs w:val="20"/>
              </w:rPr>
              <w:t xml:space="preserve">Outcome 1: </w:t>
            </w:r>
            <w:r w:rsidRPr="00105005">
              <w:rPr>
                <w:sz w:val="20"/>
                <w:szCs w:val="20"/>
              </w:rPr>
              <w:t>Elections are more responsive to priority public needs</w:t>
            </w:r>
          </w:p>
        </w:tc>
      </w:tr>
      <w:tr w:rsidR="000128B7" w:rsidRPr="00105005" w14:paraId="250137A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4023D94" w14:textId="77777777" w:rsidR="000128B7" w:rsidRPr="00105005" w:rsidRDefault="000128B7" w:rsidP="000128B7">
            <w:pPr>
              <w:rPr>
                <w:i/>
                <w:iCs/>
                <w:sz w:val="20"/>
                <w:szCs w:val="20"/>
              </w:rPr>
            </w:pPr>
            <w:r w:rsidRPr="00105005">
              <w:rPr>
                <w:b/>
                <w:sz w:val="20"/>
                <w:szCs w:val="20"/>
              </w:rPr>
              <w:t>Name of Indicator (1.5</w:t>
            </w:r>
            <w:r w:rsidRPr="00105005">
              <w:rPr>
                <w:b/>
                <w:bCs/>
                <w:sz w:val="20"/>
                <w:szCs w:val="20"/>
              </w:rPr>
              <w:t>):</w:t>
            </w:r>
            <w:r w:rsidRPr="00105005">
              <w:rPr>
                <w:sz w:val="20"/>
                <w:szCs w:val="20"/>
              </w:rPr>
              <w:t xml:space="preserve"> Percent of citizens who report increased opportunity to positively influence social platforms</w:t>
            </w:r>
          </w:p>
        </w:tc>
      </w:tr>
      <w:tr w:rsidR="000128B7" w:rsidRPr="00105005" w14:paraId="0D26074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AC0AFD3"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28CA6EE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6F2B9B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369445E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0E59B4" w14:textId="4BCAF0C9"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social platform refers to media, political parties, associations, etc.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 is expected to answer the following question: What percentage of citizens perceive/report that there is increase in opportunities to positively influence social platforms?  </w:t>
            </w:r>
          </w:p>
        </w:tc>
      </w:tr>
      <w:tr w:rsidR="000128B7" w:rsidRPr="00105005" w14:paraId="51CF5EC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14A7DF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3C7819E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B739717"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7EBA067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87B1B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increase or decrease regarding citizens’ perception of to influence social platforms within the period PRG-PA operated in the area.</w:t>
            </w:r>
          </w:p>
        </w:tc>
      </w:tr>
      <w:tr w:rsidR="000128B7" w:rsidRPr="00105005" w14:paraId="703C8447"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1979BB0"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3D4F0AD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CAB93B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100263C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C5F531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28A5B92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6BBAB4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7E17560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8BCCD27"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532818A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04BB33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4301D93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445C0C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069FCE6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8F769BA"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5F082DB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BBD0F7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2A81187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7CE904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281723BA"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35940A3C"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0B596F73" w14:textId="77777777" w:rsidR="000128B7" w:rsidRPr="00105005" w:rsidRDefault="000128B7" w:rsidP="0017151D">
            <w:pPr>
              <w:pStyle w:val="TableText"/>
              <w:numPr>
                <w:ilvl w:val="0"/>
                <w:numId w:val="23"/>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0115457B" w14:textId="77777777" w:rsidR="000128B7" w:rsidRPr="00105005" w:rsidRDefault="000128B7" w:rsidP="0017151D">
            <w:pPr>
              <w:pStyle w:val="TableText"/>
              <w:numPr>
                <w:ilvl w:val="0"/>
                <w:numId w:val="23"/>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 xml:space="preserve">Citizens’ perception of the opportunities to influence social platforms is influenced by many factors, including those that are outside of PRG-PA’s interventions. An increase in citizens’ perception of opportunities to influence social platforms cannot be directly attributed to our activities. </w:t>
            </w:r>
          </w:p>
        </w:tc>
      </w:tr>
      <w:tr w:rsidR="000128B7" w:rsidRPr="00105005" w14:paraId="4C45C26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AC25836"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2CBED317" w14:textId="77777777" w:rsidR="000128B7" w:rsidRPr="00105005" w:rsidRDefault="000128B7" w:rsidP="0017151D">
            <w:pPr>
              <w:pStyle w:val="TableText"/>
              <w:numPr>
                <w:ilvl w:val="0"/>
                <w:numId w:val="24"/>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assessment and final evaluation</w:t>
            </w:r>
          </w:p>
          <w:p w14:paraId="2FB4F5C8" w14:textId="77777777" w:rsidR="000128B7" w:rsidRPr="00105005" w:rsidRDefault="000128B7" w:rsidP="0017151D">
            <w:pPr>
              <w:pStyle w:val="TableText"/>
              <w:numPr>
                <w:ilvl w:val="0"/>
                <w:numId w:val="24"/>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1EB3DA8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B3EAE5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731AA19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4D38EC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1026B07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FB7258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30F87CB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74D711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575A8F4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7D5278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3C07036C"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483889B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4FF2275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41B21F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71E368E9"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7DC1A23"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7B397388"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3C3C955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TBD/25%</w:t>
            </w:r>
          </w:p>
        </w:tc>
      </w:tr>
      <w:tr w:rsidR="000128B7" w:rsidRPr="00105005" w14:paraId="5EC43BD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12153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76A0C221"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93879A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1044557E"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47A5577A"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28906CA9"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4DF970E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D19B31F" w14:textId="77777777" w:rsidR="000128B7" w:rsidRPr="00105005" w:rsidRDefault="000128B7" w:rsidP="000128B7">
            <w:pPr>
              <w:rPr>
                <w:sz w:val="20"/>
                <w:szCs w:val="20"/>
              </w:rPr>
            </w:pPr>
            <w:r w:rsidRPr="00105005">
              <w:rPr>
                <w:b/>
                <w:sz w:val="20"/>
                <w:szCs w:val="20"/>
              </w:rPr>
              <w:t xml:space="preserve">Outcome 1: </w:t>
            </w:r>
            <w:r w:rsidRPr="00105005">
              <w:rPr>
                <w:sz w:val="20"/>
                <w:szCs w:val="20"/>
              </w:rPr>
              <w:t>Elections are more responsive to priority public needs</w:t>
            </w:r>
          </w:p>
        </w:tc>
      </w:tr>
      <w:tr w:rsidR="000128B7" w:rsidRPr="00105005" w14:paraId="6E4EFA3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56CE9B7" w14:textId="77777777" w:rsidR="000128B7" w:rsidRPr="00105005" w:rsidRDefault="000128B7" w:rsidP="000128B7">
            <w:pPr>
              <w:rPr>
                <w:i/>
                <w:iCs/>
                <w:sz w:val="20"/>
                <w:szCs w:val="20"/>
              </w:rPr>
            </w:pPr>
            <w:r w:rsidRPr="00105005">
              <w:rPr>
                <w:b/>
                <w:sz w:val="20"/>
                <w:szCs w:val="20"/>
              </w:rPr>
              <w:t>Name of Indicator (1.6</w:t>
            </w:r>
            <w:r w:rsidRPr="00105005">
              <w:rPr>
                <w:b/>
                <w:bCs/>
                <w:sz w:val="20"/>
                <w:szCs w:val="20"/>
              </w:rPr>
              <w:t>):</w:t>
            </w:r>
            <w:r w:rsidRPr="00105005">
              <w:rPr>
                <w:sz w:val="20"/>
                <w:szCs w:val="20"/>
              </w:rPr>
              <w:t xml:space="preserve"> Percent of citizens who report increased opportunity to mitigate election-related conflict</w:t>
            </w:r>
          </w:p>
        </w:tc>
      </w:tr>
      <w:tr w:rsidR="000128B7" w:rsidRPr="00105005" w14:paraId="1A76EA5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E280DF"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4E96DF5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F07F03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6EE35F2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D04093F" w14:textId="112CB295"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w:t>
            </w:r>
            <w:r w:rsidRPr="00105005">
              <w:rPr>
                <w:rStyle w:val="CommentReference"/>
                <w:rFonts w:ascii="Times New Roman" w:eastAsiaTheme="minorEastAsia" w:hAnsi="Times New Roman" w:cs="Times New Roman"/>
                <w:sz w:val="20"/>
                <w:szCs w:val="20"/>
              </w:rPr>
              <w:t>: What percentage of citizens perceive/report that there is increase in opportunities to mitigate electoral-related conflict?</w:t>
            </w:r>
          </w:p>
        </w:tc>
      </w:tr>
      <w:tr w:rsidR="000128B7" w:rsidRPr="00105005" w14:paraId="2326AEE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3C6F80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109C283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E111696"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49307C0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1BFE13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increase or decrease regarding citizens’ perception of opportunities to mitigate election-related conflicts within the period PRG-PA operated in the area. The result will be useful for future program design for both USAID and Counterpart.   </w:t>
            </w:r>
          </w:p>
        </w:tc>
      </w:tr>
      <w:tr w:rsidR="000128B7" w:rsidRPr="00105005" w14:paraId="751AEBB7"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4142D4E"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1C974BB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4D1B84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346EC98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3418A9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25A9391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9351D1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0DF140E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8011E38"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354A14E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B52DF3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77C3F86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610A62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5A41FBC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41D11D6"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566C04D9"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0660F77"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4C0B45A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902D0A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01CE3FC5"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677BC6DF"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1289437D" w14:textId="77777777" w:rsidR="000128B7" w:rsidRPr="00105005" w:rsidRDefault="000128B7" w:rsidP="0017151D">
            <w:pPr>
              <w:pStyle w:val="TableText"/>
              <w:numPr>
                <w:ilvl w:val="0"/>
                <w:numId w:val="25"/>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36EECA28" w14:textId="77777777" w:rsidR="000128B7" w:rsidRPr="00105005" w:rsidRDefault="000128B7" w:rsidP="0017151D">
            <w:pPr>
              <w:pStyle w:val="TableText"/>
              <w:numPr>
                <w:ilvl w:val="0"/>
                <w:numId w:val="25"/>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 xml:space="preserve">Citizens’ perception of the opportunities to mitigate election-related conflict is influenced by many factors, primarily from outside of PRG-PA’s interventions. An increase in citizens’ perception of opportunities to mitigate election-related conflict cannot be directly attributed to our activities. </w:t>
            </w:r>
          </w:p>
        </w:tc>
      </w:tr>
      <w:tr w:rsidR="000128B7" w:rsidRPr="00105005" w14:paraId="573D3A3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07116DF"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6D874C97" w14:textId="77777777" w:rsidR="000128B7" w:rsidRPr="00105005" w:rsidRDefault="000128B7" w:rsidP="0017151D">
            <w:pPr>
              <w:pStyle w:val="TableText"/>
              <w:numPr>
                <w:ilvl w:val="0"/>
                <w:numId w:val="26"/>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7A923D0E" w14:textId="77777777" w:rsidR="000128B7" w:rsidRPr="00105005" w:rsidRDefault="000128B7" w:rsidP="0017151D">
            <w:pPr>
              <w:pStyle w:val="TableText"/>
              <w:numPr>
                <w:ilvl w:val="0"/>
                <w:numId w:val="26"/>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70626EA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2EE709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14B4A78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B3BEB0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29083D97"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18C28D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07BC56F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C2F903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2533095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F60F20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7ECD451E"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31FAD51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1C70E91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3E17C7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4DC3B0E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2AA63C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34A5D2F5"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67654F7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0/25%</w:t>
            </w:r>
          </w:p>
        </w:tc>
      </w:tr>
      <w:tr w:rsidR="000128B7" w:rsidRPr="00105005" w14:paraId="46F2CBD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89AD53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14D8C29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B82D2A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5AAEC871"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562C05A5"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7E4C74DC"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70990AA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1E1702B" w14:textId="77777777" w:rsidR="000128B7" w:rsidRPr="00105005" w:rsidRDefault="000128B7" w:rsidP="000128B7">
            <w:pPr>
              <w:rPr>
                <w:sz w:val="20"/>
                <w:szCs w:val="20"/>
              </w:rPr>
            </w:pPr>
            <w:r w:rsidRPr="00105005">
              <w:rPr>
                <w:b/>
                <w:sz w:val="20"/>
                <w:szCs w:val="20"/>
              </w:rPr>
              <w:t xml:space="preserve">Outcome 1: </w:t>
            </w:r>
            <w:r w:rsidRPr="00105005">
              <w:rPr>
                <w:sz w:val="20"/>
                <w:szCs w:val="20"/>
              </w:rPr>
              <w:t>Elections are more responsive to priority public needs</w:t>
            </w:r>
          </w:p>
        </w:tc>
      </w:tr>
      <w:tr w:rsidR="000128B7" w:rsidRPr="00105005" w14:paraId="0C7DD22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A3B3570" w14:textId="77777777" w:rsidR="000128B7" w:rsidRPr="00105005" w:rsidRDefault="000128B7" w:rsidP="000128B7">
            <w:pPr>
              <w:rPr>
                <w:i/>
                <w:iCs/>
                <w:sz w:val="20"/>
                <w:szCs w:val="20"/>
              </w:rPr>
            </w:pPr>
            <w:r w:rsidRPr="00105005">
              <w:rPr>
                <w:b/>
                <w:sz w:val="20"/>
                <w:szCs w:val="20"/>
              </w:rPr>
              <w:t>Name of Indicator (1.7</w:t>
            </w:r>
            <w:r w:rsidRPr="00105005">
              <w:rPr>
                <w:b/>
                <w:bCs/>
                <w:sz w:val="20"/>
                <w:szCs w:val="20"/>
              </w:rPr>
              <w:t>):</w:t>
            </w:r>
            <w:r w:rsidRPr="00105005">
              <w:rPr>
                <w:sz w:val="20"/>
                <w:szCs w:val="20"/>
              </w:rPr>
              <w:t xml:space="preserve"> Percent of citizens who report they have been exposed to media reporting and/or other media activities around the electoral process</w:t>
            </w:r>
          </w:p>
        </w:tc>
      </w:tr>
      <w:tr w:rsidR="000128B7" w:rsidRPr="00105005" w14:paraId="0A8FE63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1F3A1B8"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5443334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D80763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6B50CC9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1141AB1" w14:textId="279B0EFB"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Media reporting and/or other media activities include: media partners’ coverage of PRG-PA public events around the electoral process, candidates campaign events, radio discussion programs and live open-air public debates; public awareness-raising messaging on citizen priorities; and social media messaging. “Exposed to” refers to citizens’ exposure to PRG-PA messaging, including the passive receipt of information.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is the percentage of citizens who have been exposed to media reporting and/or other media activities around the electoral process?</w:t>
            </w:r>
          </w:p>
        </w:tc>
      </w:tr>
      <w:tr w:rsidR="000128B7" w:rsidRPr="00105005" w14:paraId="5FEF833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5C5CA5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0DDE18C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28A474D"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1A29595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C69994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PRG-PA’s contribution to citizens’ exposure to media messaging around the electoral process, candidates’ campaign issues, and citizen priorities. The result will be useful for future program design for both USAID and Counterpart.   </w:t>
            </w:r>
          </w:p>
        </w:tc>
      </w:tr>
      <w:tr w:rsidR="000128B7" w:rsidRPr="00105005" w14:paraId="3B47DC7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F550259"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37AC336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EE1635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33C83C1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43DD95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21234A4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3B63BD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36BDE51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E55A16"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68D57AC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E0AA12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257D1EE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0D34EA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3ABC076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C1773A3"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35D31B99"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A742C4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08588A4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ED68FD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3CCD5C2E"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47BDFD71"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5EB0B99B"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tc>
      </w:tr>
      <w:tr w:rsidR="000128B7" w:rsidRPr="00105005" w14:paraId="3F5EECD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D5627A1"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5D3B19F0"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with be conducted with external evaluators to minimize data limitations in the baseline assessment and final evaluation</w:t>
            </w:r>
          </w:p>
        </w:tc>
      </w:tr>
      <w:tr w:rsidR="000128B7" w:rsidRPr="00105005" w14:paraId="1C6AF76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7B1007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52E779F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EA2B43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4D007CFC"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53FD5F9"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5544066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6C7ACF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7350EC4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DB77D5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3C0F053E"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0284CF3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334D8CB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748EA3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04F7FCA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11CB27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01AABD54"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38A3DEE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TBD/75%</w:t>
            </w:r>
          </w:p>
        </w:tc>
      </w:tr>
      <w:tr w:rsidR="000128B7" w:rsidRPr="00105005" w14:paraId="13E6CAE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E2DF39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5018647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803426F"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52D39973"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553C6A91"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1AB2B7A8"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370E83F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9D121E8" w14:textId="77777777" w:rsidR="000128B7" w:rsidRPr="00105005" w:rsidRDefault="000128B7" w:rsidP="000128B7">
            <w:pPr>
              <w:rPr>
                <w:sz w:val="20"/>
                <w:szCs w:val="20"/>
              </w:rPr>
            </w:pPr>
            <w:r w:rsidRPr="00105005">
              <w:rPr>
                <w:b/>
                <w:sz w:val="20"/>
                <w:szCs w:val="20"/>
              </w:rPr>
              <w:t xml:space="preserve">Outcome 1: </w:t>
            </w:r>
            <w:r w:rsidRPr="00105005">
              <w:rPr>
                <w:sz w:val="20"/>
                <w:szCs w:val="20"/>
              </w:rPr>
              <w:t>Elections are more responsive to priority public needs</w:t>
            </w:r>
          </w:p>
        </w:tc>
      </w:tr>
      <w:tr w:rsidR="000128B7" w:rsidRPr="00105005" w14:paraId="14F56B0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2E98DE5" w14:textId="77777777" w:rsidR="000128B7" w:rsidRPr="00105005" w:rsidRDefault="000128B7" w:rsidP="000128B7">
            <w:pPr>
              <w:rPr>
                <w:i/>
                <w:iCs/>
                <w:sz w:val="20"/>
                <w:szCs w:val="20"/>
              </w:rPr>
            </w:pPr>
            <w:r w:rsidRPr="00105005">
              <w:rPr>
                <w:b/>
                <w:sz w:val="20"/>
                <w:szCs w:val="20"/>
              </w:rPr>
              <w:t>Name of Indicator (1.8</w:t>
            </w:r>
            <w:r w:rsidRPr="00105005">
              <w:rPr>
                <w:b/>
                <w:bCs/>
                <w:sz w:val="20"/>
                <w:szCs w:val="20"/>
              </w:rPr>
              <w:t>):</w:t>
            </w:r>
            <w:r w:rsidRPr="00105005">
              <w:rPr>
                <w:sz w:val="20"/>
                <w:szCs w:val="20"/>
              </w:rPr>
              <w:t xml:space="preserve"> Percent of citizens who report they have participated in media reporting and/or other media activities around the electoral process</w:t>
            </w:r>
          </w:p>
        </w:tc>
      </w:tr>
      <w:tr w:rsidR="000128B7" w:rsidRPr="00105005" w14:paraId="4EE676F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616AC8D"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25586E8C"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A6F929C"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27C21B6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C95BEB6" w14:textId="58CBFE4D"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Media reporting and/or other media activities include: media partners’ coverage of PRG-PA public events around the electoral process, candidates campaign events, radio discussion programs and live open-air public debates; public awareness-raising messaging on citizen priorities; and social media messaging. “Participate” refers to citizens’ active decision to provide inputs or interact with PRG-PA’s media activities.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is the percentage of citizens who participated in media reporting and/or other media activities around the elections that address citizen priorities?</w:t>
            </w:r>
            <w:r w:rsidRPr="00105005" w:rsidDel="00B1654E">
              <w:rPr>
                <w:rFonts w:ascii="Times New Roman" w:hAnsi="Times New Roman" w:cs="Times New Roman"/>
                <w:sz w:val="20"/>
                <w:szCs w:val="20"/>
              </w:rPr>
              <w:t xml:space="preserve"> </w:t>
            </w:r>
          </w:p>
        </w:tc>
      </w:tr>
      <w:tr w:rsidR="000128B7" w:rsidRPr="00105005" w14:paraId="414CE8A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CA1ABE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3DA43FB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E8634CC"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767AF76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2C2B0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increase or decrease in citizens’ participation in media reporting and other media activities around the electoral process within the period PRG-PA operated in the area. The result will be useful for future program design for both USAID and Counterpart.   </w:t>
            </w:r>
          </w:p>
        </w:tc>
      </w:tr>
      <w:tr w:rsidR="000128B7" w:rsidRPr="00105005" w14:paraId="312DCA17"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671A758"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78C2CF5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4AE962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6E33217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499753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0AC20C7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A98961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3CEAE4F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165794A"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49235D3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A5EFD2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07DEE00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CBC1E2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6FBA25A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C45E04A"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4395AC1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342C53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248D517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FF7127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30D2BFB4"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5C7A9546"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65BD78DE"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tc>
      </w:tr>
      <w:tr w:rsidR="000128B7" w:rsidRPr="00105005" w14:paraId="438DFCF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0113B2D"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5017FE92"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tc>
      </w:tr>
      <w:tr w:rsidR="000128B7" w:rsidRPr="00105005" w14:paraId="5D8AD83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92F102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3591CE3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295BD7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6615E62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5A06A2C"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55717C7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12C8ED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42E405A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DBFD1E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4D43BBAF"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40BA7C6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75E1A83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A8405D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29B8811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CFFBB1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7A0D5898"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263C802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TBD/10%</w:t>
            </w:r>
          </w:p>
        </w:tc>
      </w:tr>
      <w:tr w:rsidR="000128B7" w:rsidRPr="00105005" w14:paraId="1941503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D0CA5C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49537D2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9AEFE0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22F40BC5"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1203DF3F"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07744190"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1F27B59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99834A0"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6A511C4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16D548A" w14:textId="77777777" w:rsidR="000128B7" w:rsidRPr="00105005" w:rsidRDefault="000128B7" w:rsidP="000128B7">
            <w:pPr>
              <w:rPr>
                <w:i/>
                <w:iCs/>
                <w:sz w:val="20"/>
                <w:szCs w:val="20"/>
              </w:rPr>
            </w:pPr>
            <w:r w:rsidRPr="00105005">
              <w:rPr>
                <w:b/>
                <w:sz w:val="20"/>
                <w:szCs w:val="20"/>
              </w:rPr>
              <w:t>Name of Indicator (2.1</w:t>
            </w:r>
            <w:r w:rsidRPr="00105005">
              <w:rPr>
                <w:b/>
                <w:bCs/>
                <w:sz w:val="20"/>
                <w:szCs w:val="20"/>
              </w:rPr>
              <w:t>):</w:t>
            </w:r>
            <w:r w:rsidRPr="00105005">
              <w:rPr>
                <w:sz w:val="20"/>
                <w:szCs w:val="20"/>
              </w:rPr>
              <w:t xml:space="preserve"> Number of cultural actions supported by PRG-PA</w:t>
            </w:r>
          </w:p>
        </w:tc>
      </w:tr>
      <w:tr w:rsidR="000128B7" w:rsidRPr="00105005" w14:paraId="590AF48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4B7C4F0"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No  X</w:t>
            </w:r>
            <w:r w:rsidRPr="00105005">
              <w:rPr>
                <w:rFonts w:ascii="Times New Roman" w:hAnsi="Times New Roman" w:cs="Times New Roman"/>
                <w:sz w:val="20"/>
                <w:szCs w:val="20"/>
                <w:u w:val="single"/>
              </w:rPr>
              <w:t xml:space="preserve"> _</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00E7AA6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4544BA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5B80253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281E021"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Cultural actions refer to singing, dancing, theater performance, drawing, traditional art actions taken by traditional and modern musicians, artists, and actors. This indicator tracks cultural actions that aim to advocate for citizen priorities and are supported, financially or technically, by PRG-PA. </w:t>
            </w:r>
          </w:p>
        </w:tc>
      </w:tr>
      <w:tr w:rsidR="000128B7" w:rsidRPr="00105005" w14:paraId="3E81E02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E214C8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cultural actions</w:t>
            </w:r>
          </w:p>
        </w:tc>
      </w:tr>
      <w:tr w:rsidR="000128B7" w:rsidRPr="00105005" w14:paraId="5B6C495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7816E2C"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Type of action</w:t>
            </w:r>
          </w:p>
        </w:tc>
      </w:tr>
      <w:tr w:rsidR="000128B7" w:rsidRPr="00105005" w14:paraId="6A137F0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445EFF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w:t>
            </w:r>
            <w:r>
              <w:rPr>
                <w:rFonts w:ascii="Times New Roman" w:hAnsi="Times New Roman" w:cs="Times New Roman"/>
                <w:sz w:val="20"/>
                <w:szCs w:val="20"/>
              </w:rPr>
              <w:t>Integrating cultural actions in PRG-PA’s civil society work will ensure that marginalized groups, such as the illiterate population, are provided equal access to information. This indicator directly tracks PRG-PA’s efforts in conducting cultural actions.</w:t>
            </w:r>
          </w:p>
        </w:tc>
      </w:tr>
      <w:tr w:rsidR="000128B7" w:rsidRPr="00105005" w14:paraId="03C48FC8"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8FD9833"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14661CF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6CCA86D" w14:textId="77777777" w:rsidR="000128B7" w:rsidRPr="00105005" w:rsidRDefault="000128B7" w:rsidP="000128B7">
            <w:pPr>
              <w:pStyle w:val="TableText"/>
              <w:spacing w:before="0" w:after="0"/>
              <w:rPr>
                <w:rFonts w:ascii="Times New Roman" w:hAnsi="Times New Roman" w:cs="Times New Roman"/>
                <w:sz w:val="20"/>
                <w:szCs w:val="20"/>
              </w:rPr>
            </w:pPr>
            <w:r>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 xml:space="preserve">Partners/grantees will enter </w:t>
            </w:r>
            <w:r>
              <w:rPr>
                <w:rFonts w:ascii="Times New Roman" w:hAnsi="Times New Roman" w:cs="Times New Roman"/>
                <w:sz w:val="20"/>
                <w:szCs w:val="20"/>
              </w:rPr>
              <w:t>cultural action information</w:t>
            </w:r>
            <w:r w:rsidRPr="00105005">
              <w:rPr>
                <w:rFonts w:ascii="Times New Roman" w:hAnsi="Times New Roman" w:cs="Times New Roman"/>
                <w:sz w:val="20"/>
                <w:szCs w:val="20"/>
              </w:rPr>
              <w:t xml:space="preserve"> into KM Portal with supporting documentation, including activity plan/agenda, participant list, event pho</w:t>
            </w:r>
            <w:r>
              <w:rPr>
                <w:rFonts w:ascii="Times New Roman" w:hAnsi="Times New Roman" w:cs="Times New Roman"/>
                <w:sz w:val="20"/>
                <w:szCs w:val="20"/>
              </w:rPr>
              <w:t>tos, copies of drawings,</w:t>
            </w:r>
            <w:r w:rsidRPr="00105005">
              <w:rPr>
                <w:rFonts w:ascii="Times New Roman" w:hAnsi="Times New Roman" w:cs="Times New Roman"/>
                <w:sz w:val="20"/>
                <w:szCs w:val="20"/>
              </w:rPr>
              <w:t xml:space="preserve"> etc. Counterpart will conduct quarterly data quality check on KM Portal through reviewing supporting documents and on-site observation.</w:t>
            </w:r>
          </w:p>
        </w:tc>
      </w:tr>
      <w:tr w:rsidR="000128B7" w:rsidRPr="00105005" w14:paraId="4E7BC06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C72E30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Partners/grantees</w:t>
            </w:r>
          </w:p>
        </w:tc>
      </w:tr>
      <w:tr w:rsidR="000128B7" w:rsidRPr="00105005" w14:paraId="6A4CA7E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C91393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0C723B6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9D145DF"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4589E3A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55DAB8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3EAE226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5EEA14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6363940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96B45DA"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6113D3E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E320C6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40AE73D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0B4BC7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74895B5B"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7F9E3CA4"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p>
        </w:tc>
      </w:tr>
      <w:tr w:rsidR="000128B7" w:rsidRPr="00105005" w14:paraId="3565016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482B4F5"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p>
        </w:tc>
      </w:tr>
      <w:tr w:rsidR="000128B7" w:rsidRPr="00105005" w14:paraId="0E39C01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EF4BE6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76D350E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88B65F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06C0DB9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3D39326"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2BDA7B1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FB41D7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6B17ACC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7B1625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10957ABC"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064B44A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7249D68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1923D6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725173E5"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5B8EC6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2EBFF3F5"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39D8018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0/8</w:t>
            </w:r>
          </w:p>
        </w:tc>
      </w:tr>
      <w:tr w:rsidR="000128B7" w:rsidRPr="00105005" w14:paraId="1054E38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4FEDC4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2166AEC9"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3A8E505"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7B4C10CF"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260"/>
      </w:tblGrid>
      <w:tr w:rsidR="000128B7" w:rsidRPr="00105005" w14:paraId="6915E586" w14:textId="77777777" w:rsidTr="003E583A">
        <w:trPr>
          <w:cantSplit/>
          <w:jc w:val="center"/>
        </w:trPr>
        <w:tc>
          <w:tcPr>
            <w:tcW w:w="10260" w:type="dxa"/>
            <w:tcBorders>
              <w:top w:val="single" w:sz="12" w:space="0" w:color="002A6C"/>
              <w:left w:val="nil"/>
              <w:bottom w:val="single" w:sz="8" w:space="0" w:color="002A6C"/>
              <w:right w:val="nil"/>
            </w:tcBorders>
            <w:shd w:val="clear" w:color="auto" w:fill="000000" w:themeFill="text1"/>
            <w:vAlign w:val="center"/>
          </w:tcPr>
          <w:p w14:paraId="302DD374"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6636233B"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08134476"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7FC23528"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45F26966" w14:textId="77777777" w:rsidR="000128B7" w:rsidRPr="00105005" w:rsidRDefault="000128B7" w:rsidP="000128B7">
            <w:pPr>
              <w:rPr>
                <w:i/>
                <w:iCs/>
                <w:sz w:val="20"/>
                <w:szCs w:val="20"/>
              </w:rPr>
            </w:pPr>
            <w:r w:rsidRPr="00105005">
              <w:rPr>
                <w:b/>
                <w:sz w:val="20"/>
                <w:szCs w:val="20"/>
              </w:rPr>
              <w:t>Name of Indicator (2.2</w:t>
            </w:r>
            <w:r w:rsidRPr="00105005">
              <w:rPr>
                <w:b/>
                <w:bCs/>
                <w:sz w:val="20"/>
                <w:szCs w:val="20"/>
              </w:rPr>
              <w:t>):</w:t>
            </w:r>
            <w:r w:rsidRPr="00105005">
              <w:rPr>
                <w:sz w:val="20"/>
                <w:szCs w:val="20"/>
              </w:rPr>
              <w:t xml:space="preserve"> Number of awards made to local organizations</w:t>
            </w:r>
          </w:p>
        </w:tc>
      </w:tr>
      <w:tr w:rsidR="000128B7" w:rsidRPr="00105005" w14:paraId="008AA803"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587E4E32"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X_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06EBD169" w14:textId="77777777" w:rsidTr="003E583A">
        <w:trPr>
          <w:cantSplit/>
          <w:jc w:val="center"/>
        </w:trPr>
        <w:tc>
          <w:tcPr>
            <w:tcW w:w="10260" w:type="dxa"/>
            <w:tcBorders>
              <w:top w:val="single" w:sz="8" w:space="0" w:color="002A6C"/>
              <w:left w:val="nil"/>
              <w:bottom w:val="single" w:sz="8" w:space="0" w:color="002A6C"/>
              <w:right w:val="nil"/>
            </w:tcBorders>
            <w:shd w:val="clear" w:color="auto" w:fill="D9D9D9" w:themeFill="background1" w:themeFillShade="D9"/>
            <w:vAlign w:val="center"/>
          </w:tcPr>
          <w:p w14:paraId="625C386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2089EA2F"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1FCD64DD"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This indicator counts the number of awards made directly by Counterpart to local organizations. Awards can be either acquisition or assistance. For purposes of indicator reporting, at the time of the award a “local organization” must, </w:t>
            </w:r>
          </w:p>
          <w:p w14:paraId="25A34336"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 Be organized under the laws of the recipient country; </w:t>
            </w:r>
          </w:p>
          <w:p w14:paraId="035628B1"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 Have its principal place of business in the recipient country; </w:t>
            </w:r>
          </w:p>
          <w:p w14:paraId="1B63B903"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 Be majority owned by individuals who are citizens or lawful permanent residents of the recipient country or be managed by a governing body, the majority of whom are citizens or lawful permanent residents of a recipient country; and </w:t>
            </w:r>
          </w:p>
          <w:p w14:paraId="5BBD7018"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 Not be controlled by a foreign entity or by an individual or individuals who are not citizens or permanent residents of the recipient country. </w:t>
            </w:r>
          </w:p>
          <w:p w14:paraId="0D8237EA"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The term “controlled by” means a majority ownership or beneficiary interest as defined above, or the power, either directly or indirectly, whether exercised or exercisable, to control the election, appointment, or tenure of the organization’s managers or a majority of the organization’s governing body by any means, e.g., ownership, contract, or operation of law.</w:t>
            </w:r>
          </w:p>
          <w:p w14:paraId="57A7D4C3"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“Foreign entity” means an organization that fails to meet any part of the “local organization” definition. </w:t>
            </w:r>
          </w:p>
          <w:p w14:paraId="5C9A24FD"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sz w:val="20"/>
                <w:szCs w:val="20"/>
              </w:rPr>
              <w:t xml:space="preserve">Government controlled and government owned organizations in which the recipient government owns a majority interest or in which the majority of a governing body are government employees, are included in the above definition of local organization. </w:t>
            </w:r>
          </w:p>
        </w:tc>
      </w:tr>
      <w:tr w:rsidR="000128B7" w:rsidRPr="00105005" w14:paraId="564173BA"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65E9D29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awards</w:t>
            </w:r>
          </w:p>
        </w:tc>
      </w:tr>
      <w:tr w:rsidR="000128B7" w:rsidRPr="00105005" w14:paraId="5D3AA738"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2801843C"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Type of award; Third-level administrative division; New/Continuing; Leader sex; Sub-sector</w:t>
            </w:r>
          </w:p>
        </w:tc>
      </w:tr>
      <w:tr w:rsidR="000128B7" w:rsidRPr="00105005" w14:paraId="3545BFFE"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2E2DFCB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is a direct count of the number of awards awarded to local partners. One partner could be awarded once or multiple times during the intervention period. It will be used by PRG-PA management and Counterpart at HQ to assess progress in achieving partnership development and capacity building objectives.</w:t>
            </w:r>
          </w:p>
        </w:tc>
      </w:tr>
      <w:tr w:rsidR="000128B7" w:rsidRPr="00105005" w14:paraId="5DCA4670" w14:textId="77777777" w:rsidTr="003E583A">
        <w:trPr>
          <w:cantSplit/>
          <w:jc w:val="center"/>
        </w:trPr>
        <w:tc>
          <w:tcPr>
            <w:tcW w:w="10260" w:type="dxa"/>
            <w:tcBorders>
              <w:top w:val="single" w:sz="8" w:space="0" w:color="002A6C"/>
              <w:left w:val="nil"/>
              <w:bottom w:val="single" w:sz="8" w:space="0" w:color="002A6C"/>
              <w:right w:val="nil"/>
            </w:tcBorders>
            <w:shd w:val="clear" w:color="auto" w:fill="D9D9D9" w:themeFill="background1" w:themeFillShade="D9"/>
            <w:vAlign w:val="center"/>
          </w:tcPr>
          <w:p w14:paraId="4FE34B3D"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124F901A"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33FD2A6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 xml:space="preserve">Counterpart will enter grants information into the KM Portal and track the number of awards on a quarterly basis. On-site observation will be conducted through grantee monitoring activities. </w:t>
            </w:r>
          </w:p>
        </w:tc>
      </w:tr>
      <w:tr w:rsidR="000128B7" w:rsidRPr="00105005" w14:paraId="74251C30"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1157E62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Counterpart</w:t>
            </w:r>
          </w:p>
        </w:tc>
      </w:tr>
      <w:tr w:rsidR="000128B7" w:rsidRPr="00105005" w14:paraId="6B5990B4"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4EB75C3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406C3C1A"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66114AB7"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2C4FF265"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134A815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75F8510E"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1212CAB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0F25C12F"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524A8038"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22F11E68" w14:textId="77777777" w:rsidTr="003E583A">
        <w:trPr>
          <w:cantSplit/>
          <w:jc w:val="center"/>
        </w:trPr>
        <w:tc>
          <w:tcPr>
            <w:tcW w:w="10260" w:type="dxa"/>
            <w:tcBorders>
              <w:top w:val="single" w:sz="8" w:space="0" w:color="002A6C"/>
              <w:left w:val="nil"/>
              <w:bottom w:val="single" w:sz="8" w:space="0" w:color="002A6C"/>
              <w:right w:val="nil"/>
            </w:tcBorders>
            <w:shd w:val="clear" w:color="auto" w:fill="D9D9D9" w:themeFill="background1" w:themeFillShade="D9"/>
            <w:vAlign w:val="center"/>
          </w:tcPr>
          <w:p w14:paraId="3670DD93"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7C2B22D3"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172832A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4EB1D12A" w14:textId="77777777" w:rsidTr="003E583A">
        <w:trPr>
          <w:cantSplit/>
          <w:trHeight w:val="259"/>
          <w:jc w:val="center"/>
        </w:trPr>
        <w:tc>
          <w:tcPr>
            <w:tcW w:w="10260" w:type="dxa"/>
            <w:tcBorders>
              <w:top w:val="single" w:sz="8" w:space="0" w:color="002A6C"/>
              <w:left w:val="nil"/>
              <w:bottom w:val="single" w:sz="8" w:space="0" w:color="002A6C"/>
              <w:right w:val="nil"/>
            </w:tcBorders>
            <w:vAlign w:val="center"/>
          </w:tcPr>
          <w:p w14:paraId="1DE3FEC7"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sz w:val="20"/>
                <w:szCs w:val="20"/>
              </w:rPr>
              <w:t>None</w:t>
            </w:r>
          </w:p>
        </w:tc>
      </w:tr>
      <w:tr w:rsidR="000128B7" w:rsidRPr="00105005" w14:paraId="47A6C3AD"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16B20CEE"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18D4801A"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63ADAD0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47EF099B"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2B4317A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7C67C4C2" w14:textId="77777777" w:rsidTr="003E583A">
        <w:trPr>
          <w:cantSplit/>
          <w:jc w:val="center"/>
        </w:trPr>
        <w:tc>
          <w:tcPr>
            <w:tcW w:w="10260" w:type="dxa"/>
            <w:tcBorders>
              <w:top w:val="single" w:sz="8" w:space="0" w:color="002A6C"/>
              <w:left w:val="nil"/>
              <w:bottom w:val="single" w:sz="8" w:space="0" w:color="002A6C"/>
              <w:right w:val="nil"/>
            </w:tcBorders>
            <w:shd w:val="clear" w:color="auto" w:fill="D9D9D9" w:themeFill="background1" w:themeFillShade="D9"/>
            <w:vAlign w:val="center"/>
          </w:tcPr>
          <w:p w14:paraId="38505208"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3E64E63B"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33F44E1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3DA464DB"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3FE1346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 and KM Portal</w:t>
            </w:r>
          </w:p>
        </w:tc>
      </w:tr>
      <w:tr w:rsidR="000128B7" w:rsidRPr="00105005" w14:paraId="1F7ABA92" w14:textId="77777777" w:rsidTr="003E583A">
        <w:trPr>
          <w:cantSplit/>
          <w:trHeight w:val="160"/>
          <w:jc w:val="center"/>
        </w:trPr>
        <w:tc>
          <w:tcPr>
            <w:tcW w:w="10260" w:type="dxa"/>
            <w:tcBorders>
              <w:top w:val="single" w:sz="8" w:space="0" w:color="002A6C"/>
              <w:left w:val="nil"/>
              <w:bottom w:val="single" w:sz="8" w:space="0" w:color="002A6C"/>
              <w:right w:val="nil"/>
            </w:tcBorders>
            <w:vAlign w:val="center"/>
          </w:tcPr>
          <w:p w14:paraId="66BDEEB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 quarterly basis.</w:t>
            </w:r>
          </w:p>
        </w:tc>
      </w:tr>
      <w:tr w:rsidR="000128B7" w:rsidRPr="00105005" w14:paraId="31030B60"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4254245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Quarterly Report as part of the PMP Annex.  It will also be described in the quarterly narrative.</w:t>
            </w:r>
          </w:p>
        </w:tc>
      </w:tr>
      <w:tr w:rsidR="000128B7" w:rsidRPr="00105005" w14:paraId="6F10064C" w14:textId="77777777" w:rsidTr="003E583A">
        <w:trPr>
          <w:cantSplit/>
          <w:jc w:val="center"/>
        </w:trPr>
        <w:tc>
          <w:tcPr>
            <w:tcW w:w="10260" w:type="dxa"/>
            <w:tcBorders>
              <w:top w:val="single" w:sz="8" w:space="0" w:color="002A6C"/>
              <w:left w:val="nil"/>
              <w:bottom w:val="single" w:sz="8" w:space="0" w:color="002A6C"/>
              <w:right w:val="nil"/>
            </w:tcBorders>
            <w:shd w:val="clear" w:color="auto" w:fill="D9D9D9" w:themeFill="background1" w:themeFillShade="D9"/>
            <w:vAlign w:val="center"/>
          </w:tcPr>
          <w:p w14:paraId="5CD83FAF"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0FAEF913" w14:textId="77777777" w:rsidTr="003E583A">
        <w:trPr>
          <w:cantSplit/>
          <w:trHeight w:val="223"/>
          <w:jc w:val="center"/>
        </w:trPr>
        <w:tc>
          <w:tcPr>
            <w:tcW w:w="10260" w:type="dxa"/>
            <w:tcBorders>
              <w:top w:val="single" w:sz="8" w:space="0" w:color="002A6C"/>
              <w:left w:val="nil"/>
              <w:bottom w:val="single" w:sz="8" w:space="0" w:color="002A6C"/>
              <w:right w:val="nil"/>
            </w:tcBorders>
            <w:vAlign w:val="center"/>
          </w:tcPr>
          <w:p w14:paraId="54CE76C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0/28</w:t>
            </w:r>
          </w:p>
        </w:tc>
      </w:tr>
      <w:tr w:rsidR="000128B7" w:rsidRPr="00105005" w14:paraId="04804F40" w14:textId="77777777" w:rsidTr="003E583A">
        <w:trPr>
          <w:cantSplit/>
          <w:jc w:val="center"/>
        </w:trPr>
        <w:tc>
          <w:tcPr>
            <w:tcW w:w="10260" w:type="dxa"/>
            <w:tcBorders>
              <w:top w:val="single" w:sz="8" w:space="0" w:color="002A6C"/>
              <w:left w:val="nil"/>
              <w:bottom w:val="single" w:sz="8" w:space="0" w:color="002A6C"/>
              <w:right w:val="nil"/>
            </w:tcBorders>
            <w:vAlign w:val="center"/>
          </w:tcPr>
          <w:p w14:paraId="4696066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741B0814" w14:textId="77777777" w:rsidTr="003E583A">
        <w:trPr>
          <w:cantSplit/>
          <w:jc w:val="center"/>
        </w:trPr>
        <w:tc>
          <w:tcPr>
            <w:tcW w:w="10260" w:type="dxa"/>
            <w:tcBorders>
              <w:top w:val="single" w:sz="8" w:space="0" w:color="002A6C"/>
              <w:left w:val="nil"/>
              <w:bottom w:val="single" w:sz="8" w:space="0" w:color="002A6C"/>
              <w:right w:val="nil"/>
            </w:tcBorders>
            <w:shd w:val="clear" w:color="auto" w:fill="D9D9D9" w:themeFill="background1" w:themeFillShade="D9"/>
            <w:vAlign w:val="center"/>
          </w:tcPr>
          <w:p w14:paraId="496CF5B5"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4C11D39D"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1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1070"/>
      </w:tblGrid>
      <w:tr w:rsidR="000128B7" w:rsidRPr="00105005" w14:paraId="2B7104CF" w14:textId="77777777" w:rsidTr="003E583A">
        <w:trPr>
          <w:cantSplit/>
          <w:jc w:val="center"/>
        </w:trPr>
        <w:tc>
          <w:tcPr>
            <w:tcW w:w="11070" w:type="dxa"/>
            <w:tcBorders>
              <w:top w:val="single" w:sz="12" w:space="0" w:color="002A6C"/>
              <w:left w:val="nil"/>
              <w:bottom w:val="single" w:sz="8" w:space="0" w:color="002A6C"/>
              <w:right w:val="nil"/>
            </w:tcBorders>
            <w:shd w:val="clear" w:color="auto" w:fill="000000" w:themeFill="text1"/>
            <w:vAlign w:val="center"/>
          </w:tcPr>
          <w:p w14:paraId="62EFFAAF"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042D3F4B"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29D24EFE"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2F4DBFD9"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56E1CBA1" w14:textId="77777777" w:rsidR="000128B7" w:rsidRPr="00105005" w:rsidRDefault="000128B7" w:rsidP="000128B7">
            <w:pPr>
              <w:rPr>
                <w:i/>
                <w:iCs/>
                <w:sz w:val="20"/>
                <w:szCs w:val="20"/>
              </w:rPr>
            </w:pPr>
            <w:r w:rsidRPr="00105005">
              <w:rPr>
                <w:b/>
                <w:sz w:val="20"/>
                <w:szCs w:val="20"/>
              </w:rPr>
              <w:t>Name of Indicator (2.3</w:t>
            </w:r>
            <w:r w:rsidRPr="00105005">
              <w:rPr>
                <w:b/>
                <w:bCs/>
                <w:sz w:val="20"/>
                <w:szCs w:val="20"/>
              </w:rPr>
              <w:t>):</w:t>
            </w:r>
            <w:r w:rsidRPr="00105005">
              <w:rPr>
                <w:sz w:val="20"/>
                <w:szCs w:val="20"/>
              </w:rPr>
              <w:t xml:space="preserve"> Number of white paper and/or communal action plans created through policy dialogues</w:t>
            </w:r>
          </w:p>
        </w:tc>
      </w:tr>
      <w:tr w:rsidR="000128B7" w:rsidRPr="00105005" w14:paraId="3F481051"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54C5B1EF"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X_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79829960"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4AA6BBE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7DAFAEF5"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2242F4A2"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bCs/>
                <w:sz w:val="20"/>
                <w:szCs w:val="20"/>
              </w:rPr>
              <w:t xml:space="preserve">“Policy dialogues” refer to the local, regional, and national post-election town hall meetings in target regions with municipal and traditional leaders, CSOs, CBOs, and other community groups, private sector representatives, religious leaders, and media. These policy dialogues are an iterative, participatory research process that seeks to understand community needs and resources in its local, social, institutional, and political contexts. This process incorporates the perspectives of a range of stakeholders and involve them directly in planning follow-up actions. PRG-PA will equip partner CSOs to bring together representatives of disparate community groups and government officials to prioritize public agenda issues, mobilize community members to spearhead the design and carry forward the implementation of public projects. Partner CSOs will produce white papers and action plans based on policy dialogues. A white paper is a report or guide that informs citizens in PRG-PA’s target regions about a political or civic issue and presents PRG-PA’s stance on the matter. It is meant to help citizens understand this issue, solve a problem, or make a decision. A communal action plan is the plan for carrying out a strategy for addressing citizen needs. This indicator includes any white paper and/or communal action plan that is developed by Counterpart or entities receiving technical/financial assistance from the PRG-PA project in the reporting period (i.e., quarter). </w:t>
            </w:r>
          </w:p>
        </w:tc>
      </w:tr>
      <w:tr w:rsidR="000128B7" w:rsidRPr="00105005" w14:paraId="1257B48F"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57D7F17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white papers/communal action plans</w:t>
            </w:r>
          </w:p>
        </w:tc>
      </w:tr>
      <w:tr w:rsidR="000128B7" w:rsidRPr="00105005" w14:paraId="79632131"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49B68041"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Sub-sector</w:t>
            </w:r>
          </w:p>
        </w:tc>
      </w:tr>
      <w:tr w:rsidR="000128B7" w:rsidRPr="00105005" w14:paraId="104060BE"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6AFD3DF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Policy dialogues involving different community groups will allow PRG-PA to build partnerships with women and men of concern, of all ages and backgrounds, through systematic, structured dialogue on issues that they identify as important. As community members describe their situation from their perspective, voice their concerns, and mobilize their own efforts in solving problems within the community, the local capacity and commitment to follow-up action will be increased. This number indicates level of effort and will be useful in program planning and adjustment. If there is a perceived need for policy dialogue or communal action plans in a community, then programmers might prioritize (e.g., allocate more resources to) this community.</w:t>
            </w:r>
          </w:p>
        </w:tc>
      </w:tr>
      <w:tr w:rsidR="000128B7" w:rsidRPr="00105005" w14:paraId="7EDA5E3D"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10CC0B4E"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2CA876EF"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1A5E3F2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 xml:space="preserve">Counterpart will enter policy dialogue information into KM Portal and keep copies of the final products, including white papers and communal action plans. The number of white papers and communal action plans will be determined through review of KM Portal data and program records. </w:t>
            </w:r>
          </w:p>
        </w:tc>
      </w:tr>
      <w:tr w:rsidR="000128B7" w:rsidRPr="00105005" w14:paraId="2A53C2E5"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55E76D2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Counterpart</w:t>
            </w:r>
          </w:p>
        </w:tc>
      </w:tr>
      <w:tr w:rsidR="000128B7" w:rsidRPr="00105005" w14:paraId="482EBC81"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6A688E7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300467BA"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44028711"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4CA1F292"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340C082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6A04DD35"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7BE3B78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411F1E5B"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57A71D62"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5CE23936"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61DC5628"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07A397A0"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6DB9B00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5975BD94" w14:textId="77777777" w:rsidTr="003E583A">
        <w:trPr>
          <w:cantSplit/>
          <w:trHeight w:val="259"/>
          <w:jc w:val="center"/>
        </w:trPr>
        <w:tc>
          <w:tcPr>
            <w:tcW w:w="11070" w:type="dxa"/>
            <w:tcBorders>
              <w:top w:val="single" w:sz="8" w:space="0" w:color="002A6C"/>
              <w:left w:val="nil"/>
              <w:bottom w:val="single" w:sz="8" w:space="0" w:color="002A6C"/>
              <w:right w:val="nil"/>
            </w:tcBorders>
            <w:vAlign w:val="center"/>
          </w:tcPr>
          <w:p w14:paraId="29FC91E5"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5AB90FC0"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14F6CA3C"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34ABEBFA"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089E1C2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0C66AA82"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4288927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1A1D82D3"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59A7EC35"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58FAC2F3"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79309CC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08FA4D43"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2715C38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Annual Reports and KM Portal</w:t>
            </w:r>
          </w:p>
        </w:tc>
      </w:tr>
      <w:tr w:rsidR="000128B7" w:rsidRPr="00105005" w14:paraId="1E51F0CA" w14:textId="77777777" w:rsidTr="003E583A">
        <w:trPr>
          <w:cantSplit/>
          <w:trHeight w:val="160"/>
          <w:jc w:val="center"/>
        </w:trPr>
        <w:tc>
          <w:tcPr>
            <w:tcW w:w="11070" w:type="dxa"/>
            <w:tcBorders>
              <w:top w:val="single" w:sz="8" w:space="0" w:color="002A6C"/>
              <w:left w:val="nil"/>
              <w:bottom w:val="single" w:sz="8" w:space="0" w:color="002A6C"/>
              <w:right w:val="nil"/>
            </w:tcBorders>
            <w:vAlign w:val="center"/>
          </w:tcPr>
          <w:p w14:paraId="0572C08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an annual basis.</w:t>
            </w:r>
          </w:p>
        </w:tc>
      </w:tr>
      <w:tr w:rsidR="000128B7" w:rsidRPr="00105005" w14:paraId="3741D00B"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488F29C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Annual Report as part of the PMP Annex.  It will also be described in the annual narrative.</w:t>
            </w:r>
          </w:p>
        </w:tc>
      </w:tr>
      <w:tr w:rsidR="000128B7" w:rsidRPr="00105005" w14:paraId="3DCCAA55"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72D7044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32397B8E" w14:textId="77777777" w:rsidTr="003E583A">
        <w:trPr>
          <w:cantSplit/>
          <w:trHeight w:val="223"/>
          <w:jc w:val="center"/>
        </w:trPr>
        <w:tc>
          <w:tcPr>
            <w:tcW w:w="11070" w:type="dxa"/>
            <w:tcBorders>
              <w:top w:val="single" w:sz="8" w:space="0" w:color="002A6C"/>
              <w:left w:val="nil"/>
              <w:bottom w:val="single" w:sz="8" w:space="0" w:color="002A6C"/>
              <w:right w:val="nil"/>
            </w:tcBorders>
            <w:vAlign w:val="center"/>
          </w:tcPr>
          <w:p w14:paraId="6FAF46B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0/10</w:t>
            </w:r>
          </w:p>
        </w:tc>
      </w:tr>
      <w:tr w:rsidR="000128B7" w:rsidRPr="00105005" w14:paraId="2A0C4646"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6245C7B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33A21E36"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33F0B02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6D6DBBE1"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5D36E11F"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25CDA4C5"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1F28843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674E03"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65D2989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064CB27" w14:textId="77777777" w:rsidR="000128B7" w:rsidRPr="00105005" w:rsidRDefault="000128B7" w:rsidP="000128B7">
            <w:pPr>
              <w:rPr>
                <w:i/>
                <w:iCs/>
                <w:sz w:val="20"/>
                <w:szCs w:val="20"/>
              </w:rPr>
            </w:pPr>
            <w:r w:rsidRPr="00105005">
              <w:rPr>
                <w:b/>
                <w:sz w:val="20"/>
                <w:szCs w:val="20"/>
              </w:rPr>
              <w:t>Name of Indicator (2.4</w:t>
            </w:r>
            <w:r w:rsidRPr="00105005">
              <w:rPr>
                <w:b/>
                <w:bCs/>
                <w:sz w:val="20"/>
                <w:szCs w:val="20"/>
              </w:rPr>
              <w:t>):</w:t>
            </w:r>
            <w:r w:rsidRPr="00105005">
              <w:rPr>
                <w:sz w:val="20"/>
                <w:szCs w:val="20"/>
              </w:rPr>
              <w:t xml:space="preserve"> Number of new USG-supported public-private partnerships (PPPs) formed</w:t>
            </w:r>
          </w:p>
        </w:tc>
      </w:tr>
      <w:tr w:rsidR="000128B7" w:rsidRPr="00105005" w14:paraId="7139079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B33E730"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_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_X (PPP5)</w:t>
            </w:r>
          </w:p>
        </w:tc>
      </w:tr>
      <w:tr w:rsidR="000128B7" w:rsidRPr="00105005" w14:paraId="6CE2E27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3E4D597"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78B4AFC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715C1B2"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Number of PPPs formed during the reporting year to address citizens’ key concerns, priorities in public goods/service provision/delivery due to PRG-PA intervention (i.e., consensus building forums, advocacy campaigns, and outreach activities). </w:t>
            </w:r>
            <w:r w:rsidRPr="00105005">
              <w:rPr>
                <w:rFonts w:ascii="Times New Roman" w:hAnsi="Times New Roman" w:cs="Times New Roman"/>
                <w:bCs/>
                <w:sz w:val="20"/>
                <w:szCs w:val="20"/>
              </w:rPr>
              <w:t>A public-private alliance (partnership) is considered formed when there is a clear agreement, usually written, to work together to achieve a common objective. There must be either a cash or in-kind significant contribution to the effort by both the public and the private entity, and USAID must be one of the public partners represented by PRG-PA. A private entity can be for-profit enterprises, including private companies, state-owned enterprises which seek to make a profit (even if unsuccessfully), and can be NGOs, including community groups. A public entity can be national or sub-national government as well as a donor-funded implementing partner. It could also include state enterprises which are non-profit. In counting partnerships we are not counting transactions with a partner entity; we are counting the number of partnerships formed during that current reporting year.</w:t>
            </w:r>
          </w:p>
        </w:tc>
      </w:tr>
      <w:tr w:rsidR="000128B7" w:rsidRPr="00105005" w14:paraId="1FBA006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6C8C85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PPPs</w:t>
            </w:r>
          </w:p>
        </w:tc>
      </w:tr>
      <w:tr w:rsidR="000128B7" w:rsidRPr="00105005" w14:paraId="3DCD7E5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DAD561D"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Partnership focus</w:t>
            </w:r>
          </w:p>
        </w:tc>
      </w:tr>
      <w:tr w:rsidR="000128B7" w:rsidRPr="00105005" w14:paraId="5EE197E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F738C7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The assumption of this indicator is that if more partnerships are formed it is likely that there will be more investment in public goods/service provision/delivery to address citizens’ key concerns and priorities. </w:t>
            </w:r>
          </w:p>
        </w:tc>
      </w:tr>
      <w:tr w:rsidR="000128B7" w:rsidRPr="00105005" w14:paraId="4A2027B5"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F8DB331"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6F249E5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EA01A7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 xml:space="preserve">Counterpart will keep record of formal agreements indicating any PPP formed through PRG-PA interventions, and the number of PPPs formed will be determined through review of program records. </w:t>
            </w:r>
          </w:p>
        </w:tc>
      </w:tr>
      <w:tr w:rsidR="000128B7" w:rsidRPr="00105005" w14:paraId="07EE675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ADBA8F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Counterpart</w:t>
            </w:r>
          </w:p>
        </w:tc>
      </w:tr>
      <w:tr w:rsidR="000128B7" w:rsidRPr="00105005" w14:paraId="686FE10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FFF83C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Quarterly</w:t>
            </w:r>
          </w:p>
        </w:tc>
      </w:tr>
      <w:tr w:rsidR="000128B7" w:rsidRPr="00105005" w14:paraId="57A7E43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717D089"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5A3961E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EEA367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41AFBC0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6EBF5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761204D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DCC6A2D"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1CCCA9C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C5039F8"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38DBA59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29AD49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44586227"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5D6D4762"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3F2AF89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DBA4D0F"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1204AA7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E8F7EE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039F334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80CF1A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6C211CE6"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D7F6A63"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3D9E563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D5E819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68338BD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E5D9BE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Annual Reports and KM Portal</w:t>
            </w:r>
          </w:p>
        </w:tc>
      </w:tr>
      <w:tr w:rsidR="000128B7" w:rsidRPr="00105005" w14:paraId="1E949183"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1C87BE1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on an annual basis.</w:t>
            </w:r>
          </w:p>
        </w:tc>
      </w:tr>
      <w:tr w:rsidR="000128B7" w:rsidRPr="00105005" w14:paraId="24B185B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49F0C8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every Annual Report as part of the PMP Annex.  It will also be described in the annual narrative.</w:t>
            </w:r>
          </w:p>
        </w:tc>
      </w:tr>
      <w:tr w:rsidR="000128B7" w:rsidRPr="00105005" w14:paraId="34A46A5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964A1E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7A8FF1A4"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228F9D3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0/5</w:t>
            </w:r>
          </w:p>
        </w:tc>
      </w:tr>
      <w:tr w:rsidR="000128B7" w:rsidRPr="00105005" w14:paraId="5AB1291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F36218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0FF48B4C"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982F4C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3390ADC3"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187D5799"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5066F2CC"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720B894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B965A1B"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1DEEC15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F9DA5CF" w14:textId="77777777" w:rsidR="000128B7" w:rsidRPr="00105005" w:rsidRDefault="000128B7" w:rsidP="000128B7">
            <w:pPr>
              <w:rPr>
                <w:i/>
                <w:iCs/>
                <w:sz w:val="20"/>
                <w:szCs w:val="20"/>
              </w:rPr>
            </w:pPr>
            <w:r w:rsidRPr="00105005">
              <w:rPr>
                <w:b/>
                <w:sz w:val="20"/>
                <w:szCs w:val="20"/>
              </w:rPr>
              <w:t>Name of Indicator (2.5</w:t>
            </w:r>
            <w:r w:rsidRPr="00105005">
              <w:rPr>
                <w:b/>
                <w:bCs/>
                <w:sz w:val="20"/>
                <w:szCs w:val="20"/>
              </w:rPr>
              <w:t>):</w:t>
            </w:r>
            <w:r w:rsidRPr="00105005">
              <w:rPr>
                <w:sz w:val="20"/>
                <w:szCs w:val="20"/>
              </w:rPr>
              <w:t xml:space="preserve"> Percent of citizens who report awareness of the public goods provision process</w:t>
            </w:r>
          </w:p>
        </w:tc>
      </w:tr>
      <w:tr w:rsidR="000128B7" w:rsidRPr="00105005" w14:paraId="217A342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B7C7AA6"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091E286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82FB420"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75C8AB2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501167D"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Public good is a good that is both non-excludable and non-rivalrous in that individuals cannot be effectively excluded from use and where use by one individual does not reduce availability to others. In this indicators, public goods refer to things provided by national and local governments for and to citizens, specifically the public education and health services. The public goods provision process concerns information about national and local governments’ responsibilities, organizational structure in administrating public service delivery, government protocols, and the implementation process. This indicator will be calculated by subtracting from the final evaluation result the baseline study result in target regions and the results is expected to answer the following question: What is the percentage of citizens willing to contact government officials (local and national representatives) to call for provision of what the respondent perceive as priority public service? </w:t>
            </w:r>
          </w:p>
        </w:tc>
      </w:tr>
      <w:tr w:rsidR="000128B7" w:rsidRPr="00105005" w14:paraId="6B845D5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E5AC6A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35060E8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FFCEC67"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09C9B22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468F69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PRG-PA’s contribution to citizens’ awareness of the public goods provision process. The result will be useful for future program design for both USAID and Counterpart.   </w:t>
            </w:r>
          </w:p>
        </w:tc>
      </w:tr>
      <w:tr w:rsidR="000128B7" w:rsidRPr="00105005" w14:paraId="05847957"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9C3BF09"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2F063ED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62FB38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7A3511D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A5BC4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1D2835D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0FB20D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2A04ED7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AA57EF9"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5F5D9CB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A162A3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3EAB18B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551656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6BF3B9C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4E04CEB"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2687E80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02BAC9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54CFA9F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6DE2F7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19F81894"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3DB767DB"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40180637" w14:textId="77777777" w:rsidR="000128B7" w:rsidRPr="00105005" w:rsidRDefault="000128B7" w:rsidP="0017151D">
            <w:pPr>
              <w:pStyle w:val="TableText"/>
              <w:numPr>
                <w:ilvl w:val="0"/>
                <w:numId w:val="27"/>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74B334A8" w14:textId="77777777" w:rsidR="000128B7" w:rsidRPr="00105005" w:rsidRDefault="000128B7" w:rsidP="0017151D">
            <w:pPr>
              <w:pStyle w:val="TableText"/>
              <w:numPr>
                <w:ilvl w:val="0"/>
                <w:numId w:val="27"/>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 xml:space="preserve">Citizens’ awareness of the public goods provision process is influenced by many factors, primarily from outside of PRG-PA’s interventions. An increase in citizens’ awareness of the public goods provision process cannot be directly attributed to our activities. </w:t>
            </w:r>
          </w:p>
        </w:tc>
      </w:tr>
      <w:tr w:rsidR="000128B7" w:rsidRPr="00105005" w14:paraId="1528470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DD3AFDE"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1D0ECA24" w14:textId="77777777" w:rsidR="000128B7" w:rsidRPr="00105005" w:rsidRDefault="000128B7" w:rsidP="0017151D">
            <w:pPr>
              <w:pStyle w:val="TableText"/>
              <w:numPr>
                <w:ilvl w:val="0"/>
                <w:numId w:val="28"/>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5B6D8F88" w14:textId="77777777" w:rsidR="000128B7" w:rsidRPr="00105005" w:rsidRDefault="000128B7" w:rsidP="0017151D">
            <w:pPr>
              <w:pStyle w:val="TableText"/>
              <w:numPr>
                <w:ilvl w:val="0"/>
                <w:numId w:val="28"/>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6D91492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53A6DC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7213E05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B00DF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2F2B795C"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F926B4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508F927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1DB992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29384F5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EF2872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2ECE41E9"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7048AAD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163232B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9C358C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45C6AB8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ED0A7E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42C5F3A8"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71AE322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TBD/70%</w:t>
            </w:r>
          </w:p>
        </w:tc>
      </w:tr>
      <w:tr w:rsidR="000128B7" w:rsidRPr="00105005" w14:paraId="78F7D53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F213B9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14BA878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6BC66A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52EF3497"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41B8FD8A"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3DC1752C"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5F1321E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0E367D4"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71BDBFB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C089EB7" w14:textId="77777777" w:rsidR="000128B7" w:rsidRPr="00105005" w:rsidRDefault="000128B7" w:rsidP="000128B7">
            <w:pPr>
              <w:rPr>
                <w:i/>
                <w:iCs/>
                <w:sz w:val="20"/>
                <w:szCs w:val="20"/>
              </w:rPr>
            </w:pPr>
            <w:r w:rsidRPr="00105005">
              <w:rPr>
                <w:b/>
                <w:sz w:val="20"/>
                <w:szCs w:val="20"/>
              </w:rPr>
              <w:t>Name of Indicator (2.6</w:t>
            </w:r>
            <w:r w:rsidRPr="00105005">
              <w:rPr>
                <w:b/>
                <w:bCs/>
                <w:sz w:val="20"/>
                <w:szCs w:val="20"/>
              </w:rPr>
              <w:t>):</w:t>
            </w:r>
            <w:r w:rsidRPr="00105005">
              <w:rPr>
                <w:sz w:val="20"/>
                <w:szCs w:val="20"/>
              </w:rPr>
              <w:t xml:space="preserve"> Percent of citizens who report awareness of whom to contact within the GoN to address provision of priority public goods</w:t>
            </w:r>
          </w:p>
        </w:tc>
      </w:tr>
      <w:tr w:rsidR="000128B7" w:rsidRPr="00105005" w14:paraId="686A44C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771161E"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595BEA8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FDC815F"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5F61417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64064A1" w14:textId="7FCC919B"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Public good is a good that is both non-excludable and non-rivalrous in that individuals cannot be effectively excluded from use and where use by one individual does not reduce availability to others. In this indicators, public goods refer to things provided by national and local governments for and to citizens, specifically the public education and health services. The public goods provision process concerns information about national and local governments’ responsibilities, organizational structure in administrating public service delivery, government protocols, and the implementation process.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is the percentage of citizen who are aware of how the central or local government provides public services? </w:t>
            </w:r>
            <w:r w:rsidRPr="00105005" w:rsidDel="00D21233">
              <w:rPr>
                <w:rFonts w:ascii="Times New Roman" w:hAnsi="Times New Roman" w:cs="Times New Roman"/>
                <w:sz w:val="20"/>
                <w:szCs w:val="20"/>
              </w:rPr>
              <w:t xml:space="preserve"> </w:t>
            </w:r>
          </w:p>
        </w:tc>
      </w:tr>
      <w:tr w:rsidR="000128B7" w:rsidRPr="00105005" w14:paraId="0D6BEBA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118546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05B859D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03B805F"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7BAAE24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C5A34D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PRG-PA’s contribution to citizens’ awareness of the public goods provision process. The result will be useful for future program design for both USAID and Counterpart.   </w:t>
            </w:r>
          </w:p>
        </w:tc>
      </w:tr>
      <w:tr w:rsidR="000128B7" w:rsidRPr="00105005" w14:paraId="2D3F8B4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5B6B4B6"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34DE928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CFD30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19FBEEC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9A7EB5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1DC4DA8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103118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2176B49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3FFA557"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7F21B8D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FB420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380C120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BBD4BA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4D17CFA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21C272D"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7B0FE768"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58504A5"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6A8EA04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C2D8D3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7BDE96A8"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7CA80AA6"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55AD855A" w14:textId="77777777" w:rsidR="000128B7" w:rsidRPr="00105005" w:rsidRDefault="000128B7" w:rsidP="0017151D">
            <w:pPr>
              <w:pStyle w:val="TableText"/>
              <w:numPr>
                <w:ilvl w:val="0"/>
                <w:numId w:val="29"/>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7CE1C20E" w14:textId="77777777" w:rsidR="000128B7" w:rsidRPr="00105005" w:rsidRDefault="000128B7" w:rsidP="0017151D">
            <w:pPr>
              <w:pStyle w:val="TableText"/>
              <w:numPr>
                <w:ilvl w:val="0"/>
                <w:numId w:val="29"/>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 xml:space="preserve">Citizens’ awareness of the public goods provision process is influenced by many factors, primarily from outside of PRG-PA’s interventions. An increase in citizens’ awareness of the public goods provision process cannot be directly attributed to our activities. </w:t>
            </w:r>
          </w:p>
        </w:tc>
      </w:tr>
      <w:tr w:rsidR="000128B7" w:rsidRPr="00105005" w14:paraId="6519999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546A9BD"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22EA7122" w14:textId="77777777" w:rsidR="000128B7" w:rsidRPr="00105005" w:rsidRDefault="000128B7" w:rsidP="0017151D">
            <w:pPr>
              <w:pStyle w:val="TableText"/>
              <w:numPr>
                <w:ilvl w:val="0"/>
                <w:numId w:val="30"/>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1702E50B" w14:textId="77777777" w:rsidR="000128B7" w:rsidRPr="00105005" w:rsidRDefault="000128B7" w:rsidP="0017151D">
            <w:pPr>
              <w:pStyle w:val="TableText"/>
              <w:numPr>
                <w:ilvl w:val="0"/>
                <w:numId w:val="30"/>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42F428C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226BB8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0F6EFB0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BCDC0E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47107D4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FA0CE20"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144F45B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EA252C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37EA2CB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03121C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0384CA94"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2DC1EBE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25A95D6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85C3D5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34103BC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D717130"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46BFF7AA"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6DD2B03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TBD/50%</w:t>
            </w:r>
          </w:p>
        </w:tc>
      </w:tr>
      <w:tr w:rsidR="000128B7" w:rsidRPr="00105005" w14:paraId="38B7C6C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D8D16F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32D4234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D514BC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0F5B01F0"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890"/>
      </w:tblGrid>
      <w:tr w:rsidR="000128B7" w:rsidRPr="00105005" w14:paraId="3506D67D" w14:textId="77777777" w:rsidTr="003E583A">
        <w:trPr>
          <w:cantSplit/>
          <w:jc w:val="center"/>
        </w:trPr>
        <w:tc>
          <w:tcPr>
            <w:tcW w:w="10890" w:type="dxa"/>
            <w:tcBorders>
              <w:top w:val="single" w:sz="12" w:space="0" w:color="002A6C"/>
              <w:left w:val="nil"/>
              <w:bottom w:val="single" w:sz="8" w:space="0" w:color="002A6C"/>
              <w:right w:val="nil"/>
            </w:tcBorders>
            <w:shd w:val="clear" w:color="auto" w:fill="000000" w:themeFill="text1"/>
            <w:vAlign w:val="center"/>
          </w:tcPr>
          <w:p w14:paraId="31661A2C"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7AE79400"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625F3E58"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40A8736E"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2125C2A2" w14:textId="77777777" w:rsidR="000128B7" w:rsidRPr="00105005" w:rsidRDefault="000128B7" w:rsidP="000128B7">
            <w:pPr>
              <w:rPr>
                <w:i/>
                <w:iCs/>
                <w:sz w:val="20"/>
                <w:szCs w:val="20"/>
              </w:rPr>
            </w:pPr>
            <w:r w:rsidRPr="00105005">
              <w:rPr>
                <w:b/>
                <w:sz w:val="20"/>
                <w:szCs w:val="20"/>
              </w:rPr>
              <w:t>Name of Indicator (2.7</w:t>
            </w:r>
            <w:r w:rsidRPr="00105005">
              <w:rPr>
                <w:b/>
                <w:bCs/>
                <w:sz w:val="20"/>
                <w:szCs w:val="20"/>
              </w:rPr>
              <w:t>):</w:t>
            </w:r>
            <w:r w:rsidRPr="00105005">
              <w:rPr>
                <w:sz w:val="20"/>
                <w:szCs w:val="20"/>
              </w:rPr>
              <w:t xml:space="preserve"> Percent increase in citizens' reported expectations of the value of contacting GoN officials about citizen priority public goods</w:t>
            </w:r>
          </w:p>
        </w:tc>
      </w:tr>
      <w:tr w:rsidR="000128B7" w:rsidRPr="00105005" w14:paraId="3B58F024"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19610DBE"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759EFAD8" w14:textId="77777777" w:rsidTr="003E583A">
        <w:trPr>
          <w:cantSplit/>
          <w:jc w:val="center"/>
        </w:trPr>
        <w:tc>
          <w:tcPr>
            <w:tcW w:w="10890" w:type="dxa"/>
            <w:tcBorders>
              <w:top w:val="single" w:sz="8" w:space="0" w:color="002A6C"/>
              <w:left w:val="nil"/>
              <w:bottom w:val="single" w:sz="8" w:space="0" w:color="002A6C"/>
              <w:right w:val="nil"/>
            </w:tcBorders>
            <w:shd w:val="clear" w:color="auto" w:fill="D9D9D9" w:themeFill="background1" w:themeFillShade="D9"/>
            <w:vAlign w:val="center"/>
          </w:tcPr>
          <w:p w14:paraId="5E015EC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7575A2BE"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6F0A33E4" w14:textId="3615A0DC"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Public good is a good that is both non-excludable and non-rivalrous in that individuals cannot be effectively excluded from use and where use by one individual does not reduce availability to others. In this indicators, public goods refer to things provided by national and local governments for and to citizens, specifically the public education and health services. The public goods provision process concerns information about national and local governments’ responsibilities, organizational structure in administrating public service delivery, government protocols, and the implementation process. An increase in citizens’ expectation of the value of contacting GoN officials about citizen priority public goods refers to citizens’ perceived confidence in the </w:t>
            </w:r>
            <w:proofErr w:type="spellStart"/>
            <w:r w:rsidRPr="00105005">
              <w:rPr>
                <w:rFonts w:ascii="Times New Roman" w:hAnsi="Times New Roman" w:cs="Times New Roman"/>
                <w:sz w:val="20"/>
                <w:szCs w:val="20"/>
              </w:rPr>
              <w:t>GoN’s</w:t>
            </w:r>
            <w:proofErr w:type="spellEnd"/>
            <w:r w:rsidRPr="00105005">
              <w:rPr>
                <w:rFonts w:ascii="Times New Roman" w:hAnsi="Times New Roman" w:cs="Times New Roman"/>
                <w:sz w:val="20"/>
                <w:szCs w:val="20"/>
              </w:rPr>
              <w:t xml:space="preserve"> willingness to receive input and feedback from citizens regarding public goods provision and its ability to carry out improvements based on citizen feedback.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is the percentage of citizen who perceive that contacting local and/or central government officials is of value or useful?</w:t>
            </w:r>
          </w:p>
        </w:tc>
      </w:tr>
      <w:tr w:rsidR="000128B7" w:rsidRPr="00105005" w14:paraId="0F8BBB69"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3CF1490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0E72FA0D"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7EA15626"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5DA0C5AA"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6BEF7D2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PRG-PA’s contribution to citizens’ expected value of contacting government officials about the public goods provision process. The result will be useful for future program design for both USAID and Counterpart.   </w:t>
            </w:r>
          </w:p>
        </w:tc>
      </w:tr>
      <w:tr w:rsidR="000128B7" w:rsidRPr="00105005" w14:paraId="577819FA" w14:textId="77777777" w:rsidTr="003E583A">
        <w:trPr>
          <w:cantSplit/>
          <w:jc w:val="center"/>
        </w:trPr>
        <w:tc>
          <w:tcPr>
            <w:tcW w:w="10890" w:type="dxa"/>
            <w:tcBorders>
              <w:top w:val="single" w:sz="8" w:space="0" w:color="002A6C"/>
              <w:left w:val="nil"/>
              <w:bottom w:val="single" w:sz="8" w:space="0" w:color="002A6C"/>
              <w:right w:val="nil"/>
            </w:tcBorders>
            <w:shd w:val="clear" w:color="auto" w:fill="D9D9D9" w:themeFill="background1" w:themeFillShade="D9"/>
            <w:vAlign w:val="center"/>
          </w:tcPr>
          <w:p w14:paraId="7BCBE0B2"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7660AFC8"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35897BD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3FCFFBFF"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7644933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7A9BD487"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290331D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5E21C427"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47352D90"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4C7A29DE"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506EFA0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2846EFC8"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05A50F4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1EF424E1"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446983DA"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485D040A" w14:textId="77777777" w:rsidTr="003E583A">
        <w:trPr>
          <w:cantSplit/>
          <w:jc w:val="center"/>
        </w:trPr>
        <w:tc>
          <w:tcPr>
            <w:tcW w:w="10890" w:type="dxa"/>
            <w:tcBorders>
              <w:top w:val="single" w:sz="8" w:space="0" w:color="002A6C"/>
              <w:left w:val="nil"/>
              <w:bottom w:val="single" w:sz="8" w:space="0" w:color="002A6C"/>
              <w:right w:val="nil"/>
            </w:tcBorders>
            <w:shd w:val="clear" w:color="auto" w:fill="D9D9D9" w:themeFill="background1" w:themeFillShade="D9"/>
            <w:vAlign w:val="center"/>
          </w:tcPr>
          <w:p w14:paraId="173787AF"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08AA1697"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3370C7B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6E2AF899" w14:textId="77777777" w:rsidTr="003E583A">
        <w:trPr>
          <w:cantSplit/>
          <w:trHeight w:val="259"/>
          <w:jc w:val="center"/>
        </w:trPr>
        <w:tc>
          <w:tcPr>
            <w:tcW w:w="10890" w:type="dxa"/>
            <w:tcBorders>
              <w:top w:val="single" w:sz="8" w:space="0" w:color="002A6C"/>
              <w:left w:val="nil"/>
              <w:bottom w:val="single" w:sz="8" w:space="0" w:color="002A6C"/>
              <w:right w:val="nil"/>
            </w:tcBorders>
            <w:vAlign w:val="center"/>
          </w:tcPr>
          <w:p w14:paraId="00315C4D"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00AEA75B" w14:textId="77777777" w:rsidR="000128B7" w:rsidRPr="00105005" w:rsidRDefault="000128B7" w:rsidP="0017151D">
            <w:pPr>
              <w:pStyle w:val="TableText"/>
              <w:numPr>
                <w:ilvl w:val="0"/>
                <w:numId w:val="31"/>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4756F612" w14:textId="77777777" w:rsidR="000128B7" w:rsidRPr="00105005" w:rsidRDefault="000128B7" w:rsidP="0017151D">
            <w:pPr>
              <w:pStyle w:val="TableText"/>
              <w:numPr>
                <w:ilvl w:val="0"/>
                <w:numId w:val="31"/>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 xml:space="preserve">Citizens’ </w:t>
            </w:r>
            <w:r w:rsidRPr="00105005">
              <w:rPr>
                <w:rFonts w:ascii="Times New Roman" w:hAnsi="Times New Roman" w:cs="Times New Roman"/>
                <w:sz w:val="20"/>
                <w:szCs w:val="20"/>
              </w:rPr>
              <w:t>expectations of the value of contacting GoN officials about citizen priority public goods</w:t>
            </w:r>
            <w:r w:rsidRPr="00105005">
              <w:rPr>
                <w:rFonts w:ascii="Times New Roman" w:hAnsi="Times New Roman" w:cs="Times New Roman"/>
                <w:bCs/>
                <w:sz w:val="20"/>
                <w:szCs w:val="20"/>
              </w:rPr>
              <w:t xml:space="preserve"> is influenced by many factors, primarily from outside of PRG-PA’s interventions. An increase in citizens’</w:t>
            </w:r>
            <w:r w:rsidRPr="00105005">
              <w:rPr>
                <w:rFonts w:ascii="Times New Roman" w:hAnsi="Times New Roman" w:cs="Times New Roman"/>
                <w:sz w:val="20"/>
                <w:szCs w:val="20"/>
              </w:rPr>
              <w:t xml:space="preserve"> expectations of the value of contacting GoN officials about citizen priority public goods</w:t>
            </w:r>
            <w:r w:rsidRPr="00105005">
              <w:rPr>
                <w:rFonts w:ascii="Times New Roman" w:hAnsi="Times New Roman" w:cs="Times New Roman"/>
                <w:bCs/>
                <w:sz w:val="20"/>
                <w:szCs w:val="20"/>
              </w:rPr>
              <w:t xml:space="preserve"> cannot be directly attributed to our activities. </w:t>
            </w:r>
          </w:p>
        </w:tc>
      </w:tr>
      <w:tr w:rsidR="000128B7" w:rsidRPr="00105005" w14:paraId="1679BC3C"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019005DD"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0D3DA191" w14:textId="77777777" w:rsidR="000128B7" w:rsidRPr="00105005" w:rsidRDefault="000128B7" w:rsidP="0017151D">
            <w:pPr>
              <w:pStyle w:val="TableText"/>
              <w:numPr>
                <w:ilvl w:val="0"/>
                <w:numId w:val="32"/>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106BE696" w14:textId="77777777" w:rsidR="000128B7" w:rsidRPr="00105005" w:rsidRDefault="000128B7" w:rsidP="0017151D">
            <w:pPr>
              <w:pStyle w:val="TableText"/>
              <w:numPr>
                <w:ilvl w:val="0"/>
                <w:numId w:val="32"/>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732DAD35"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5736FA5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468BEE0B"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3A5AC03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5B437FE3" w14:textId="77777777" w:rsidTr="003E583A">
        <w:trPr>
          <w:cantSplit/>
          <w:jc w:val="center"/>
        </w:trPr>
        <w:tc>
          <w:tcPr>
            <w:tcW w:w="10890" w:type="dxa"/>
            <w:tcBorders>
              <w:top w:val="single" w:sz="8" w:space="0" w:color="002A6C"/>
              <w:left w:val="nil"/>
              <w:bottom w:val="single" w:sz="8" w:space="0" w:color="002A6C"/>
              <w:right w:val="nil"/>
            </w:tcBorders>
            <w:shd w:val="clear" w:color="auto" w:fill="D9D9D9" w:themeFill="background1" w:themeFillShade="D9"/>
            <w:vAlign w:val="center"/>
          </w:tcPr>
          <w:p w14:paraId="0137F876"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2F253B58"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478E0A1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5238231E"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42625A8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22A9BDBA" w14:textId="77777777" w:rsidTr="003E583A">
        <w:trPr>
          <w:cantSplit/>
          <w:trHeight w:val="160"/>
          <w:jc w:val="center"/>
        </w:trPr>
        <w:tc>
          <w:tcPr>
            <w:tcW w:w="10890" w:type="dxa"/>
            <w:tcBorders>
              <w:top w:val="single" w:sz="8" w:space="0" w:color="002A6C"/>
              <w:left w:val="nil"/>
              <w:bottom w:val="single" w:sz="8" w:space="0" w:color="002A6C"/>
              <w:right w:val="nil"/>
            </w:tcBorders>
            <w:vAlign w:val="center"/>
          </w:tcPr>
          <w:p w14:paraId="4EA81E9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0D8E3A71"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64E0579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490F1274" w14:textId="77777777" w:rsidTr="003E583A">
        <w:trPr>
          <w:cantSplit/>
          <w:jc w:val="center"/>
        </w:trPr>
        <w:tc>
          <w:tcPr>
            <w:tcW w:w="10890" w:type="dxa"/>
            <w:tcBorders>
              <w:top w:val="single" w:sz="8" w:space="0" w:color="002A6C"/>
              <w:left w:val="nil"/>
              <w:bottom w:val="single" w:sz="8" w:space="0" w:color="002A6C"/>
              <w:right w:val="nil"/>
            </w:tcBorders>
            <w:shd w:val="clear" w:color="auto" w:fill="D9D9D9" w:themeFill="background1" w:themeFillShade="D9"/>
            <w:vAlign w:val="center"/>
          </w:tcPr>
          <w:p w14:paraId="2464C610"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5C3489AF" w14:textId="77777777" w:rsidTr="003E583A">
        <w:trPr>
          <w:cantSplit/>
          <w:trHeight w:val="223"/>
          <w:jc w:val="center"/>
        </w:trPr>
        <w:tc>
          <w:tcPr>
            <w:tcW w:w="10890" w:type="dxa"/>
            <w:tcBorders>
              <w:top w:val="single" w:sz="8" w:space="0" w:color="002A6C"/>
              <w:left w:val="nil"/>
              <w:bottom w:val="single" w:sz="8" w:space="0" w:color="002A6C"/>
              <w:right w:val="nil"/>
            </w:tcBorders>
            <w:vAlign w:val="center"/>
          </w:tcPr>
          <w:p w14:paraId="6243C04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TBD/25%</w:t>
            </w:r>
          </w:p>
        </w:tc>
      </w:tr>
      <w:tr w:rsidR="000128B7" w:rsidRPr="00105005" w14:paraId="2B656218" w14:textId="77777777" w:rsidTr="003E583A">
        <w:trPr>
          <w:cantSplit/>
          <w:jc w:val="center"/>
        </w:trPr>
        <w:tc>
          <w:tcPr>
            <w:tcW w:w="10890" w:type="dxa"/>
            <w:tcBorders>
              <w:top w:val="single" w:sz="8" w:space="0" w:color="002A6C"/>
              <w:left w:val="nil"/>
              <w:bottom w:val="single" w:sz="8" w:space="0" w:color="002A6C"/>
              <w:right w:val="nil"/>
            </w:tcBorders>
            <w:vAlign w:val="center"/>
          </w:tcPr>
          <w:p w14:paraId="6692DE4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68BCB57C" w14:textId="77777777" w:rsidTr="003E583A">
        <w:trPr>
          <w:cantSplit/>
          <w:jc w:val="center"/>
        </w:trPr>
        <w:tc>
          <w:tcPr>
            <w:tcW w:w="10890" w:type="dxa"/>
            <w:tcBorders>
              <w:top w:val="single" w:sz="8" w:space="0" w:color="002A6C"/>
              <w:left w:val="nil"/>
              <w:bottom w:val="single" w:sz="8" w:space="0" w:color="002A6C"/>
              <w:right w:val="nil"/>
            </w:tcBorders>
            <w:shd w:val="clear" w:color="auto" w:fill="D9D9D9" w:themeFill="background1" w:themeFillShade="D9"/>
            <w:vAlign w:val="center"/>
          </w:tcPr>
          <w:p w14:paraId="6B70FD9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2A8B422C"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1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1070"/>
      </w:tblGrid>
      <w:tr w:rsidR="000128B7" w:rsidRPr="00105005" w14:paraId="43F1AA6D" w14:textId="77777777" w:rsidTr="003E583A">
        <w:trPr>
          <w:cantSplit/>
          <w:jc w:val="center"/>
        </w:trPr>
        <w:tc>
          <w:tcPr>
            <w:tcW w:w="11070" w:type="dxa"/>
            <w:tcBorders>
              <w:top w:val="single" w:sz="12" w:space="0" w:color="002A6C"/>
              <w:left w:val="nil"/>
              <w:bottom w:val="single" w:sz="8" w:space="0" w:color="002A6C"/>
              <w:right w:val="nil"/>
            </w:tcBorders>
            <w:shd w:val="clear" w:color="auto" w:fill="000000" w:themeFill="text1"/>
            <w:vAlign w:val="center"/>
          </w:tcPr>
          <w:p w14:paraId="3B764995"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6368020E"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2923F483"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7F094B19"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2823C355" w14:textId="77777777" w:rsidR="000128B7" w:rsidRPr="00105005" w:rsidRDefault="000128B7" w:rsidP="000128B7">
            <w:pPr>
              <w:rPr>
                <w:i/>
                <w:iCs/>
                <w:sz w:val="20"/>
                <w:szCs w:val="20"/>
              </w:rPr>
            </w:pPr>
            <w:r w:rsidRPr="00105005">
              <w:rPr>
                <w:b/>
                <w:sz w:val="20"/>
                <w:szCs w:val="20"/>
              </w:rPr>
              <w:t>Name of Indicator (2.8</w:t>
            </w:r>
            <w:r w:rsidRPr="00105005">
              <w:rPr>
                <w:b/>
                <w:bCs/>
                <w:sz w:val="20"/>
                <w:szCs w:val="20"/>
              </w:rPr>
              <w:t>):</w:t>
            </w:r>
            <w:r w:rsidRPr="00105005">
              <w:rPr>
                <w:sz w:val="20"/>
                <w:szCs w:val="20"/>
              </w:rPr>
              <w:t xml:space="preserve"> Percent of citizens who report willingness to contact government officials (e.g., local and national representatives) to call for provision of priority public goods</w:t>
            </w:r>
          </w:p>
        </w:tc>
      </w:tr>
      <w:tr w:rsidR="000128B7" w:rsidRPr="00105005" w14:paraId="7B7170DA"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2292F944"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7EE73D96"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4A03628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1A964BCA"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0832A951" w14:textId="41BEE2D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Public good is a good that is both non-excludable and non-rivalrous in that individuals cannot be effectively excluded from use and where use by one individual does not reduce availability to others. In this indicators, public goods refer to things provided by national and local governments for and to citizens, specifically the public education and health services. The public goods provision process concerns information about national and local governments’ responsibilities, organizational structure in administrating public service delivery, government protocols, and the implementation process. An increase in citizens’ willingness to contact GoN officials about citizen priority public goods provision is an indication of their potential actions to raise their opinions to government officials to demand quality and timely government service.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w:t>
            </w:r>
            <w:r w:rsidRPr="00105005">
              <w:rPr>
                <w:rStyle w:val="CommentReference"/>
                <w:rFonts w:ascii="Times New Roman" w:eastAsiaTheme="minorEastAsia" w:hAnsi="Times New Roman" w:cs="Times New Roman"/>
                <w:sz w:val="20"/>
                <w:szCs w:val="20"/>
              </w:rPr>
              <w:t>:</w:t>
            </w:r>
            <w:r w:rsidRPr="00105005">
              <w:rPr>
                <w:rFonts w:ascii="Times New Roman" w:hAnsi="Times New Roman" w:cs="Times New Roman"/>
                <w:sz w:val="20"/>
                <w:szCs w:val="20"/>
              </w:rPr>
              <w:t xml:space="preserve"> What is the percentage of citizens willing to contact government officials (local and national representatives) to call for provision of what the respondent perceive as priority public service? </w:t>
            </w:r>
          </w:p>
        </w:tc>
      </w:tr>
      <w:tr w:rsidR="000128B7" w:rsidRPr="00105005" w14:paraId="26ABD111"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12E6432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5CA78183"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28804A1A"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755CB28C"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2120760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PRG-PA’s contribution to citizens’ willingness to contact government officials about the public goods provision process. The result will be useful for future program design for both USAID and Counterpart.   </w:t>
            </w:r>
          </w:p>
        </w:tc>
      </w:tr>
      <w:tr w:rsidR="000128B7" w:rsidRPr="00105005" w14:paraId="624EA5D7"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003A940F"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07CBE546"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7E3D114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67E37BEE"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34276F3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7CB72938"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1D16549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5C827E35"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19B554CA"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038E73A5"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1530934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47E7E6F3"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0AF72F8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0FC57C83"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2693D0FF"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78791324"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26467812"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52E9972E"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57E04CA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7AF6C231" w14:textId="77777777" w:rsidTr="003E583A">
        <w:trPr>
          <w:cantSplit/>
          <w:trHeight w:val="259"/>
          <w:jc w:val="center"/>
        </w:trPr>
        <w:tc>
          <w:tcPr>
            <w:tcW w:w="11070" w:type="dxa"/>
            <w:tcBorders>
              <w:top w:val="single" w:sz="8" w:space="0" w:color="002A6C"/>
              <w:left w:val="nil"/>
              <w:bottom w:val="single" w:sz="8" w:space="0" w:color="002A6C"/>
              <w:right w:val="nil"/>
            </w:tcBorders>
            <w:vAlign w:val="center"/>
          </w:tcPr>
          <w:p w14:paraId="6659AADB"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18FC8A06" w14:textId="77777777" w:rsidR="000128B7" w:rsidRPr="00105005" w:rsidRDefault="000128B7" w:rsidP="0017151D">
            <w:pPr>
              <w:pStyle w:val="TableText"/>
              <w:numPr>
                <w:ilvl w:val="0"/>
                <w:numId w:val="33"/>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2B47C253" w14:textId="77777777" w:rsidR="000128B7" w:rsidRPr="00105005" w:rsidRDefault="000128B7" w:rsidP="0017151D">
            <w:pPr>
              <w:pStyle w:val="TableText"/>
              <w:numPr>
                <w:ilvl w:val="0"/>
                <w:numId w:val="33"/>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 xml:space="preserve">Citizens’ </w:t>
            </w:r>
            <w:r w:rsidRPr="00105005">
              <w:rPr>
                <w:rFonts w:ascii="Times New Roman" w:hAnsi="Times New Roman" w:cs="Times New Roman"/>
                <w:sz w:val="20"/>
                <w:szCs w:val="20"/>
              </w:rPr>
              <w:t>willingness to contact government officials</w:t>
            </w:r>
            <w:r w:rsidRPr="00105005">
              <w:rPr>
                <w:rFonts w:ascii="Times New Roman" w:hAnsi="Times New Roman" w:cs="Times New Roman"/>
                <w:bCs/>
                <w:sz w:val="20"/>
                <w:szCs w:val="20"/>
              </w:rPr>
              <w:t xml:space="preserve"> about the public goods provision process is influenced by many factors, primarily from outside of PRG-PA’s interventions. An increase in citizens’ </w:t>
            </w:r>
            <w:r w:rsidRPr="00105005">
              <w:rPr>
                <w:rFonts w:ascii="Times New Roman" w:hAnsi="Times New Roman" w:cs="Times New Roman"/>
                <w:sz w:val="20"/>
                <w:szCs w:val="20"/>
              </w:rPr>
              <w:t>willingness to contact government officials</w:t>
            </w:r>
            <w:r w:rsidRPr="00105005">
              <w:rPr>
                <w:rFonts w:ascii="Times New Roman" w:hAnsi="Times New Roman" w:cs="Times New Roman"/>
                <w:bCs/>
                <w:sz w:val="20"/>
                <w:szCs w:val="20"/>
              </w:rPr>
              <w:t xml:space="preserve"> about the public goods provision process cannot be directly attributed to our activities. </w:t>
            </w:r>
          </w:p>
        </w:tc>
      </w:tr>
      <w:tr w:rsidR="000128B7" w:rsidRPr="00105005" w14:paraId="58DE25FD"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6784BC0C"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6A2F0813" w14:textId="77777777" w:rsidR="000128B7" w:rsidRPr="00105005" w:rsidRDefault="000128B7" w:rsidP="0017151D">
            <w:pPr>
              <w:pStyle w:val="TableText"/>
              <w:numPr>
                <w:ilvl w:val="0"/>
                <w:numId w:val="44"/>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2955BA70" w14:textId="77777777" w:rsidR="000128B7" w:rsidRPr="00105005" w:rsidRDefault="000128B7" w:rsidP="0017151D">
            <w:pPr>
              <w:pStyle w:val="TableText"/>
              <w:numPr>
                <w:ilvl w:val="0"/>
                <w:numId w:val="44"/>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6B703714"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5D6449C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0B5C4C7B"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4AFDF2E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592A0F3F"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6EEEC5E0"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00E91F29"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3D97BAE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31575888"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0A5D1E1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43227FE7" w14:textId="77777777" w:rsidTr="003E583A">
        <w:trPr>
          <w:cantSplit/>
          <w:trHeight w:val="160"/>
          <w:jc w:val="center"/>
        </w:trPr>
        <w:tc>
          <w:tcPr>
            <w:tcW w:w="11070" w:type="dxa"/>
            <w:tcBorders>
              <w:top w:val="single" w:sz="8" w:space="0" w:color="002A6C"/>
              <w:left w:val="nil"/>
              <w:bottom w:val="single" w:sz="8" w:space="0" w:color="002A6C"/>
              <w:right w:val="nil"/>
            </w:tcBorders>
            <w:vAlign w:val="center"/>
          </w:tcPr>
          <w:p w14:paraId="7EEC1D0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77DEFFA5"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1D91A7C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0EB154C0"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4102422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40729638" w14:textId="77777777" w:rsidTr="003E583A">
        <w:trPr>
          <w:cantSplit/>
          <w:trHeight w:val="223"/>
          <w:jc w:val="center"/>
        </w:trPr>
        <w:tc>
          <w:tcPr>
            <w:tcW w:w="11070" w:type="dxa"/>
            <w:tcBorders>
              <w:top w:val="single" w:sz="8" w:space="0" w:color="002A6C"/>
              <w:left w:val="nil"/>
              <w:bottom w:val="single" w:sz="8" w:space="0" w:color="002A6C"/>
              <w:right w:val="nil"/>
            </w:tcBorders>
            <w:vAlign w:val="center"/>
          </w:tcPr>
          <w:p w14:paraId="440CF72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TBD/70%</w:t>
            </w:r>
          </w:p>
        </w:tc>
      </w:tr>
      <w:tr w:rsidR="000128B7" w:rsidRPr="00105005" w14:paraId="33EC1D4F" w14:textId="77777777" w:rsidTr="003E583A">
        <w:trPr>
          <w:cantSplit/>
          <w:jc w:val="center"/>
        </w:trPr>
        <w:tc>
          <w:tcPr>
            <w:tcW w:w="11070" w:type="dxa"/>
            <w:tcBorders>
              <w:top w:val="single" w:sz="8" w:space="0" w:color="002A6C"/>
              <w:left w:val="nil"/>
              <w:bottom w:val="single" w:sz="8" w:space="0" w:color="002A6C"/>
              <w:right w:val="nil"/>
            </w:tcBorders>
            <w:vAlign w:val="center"/>
          </w:tcPr>
          <w:p w14:paraId="06F9B04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5669D047" w14:textId="77777777" w:rsidTr="003E583A">
        <w:trPr>
          <w:cantSplit/>
          <w:jc w:val="center"/>
        </w:trPr>
        <w:tc>
          <w:tcPr>
            <w:tcW w:w="11070" w:type="dxa"/>
            <w:tcBorders>
              <w:top w:val="single" w:sz="8" w:space="0" w:color="002A6C"/>
              <w:left w:val="nil"/>
              <w:bottom w:val="single" w:sz="8" w:space="0" w:color="002A6C"/>
              <w:right w:val="nil"/>
            </w:tcBorders>
            <w:shd w:val="clear" w:color="auto" w:fill="D9D9D9" w:themeFill="background1" w:themeFillShade="D9"/>
            <w:vAlign w:val="center"/>
          </w:tcPr>
          <w:p w14:paraId="042D3C2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34681666"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09A44048"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18302265"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03860C2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D42B77C"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42B5CF2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88C2009" w14:textId="77777777" w:rsidR="000128B7" w:rsidRPr="00105005" w:rsidRDefault="000128B7" w:rsidP="000128B7">
            <w:pPr>
              <w:rPr>
                <w:i/>
                <w:iCs/>
                <w:sz w:val="20"/>
                <w:szCs w:val="20"/>
              </w:rPr>
            </w:pPr>
            <w:r w:rsidRPr="00105005">
              <w:rPr>
                <w:b/>
                <w:sz w:val="20"/>
                <w:szCs w:val="20"/>
              </w:rPr>
              <w:t>Name of Indicator (2.9</w:t>
            </w:r>
            <w:r w:rsidRPr="00105005">
              <w:rPr>
                <w:b/>
                <w:bCs/>
                <w:sz w:val="20"/>
                <w:szCs w:val="20"/>
              </w:rPr>
              <w:t>):</w:t>
            </w:r>
            <w:r w:rsidRPr="00105005">
              <w:rPr>
                <w:sz w:val="20"/>
                <w:szCs w:val="20"/>
              </w:rPr>
              <w:t xml:space="preserve"> Percent of citizens who report that CSO/citizen advocacy on targeted citizen priorities is effective</w:t>
            </w:r>
          </w:p>
        </w:tc>
      </w:tr>
      <w:tr w:rsidR="000128B7" w:rsidRPr="00105005" w14:paraId="2CC30DA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3D851B2"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70E955F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1EFA066"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6D5B9DD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2951BE3" w14:textId="02BCDF24"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Targeted citizen priorities will be identified through multi-stakeholder dialogues and be advocated for by PRG-PA partners/grantees.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is the percentage of citizens who perceive that current advocacy endeavors on targeted citizens’ priorities is effective? </w:t>
            </w:r>
          </w:p>
        </w:tc>
      </w:tr>
      <w:tr w:rsidR="000128B7" w:rsidRPr="00105005" w14:paraId="784AFFA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EC435A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163CBF5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03E046D"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6EFF4F0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384215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increase or decrease in citizens’ perception regarding the effectiveness of CSO/citizen advocacy on targeted citizen priorities. The result will be useful for future program design for both USAID and Counterpart.   </w:t>
            </w:r>
          </w:p>
        </w:tc>
      </w:tr>
      <w:tr w:rsidR="000128B7" w:rsidRPr="00105005" w14:paraId="789D12A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386E21B"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568DE47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CE2742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2EB27EF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C817D5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3AB386B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0BCEBE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675D9C7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442F27F"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3535077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D48997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42E40BD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E6CE6E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593531B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1A7B0C4"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6DFBE0D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8C1CDA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07FFD47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2ECF85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0A580CEA"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7C875968"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6F7DEC1B" w14:textId="77777777" w:rsidR="000128B7" w:rsidRPr="00105005" w:rsidRDefault="000128B7" w:rsidP="0017151D">
            <w:pPr>
              <w:pStyle w:val="TableText"/>
              <w:numPr>
                <w:ilvl w:val="0"/>
                <w:numId w:val="34"/>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4CD7B56E" w14:textId="77777777" w:rsidR="000128B7" w:rsidRPr="00105005" w:rsidRDefault="000128B7" w:rsidP="0017151D">
            <w:pPr>
              <w:pStyle w:val="TableText"/>
              <w:numPr>
                <w:ilvl w:val="0"/>
                <w:numId w:val="34"/>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 xml:space="preserve">The overall effectiveness of CSO/citizen advocacy on citizen priorities is influenced by many factors, primarily from outside of PRG-PA’s interventions. An increase in citizens’ </w:t>
            </w:r>
            <w:r w:rsidRPr="00105005">
              <w:rPr>
                <w:rFonts w:ascii="Times New Roman" w:hAnsi="Times New Roman" w:cs="Times New Roman"/>
                <w:sz w:val="20"/>
                <w:szCs w:val="20"/>
              </w:rPr>
              <w:t xml:space="preserve">perception of the effectiveness of the CSO/citizen advocacy </w:t>
            </w:r>
            <w:r w:rsidRPr="00105005">
              <w:rPr>
                <w:rFonts w:ascii="Times New Roman" w:hAnsi="Times New Roman" w:cs="Times New Roman"/>
                <w:bCs/>
                <w:sz w:val="20"/>
                <w:szCs w:val="20"/>
              </w:rPr>
              <w:t xml:space="preserve">cannot be directly attributed to our activities. </w:t>
            </w:r>
          </w:p>
        </w:tc>
      </w:tr>
      <w:tr w:rsidR="000128B7" w:rsidRPr="00105005" w14:paraId="109F3A3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EF41937"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25783344" w14:textId="77777777" w:rsidR="000128B7" w:rsidRPr="00105005" w:rsidRDefault="000128B7" w:rsidP="0017151D">
            <w:pPr>
              <w:pStyle w:val="TableText"/>
              <w:numPr>
                <w:ilvl w:val="0"/>
                <w:numId w:val="35"/>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0F537AEB" w14:textId="77777777" w:rsidR="000128B7" w:rsidRPr="00105005" w:rsidRDefault="000128B7" w:rsidP="0017151D">
            <w:pPr>
              <w:pStyle w:val="TableText"/>
              <w:numPr>
                <w:ilvl w:val="0"/>
                <w:numId w:val="35"/>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020E0E1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789870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3B72D8F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03EFCB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652C5C3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FF9974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4F15346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1D9E43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53908EC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B890BA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455F4771"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6BC37B5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28BC659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34492B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0A3AFB8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E9160C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59A0C0FC"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13D125B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TBD/70%</w:t>
            </w:r>
          </w:p>
        </w:tc>
      </w:tr>
      <w:tr w:rsidR="000128B7" w:rsidRPr="00105005" w14:paraId="4E05622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71865C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10987D3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F934A5C"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45099AD9"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6A97A836"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1C86632E"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1038910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71D0AEA" w14:textId="77777777" w:rsidR="000128B7" w:rsidRPr="00105005" w:rsidRDefault="000128B7" w:rsidP="000128B7">
            <w:pPr>
              <w:rPr>
                <w:sz w:val="20"/>
                <w:szCs w:val="20"/>
              </w:rPr>
            </w:pPr>
            <w:r w:rsidRPr="00105005">
              <w:rPr>
                <w:b/>
                <w:sz w:val="20"/>
                <w:szCs w:val="20"/>
              </w:rPr>
              <w:t xml:space="preserve">Outcome 2: </w:t>
            </w:r>
            <w:r w:rsidRPr="00105005">
              <w:rPr>
                <w:sz w:val="20"/>
                <w:szCs w:val="20"/>
              </w:rPr>
              <w:t>Informed multi-stakeholder (government and non-government) contribution to specific elements of reform implementation for targeted citizen priorities</w:t>
            </w:r>
          </w:p>
        </w:tc>
      </w:tr>
      <w:tr w:rsidR="000128B7" w:rsidRPr="00105005" w14:paraId="4485822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5212B42" w14:textId="77777777" w:rsidR="000128B7" w:rsidRPr="00105005" w:rsidRDefault="000128B7" w:rsidP="000128B7">
            <w:pPr>
              <w:rPr>
                <w:i/>
                <w:iCs/>
                <w:sz w:val="20"/>
                <w:szCs w:val="20"/>
              </w:rPr>
            </w:pPr>
            <w:r w:rsidRPr="00105005">
              <w:rPr>
                <w:b/>
                <w:sz w:val="20"/>
                <w:szCs w:val="20"/>
              </w:rPr>
              <w:t>Name of Indicator (2.10</w:t>
            </w:r>
            <w:r w:rsidRPr="00105005">
              <w:rPr>
                <w:b/>
                <w:bCs/>
                <w:sz w:val="20"/>
                <w:szCs w:val="20"/>
              </w:rPr>
              <w:t>):</w:t>
            </w:r>
            <w:r w:rsidRPr="00105005">
              <w:rPr>
                <w:sz w:val="20"/>
                <w:szCs w:val="20"/>
              </w:rPr>
              <w:t xml:space="preserve"> Percent increase in the number of citizens who report use of mechanisms for external oversight of public resource use</w:t>
            </w:r>
          </w:p>
        </w:tc>
      </w:tr>
      <w:tr w:rsidR="000128B7" w:rsidRPr="00105005" w14:paraId="71F9B78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0DE0F31"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3910223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40258A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47C2895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AFE45A4" w14:textId="29578160"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w:t>
            </w:r>
            <w:r w:rsidRPr="00105005">
              <w:rPr>
                <w:rFonts w:ascii="Times New Roman" w:hAnsi="Times New Roman" w:cs="Times New Roman"/>
                <w:bCs/>
                <w:sz w:val="20"/>
                <w:szCs w:val="20"/>
              </w:rPr>
              <w:t>Mechanisms for external oversight include external audits or procedures for external review of government audits; procurement review boards; public expenditure tracking surveys; public accounts committees of legislatures; extractive industry revenue transparency mechanisms; freedom of information and similar transparency laws, if applicable to government finance management; civil society review mechanisms for budget implementation and/or procurements; financial disclosure mechanisms for officials or parties/candidates.</w:t>
            </w:r>
            <w:r w:rsidRPr="00105005">
              <w:rPr>
                <w:rFonts w:ascii="Times New Roman" w:hAnsi="Times New Roman" w:cs="Times New Roman"/>
                <w:sz w:val="20"/>
                <w:szCs w:val="20"/>
              </w:rPr>
              <w:t xml:space="preserve">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percentage of citizens use mechanisms for external oversight of public resource use?  </w:t>
            </w:r>
          </w:p>
        </w:tc>
      </w:tr>
      <w:tr w:rsidR="000128B7" w:rsidRPr="00105005" w14:paraId="11DC31E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D1C4DA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499564E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774094B"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57F4E73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34DBA6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PRG-PA’s contribution to citizens’ use of mechanisms for external oversight of public resource use. The result will be useful for future program design for both USAID and Counterpart.   </w:t>
            </w:r>
          </w:p>
        </w:tc>
      </w:tr>
      <w:tr w:rsidR="000128B7" w:rsidRPr="00105005" w14:paraId="7734B33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9582FF5"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0FAA752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BCBACA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044CDA9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95C484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6A8D3F5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36A280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6BF4D3F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7C50244"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657BB27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A74FF8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7289FF3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57B341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0154C9A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30FD46B"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1CE3923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CC857F8"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172AB44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6C69F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648A6991"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5C524A0D"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5BEFBB26" w14:textId="77777777" w:rsidR="000128B7" w:rsidRPr="00105005" w:rsidRDefault="000128B7" w:rsidP="0017151D">
            <w:pPr>
              <w:pStyle w:val="TableText"/>
              <w:numPr>
                <w:ilvl w:val="0"/>
                <w:numId w:val="36"/>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16EB8643" w14:textId="77777777" w:rsidR="000128B7" w:rsidRPr="00105005" w:rsidRDefault="000128B7" w:rsidP="0017151D">
            <w:pPr>
              <w:pStyle w:val="TableText"/>
              <w:numPr>
                <w:ilvl w:val="0"/>
                <w:numId w:val="36"/>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Citizens’ use of mechanisms for external oversight of public resource use is influenced by many factors, primarily from outside of PRG-PA’s interventions. An increase in citizens’ use of mechanisms for external oversight of public resource use</w:t>
            </w:r>
            <w:r w:rsidRPr="00105005">
              <w:rPr>
                <w:rFonts w:ascii="Times New Roman" w:hAnsi="Times New Roman" w:cs="Times New Roman"/>
                <w:sz w:val="20"/>
                <w:szCs w:val="20"/>
              </w:rPr>
              <w:t xml:space="preserve"> </w:t>
            </w:r>
            <w:r w:rsidRPr="00105005">
              <w:rPr>
                <w:rFonts w:ascii="Times New Roman" w:hAnsi="Times New Roman" w:cs="Times New Roman"/>
                <w:bCs/>
                <w:sz w:val="20"/>
                <w:szCs w:val="20"/>
              </w:rPr>
              <w:t xml:space="preserve">cannot be directly attributed to our activities. </w:t>
            </w:r>
          </w:p>
        </w:tc>
      </w:tr>
      <w:tr w:rsidR="000128B7" w:rsidRPr="00105005" w14:paraId="1A7E2E4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D00C67B"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11CB1841" w14:textId="77777777" w:rsidR="000128B7" w:rsidRPr="00105005" w:rsidRDefault="000128B7" w:rsidP="0017151D">
            <w:pPr>
              <w:pStyle w:val="TableText"/>
              <w:numPr>
                <w:ilvl w:val="0"/>
                <w:numId w:val="37"/>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376E389A" w14:textId="77777777" w:rsidR="000128B7" w:rsidRPr="00105005" w:rsidRDefault="000128B7" w:rsidP="0017151D">
            <w:pPr>
              <w:pStyle w:val="TableText"/>
              <w:numPr>
                <w:ilvl w:val="0"/>
                <w:numId w:val="37"/>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1817DB0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5C16A4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63D9DCC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3A40E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5420C89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7F8855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22ABA63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8BBAB6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6B18364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E14B2B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280EB8D1"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1AE6EC9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1FDF005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7D4F59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537C381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91C086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7C0CFC23"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5F813CF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TBD/25%</w:t>
            </w:r>
          </w:p>
        </w:tc>
      </w:tr>
      <w:tr w:rsidR="000128B7" w:rsidRPr="00105005" w14:paraId="26004E0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931C93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32839587"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4BDDAE6"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7D0C2C23"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260EEF89"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57064196"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208CDC3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6081EA8" w14:textId="77777777" w:rsidR="000128B7" w:rsidRPr="00105005" w:rsidRDefault="000128B7" w:rsidP="000128B7">
            <w:pPr>
              <w:rPr>
                <w:sz w:val="20"/>
                <w:szCs w:val="20"/>
              </w:rPr>
            </w:pPr>
            <w:r w:rsidRPr="00105005">
              <w:rPr>
                <w:b/>
                <w:sz w:val="20"/>
                <w:szCs w:val="20"/>
              </w:rPr>
              <w:t xml:space="preserve">Outcome 3: </w:t>
            </w:r>
            <w:r w:rsidRPr="00105005">
              <w:rPr>
                <w:sz w:val="20"/>
                <w:szCs w:val="20"/>
              </w:rPr>
              <w:t>Increased capacity of key actors to promote collective action</w:t>
            </w:r>
          </w:p>
        </w:tc>
      </w:tr>
      <w:tr w:rsidR="000128B7" w:rsidRPr="00105005" w14:paraId="63AC573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6E9D565" w14:textId="77777777" w:rsidR="000128B7" w:rsidRPr="00105005" w:rsidRDefault="000128B7" w:rsidP="000128B7">
            <w:pPr>
              <w:rPr>
                <w:i/>
                <w:iCs/>
                <w:sz w:val="20"/>
                <w:szCs w:val="20"/>
              </w:rPr>
            </w:pPr>
            <w:r w:rsidRPr="00105005">
              <w:rPr>
                <w:b/>
                <w:sz w:val="20"/>
                <w:szCs w:val="20"/>
              </w:rPr>
              <w:t>Name of Indicator (3.1</w:t>
            </w:r>
            <w:r w:rsidRPr="00105005">
              <w:rPr>
                <w:b/>
                <w:bCs/>
                <w:sz w:val="20"/>
                <w:szCs w:val="20"/>
              </w:rPr>
              <w:t>):</w:t>
            </w:r>
            <w:r w:rsidRPr="00105005">
              <w:rPr>
                <w:sz w:val="20"/>
                <w:szCs w:val="20"/>
              </w:rPr>
              <w:t xml:space="preserve"> Number of organizations with improved organizational capacity in conducting PEA per Counterpart's OD Assessment</w:t>
            </w:r>
          </w:p>
        </w:tc>
      </w:tr>
      <w:tr w:rsidR="000128B7" w:rsidRPr="00105005" w14:paraId="1A94A5D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59B86F1"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61E7B7B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3AAFE39"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0A28EFF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18077C6" w14:textId="77777777"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“Organizations” in this indicator refer to PRG-PA’s key partners that will receive training on how to conduct action research in support of advocacy and accountability campaigns. These organizations will engage in Counterpart’s organizational development assessment and have specific organizational development/institutional strengthening goals. Increased organizational capacity refers to an increase of at least one point overall across the six functional areas (leadership and strategic management; program management and quality control; accounting and financial management; financial sustainability; human and material resources; and external relations and communications) between the target organization’s different assessment scores. Whether this score increases or decreases, it will be tracked and reported. This indicator will be disaggregated by new versus continuing for the LoP:</w:t>
            </w:r>
          </w:p>
          <w:p w14:paraId="087F9D8E" w14:textId="77777777" w:rsidR="000128B7" w:rsidRPr="00105005" w:rsidRDefault="000128B7" w:rsidP="0017151D">
            <w:pPr>
              <w:pStyle w:val="TableText"/>
              <w:numPr>
                <w:ilvl w:val="0"/>
                <w:numId w:val="20"/>
              </w:numPr>
              <w:rPr>
                <w:rFonts w:ascii="Times New Roman" w:hAnsi="Times New Roman" w:cs="Times New Roman"/>
                <w:sz w:val="20"/>
                <w:szCs w:val="20"/>
              </w:rPr>
            </w:pPr>
            <w:r w:rsidRPr="00105005">
              <w:rPr>
                <w:rFonts w:ascii="Times New Roman" w:hAnsi="Times New Roman" w:cs="Times New Roman"/>
                <w:sz w:val="20"/>
                <w:szCs w:val="20"/>
              </w:rPr>
              <w:t>New = this reporting period is the first time that an organization has improved organizational capacity</w:t>
            </w:r>
          </w:p>
          <w:p w14:paraId="22CC1406" w14:textId="77777777" w:rsidR="000128B7" w:rsidRPr="00105005" w:rsidRDefault="000128B7" w:rsidP="0017151D">
            <w:pPr>
              <w:pStyle w:val="TableText"/>
              <w:numPr>
                <w:ilvl w:val="0"/>
                <w:numId w:val="20"/>
              </w:numPr>
              <w:rPr>
                <w:rFonts w:ascii="Times New Roman" w:hAnsi="Times New Roman" w:cs="Times New Roman"/>
                <w:sz w:val="20"/>
                <w:szCs w:val="20"/>
              </w:rPr>
            </w:pPr>
            <w:r w:rsidRPr="00105005">
              <w:rPr>
                <w:rFonts w:ascii="Times New Roman" w:hAnsi="Times New Roman" w:cs="Times New Roman"/>
                <w:sz w:val="20"/>
                <w:szCs w:val="20"/>
              </w:rPr>
              <w:t>Continuing = this organization has improved organizational capacity in previous program periods</w:t>
            </w:r>
          </w:p>
        </w:tc>
      </w:tr>
      <w:tr w:rsidR="000128B7" w:rsidRPr="00105005" w14:paraId="3F048B1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F89A82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Number of organizations</w:t>
            </w:r>
          </w:p>
        </w:tc>
      </w:tr>
      <w:tr w:rsidR="000128B7" w:rsidRPr="00105005" w14:paraId="772D22E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C59415C"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Sector; Sub-sector; Third-level administrative division; Functional area</w:t>
            </w:r>
          </w:p>
        </w:tc>
      </w:tr>
      <w:tr w:rsidR="000128B7" w:rsidRPr="00105005" w14:paraId="35F8537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9A04EB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By providing capacity building in PEA principles, PRG-PA will enable partners and grantees to apply PEA in their advocacy, community mobilization, and accountability campaigns to encourage citizens, government officials, media, and private sector actors to identify constructive, locally-driven solutions in support of their development priorities. This indicator directly addresses the improvement in overall capacity of target organizations and will demonstrate if training and capacity building support are effective in increasing overall organizational capacity across the six functional areas in the assessment.    </w:t>
            </w:r>
          </w:p>
        </w:tc>
      </w:tr>
      <w:tr w:rsidR="000128B7" w:rsidRPr="00105005" w14:paraId="4943C588"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2A7C52B"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6FBF30F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7FDD41D" w14:textId="4A8D3AA6"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bCs/>
                <w:sz w:val="20"/>
                <w:szCs w:val="20"/>
              </w:rPr>
              <w:t xml:space="preserve">Comparison of different assessment scores per organization and tallying organizations that increase by at least one point from the baseline to </w:t>
            </w:r>
            <w:r w:rsidR="00DD3CAE" w:rsidRPr="00105005">
              <w:rPr>
                <w:rFonts w:ascii="Times New Roman" w:hAnsi="Times New Roman" w:cs="Times New Roman"/>
                <w:bCs/>
                <w:sz w:val="20"/>
                <w:szCs w:val="20"/>
              </w:rPr>
              <w:t>end line</w:t>
            </w:r>
          </w:p>
        </w:tc>
      </w:tr>
      <w:tr w:rsidR="000128B7" w:rsidRPr="00105005" w14:paraId="2BED564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4C6DBD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Counterpart</w:t>
            </w:r>
          </w:p>
        </w:tc>
      </w:tr>
      <w:tr w:rsidR="000128B7" w:rsidRPr="00105005" w14:paraId="45A0944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B137C9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sz w:val="20"/>
                <w:szCs w:val="20"/>
              </w:rPr>
              <w:t>TBD with program</w:t>
            </w:r>
          </w:p>
        </w:tc>
      </w:tr>
      <w:tr w:rsidR="000128B7" w:rsidRPr="00105005" w14:paraId="20F8FB3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C659B06"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2E95D5A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ACB26A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45F67B5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532B92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1C8C66F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BE78956"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 OD Assessment records</w:t>
            </w:r>
          </w:p>
        </w:tc>
      </w:tr>
      <w:tr w:rsidR="000128B7" w:rsidRPr="00105005" w14:paraId="034973F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156A01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5D10694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3F1C49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68408CAD"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59A34951"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359E871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F61CA67"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153CF48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B0731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758F565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E7CD1F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2C9AD72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6F0BD4C"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0647027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B3D35D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6537184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D36AA7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w:t>
            </w:r>
          </w:p>
        </w:tc>
      </w:tr>
      <w:tr w:rsidR="000128B7" w:rsidRPr="00105005" w14:paraId="2B69B9D7"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0DAC70A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when OD assessment is conducted</w:t>
            </w:r>
          </w:p>
        </w:tc>
      </w:tr>
      <w:tr w:rsidR="000128B7" w:rsidRPr="00105005" w14:paraId="5226EC3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20B2F6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the Quarterly Report when OD assessment is conducted as part of the PMP Annex.  It will also be described in the quarterly narrative.</w:t>
            </w:r>
          </w:p>
        </w:tc>
      </w:tr>
      <w:tr w:rsidR="000128B7" w:rsidRPr="00105005" w14:paraId="45AE4EA8"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3A400937"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36F44A6C"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4B0C6E6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0/20</w:t>
            </w:r>
          </w:p>
        </w:tc>
      </w:tr>
      <w:tr w:rsidR="000128B7" w:rsidRPr="00105005" w14:paraId="7987936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4D7E56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Implementation benchmarks of mechanisms will be set according to partners’/grantees’ action plans</w:t>
            </w:r>
          </w:p>
        </w:tc>
      </w:tr>
      <w:tr w:rsidR="000128B7" w:rsidRPr="00105005" w14:paraId="580CDBA3"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12EB61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0052CE0A"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21EAB192"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03B7169A"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0DC20AD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3AAE28D" w14:textId="77777777" w:rsidR="000128B7" w:rsidRPr="00105005" w:rsidRDefault="000128B7" w:rsidP="000128B7">
            <w:pPr>
              <w:rPr>
                <w:sz w:val="20"/>
                <w:szCs w:val="20"/>
              </w:rPr>
            </w:pPr>
            <w:r w:rsidRPr="00105005">
              <w:rPr>
                <w:b/>
                <w:sz w:val="20"/>
                <w:szCs w:val="20"/>
              </w:rPr>
              <w:t xml:space="preserve">Outcome 3: </w:t>
            </w:r>
            <w:r w:rsidRPr="00105005">
              <w:rPr>
                <w:sz w:val="20"/>
                <w:szCs w:val="20"/>
              </w:rPr>
              <w:t>Increased capacity of key actors to promote collective action</w:t>
            </w:r>
          </w:p>
        </w:tc>
      </w:tr>
      <w:tr w:rsidR="000128B7" w:rsidRPr="00105005" w14:paraId="2729E04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8267A2C" w14:textId="77777777" w:rsidR="000128B7" w:rsidRPr="00105005" w:rsidRDefault="000128B7" w:rsidP="000128B7">
            <w:pPr>
              <w:rPr>
                <w:i/>
                <w:iCs/>
                <w:sz w:val="20"/>
                <w:szCs w:val="20"/>
              </w:rPr>
            </w:pPr>
            <w:r w:rsidRPr="00105005">
              <w:rPr>
                <w:b/>
                <w:sz w:val="20"/>
                <w:szCs w:val="20"/>
              </w:rPr>
              <w:t>Name of Indicator (3.2</w:t>
            </w:r>
            <w:r w:rsidRPr="00105005">
              <w:rPr>
                <w:b/>
                <w:bCs/>
                <w:sz w:val="20"/>
                <w:szCs w:val="20"/>
              </w:rPr>
              <w:t>):</w:t>
            </w:r>
            <w:r w:rsidRPr="00105005">
              <w:rPr>
                <w:sz w:val="20"/>
                <w:szCs w:val="20"/>
              </w:rPr>
              <w:t xml:space="preserve"> Percent increase in PEA capacity assessment scores of PEA-based action research organizations</w:t>
            </w:r>
          </w:p>
        </w:tc>
      </w:tr>
      <w:tr w:rsidR="000128B7" w:rsidRPr="00105005" w14:paraId="552442F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C8E962F"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69D6C32D"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B2AF3C5"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01D6738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F0A83DD" w14:textId="44F84CA6"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“Organizations” in this indicator refer to PRG-PA’s key partners that will receive training on how to conduct action research in support of advocacy and accountability campaigns. These organizations will engage in Counterpart’s organizational development assessment and have specific organizational development/institutional strengthening goals. Increased organizational capacity refers to an increase of at least one point overall across the six functional areas (leadership and strategic management; program management and quality control; accounting and financial management; financial sustainability; human and material resources; and external relations and communications) between the target organization’s baseline assessment and following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assessments. Whether the OD assessment scores increase or decrease, it will be tracked by this indicator. If the score decreases, the indicator will be negative. Calculation should include percent change in the following scores:</w:t>
            </w:r>
          </w:p>
          <w:p w14:paraId="0171B26B" w14:textId="77777777" w:rsidR="000128B7" w:rsidRPr="00105005" w:rsidRDefault="00DD3CAE" w:rsidP="000128B7">
            <w:pPr>
              <w:pStyle w:val="TableText"/>
              <w:spacing w:before="0" w:after="0"/>
              <w:rPr>
                <w:rFonts w:ascii="Times New Roman" w:hAnsi="Times New Roman" w:cs="Times New Roman"/>
                <w:color w:val="000000"/>
                <w:sz w:val="20"/>
                <w:szCs w:val="20"/>
              </w:rPr>
            </w:pPr>
            <m:oMathPara>
              <m:oMath>
                <m:f>
                  <m:fPr>
                    <m:ctrlPr>
                      <w:rPr>
                        <w:rFonts w:ascii="Cambria Math" w:hAnsi="Cambria Math" w:cs="Times New Roman"/>
                        <w:i/>
                        <w:color w:val="000000"/>
                        <w:sz w:val="20"/>
                        <w:szCs w:val="20"/>
                      </w:rPr>
                    </m:ctrlPr>
                  </m:fPr>
                  <m:num>
                    <m:d>
                      <m:dPr>
                        <m:ctrlPr>
                          <w:rPr>
                            <w:rFonts w:ascii="Cambria Math" w:hAnsi="Cambria Math" w:cs="Times New Roman"/>
                            <w:i/>
                            <w:color w:val="000000"/>
                            <w:sz w:val="20"/>
                            <w:szCs w:val="20"/>
                          </w:rPr>
                        </m:ctrlPr>
                      </m:dPr>
                      <m:e>
                        <m:r>
                          <w:rPr>
                            <w:rFonts w:ascii="Cambria Math" w:hAnsi="Cambria Math" w:cs="Times New Roman"/>
                            <w:color w:val="000000"/>
                            <w:sz w:val="20"/>
                            <w:szCs w:val="20"/>
                          </w:rPr>
                          <m:t>% median of cumulative post OD assessment scores</m:t>
                        </m:r>
                      </m:e>
                    </m:d>
                    <m:r>
                      <w:rPr>
                        <w:rFonts w:ascii="Cambria Math" w:hAnsi="Cambria Math" w:cs="Times New Roman"/>
                        <w:color w:val="000000"/>
                        <w:sz w:val="20"/>
                        <w:szCs w:val="20"/>
                      </w:rPr>
                      <m:t>-</m:t>
                    </m:r>
                    <m:d>
                      <m:dPr>
                        <m:ctrlPr>
                          <w:rPr>
                            <w:rFonts w:ascii="Cambria Math" w:hAnsi="Cambria Math" w:cs="Times New Roman"/>
                            <w:i/>
                            <w:color w:val="000000"/>
                            <w:sz w:val="20"/>
                            <w:szCs w:val="20"/>
                          </w:rPr>
                        </m:ctrlPr>
                      </m:dPr>
                      <m:e>
                        <m:r>
                          <w:rPr>
                            <w:rFonts w:ascii="Cambria Math" w:hAnsi="Cambria Math" w:cs="Times New Roman"/>
                            <w:color w:val="000000"/>
                            <w:sz w:val="20"/>
                            <w:szCs w:val="20"/>
                          </w:rPr>
                          <m:t>% median of cumulative pre OD assessment scores</m:t>
                        </m:r>
                      </m:e>
                    </m:d>
                  </m:num>
                  <m:den>
                    <m:r>
                      <w:rPr>
                        <w:rFonts w:ascii="Cambria Math" w:hAnsi="Cambria Math" w:cs="Times New Roman"/>
                        <w:color w:val="000000"/>
                        <w:sz w:val="20"/>
                        <w:szCs w:val="20"/>
                      </w:rPr>
                      <m:t>% median of cumulative pre OD assessment scores</m:t>
                    </m:r>
                  </m:den>
                </m:f>
                <m:r>
                  <w:rPr>
                    <w:rFonts w:ascii="Cambria Math" w:hAnsi="Cambria Math" w:cs="Times New Roman"/>
                    <w:color w:val="000000"/>
                    <w:sz w:val="20"/>
                    <w:szCs w:val="20"/>
                  </w:rPr>
                  <m:t>*100=(% median cumulative change in OD Assessment scores</m:t>
                </m:r>
              </m:oMath>
            </m:oMathPara>
          </w:p>
        </w:tc>
      </w:tr>
      <w:tr w:rsidR="000128B7" w:rsidRPr="00105005" w14:paraId="7A8A760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B1B1F3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 xml:space="preserve">Percentage </w:t>
            </w:r>
          </w:p>
        </w:tc>
      </w:tr>
      <w:tr w:rsidR="000128B7" w:rsidRPr="00105005" w14:paraId="5D85C35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CDE0C2C"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Sector; Sub-sector; Third-level administrative division; Functional area</w:t>
            </w:r>
          </w:p>
        </w:tc>
      </w:tr>
      <w:tr w:rsidR="000128B7" w:rsidRPr="00105005" w14:paraId="6DC305D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FA37B6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By providing capacity building in PEA principles, PRG-PA will enable partners and grantees to apply PEA in their advocacy, community mobilization, and accountability campaigns to encourage citizens, government officials, media, and private sector actors to identify constructive, locally-driven solutions in support of their development priorities. This indicator directly addresses the improvement in overall capacity of target organizations and will demonstrate if training and capacity building support are effective in increasing overall organizational capacity across the six functional areas in the assessment.    </w:t>
            </w:r>
          </w:p>
        </w:tc>
      </w:tr>
      <w:tr w:rsidR="000128B7" w:rsidRPr="00105005" w14:paraId="1C4E554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DC43C68"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39FB163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4292848" w14:textId="0F8E64D3"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bCs/>
                <w:sz w:val="20"/>
                <w:szCs w:val="20"/>
              </w:rPr>
              <w:t xml:space="preserve">Comparison of different assessment scores per organization and tallying organizations that increase by at least one point from the baseline to </w:t>
            </w:r>
            <w:r w:rsidR="00DD3CAE" w:rsidRPr="00105005">
              <w:rPr>
                <w:rFonts w:ascii="Times New Roman" w:hAnsi="Times New Roman" w:cs="Times New Roman"/>
                <w:bCs/>
                <w:sz w:val="20"/>
                <w:szCs w:val="20"/>
              </w:rPr>
              <w:t>end line</w:t>
            </w:r>
          </w:p>
        </w:tc>
      </w:tr>
      <w:tr w:rsidR="000128B7" w:rsidRPr="00105005" w14:paraId="3FBBFCE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08F2CF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Counterpart</w:t>
            </w:r>
          </w:p>
        </w:tc>
      </w:tr>
      <w:tr w:rsidR="000128B7" w:rsidRPr="00105005" w14:paraId="63A7C23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9E224B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sz w:val="20"/>
                <w:szCs w:val="20"/>
              </w:rPr>
              <w:t>TBD with program</w:t>
            </w:r>
          </w:p>
        </w:tc>
      </w:tr>
      <w:tr w:rsidR="000128B7" w:rsidRPr="00105005" w14:paraId="1696B79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5D3BA16"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5DFAE67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F0E987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7E94907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D674A2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2252CBA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477C87B"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Counterpart Knowledge Management (KM) Portal; PRG-PA Program Records</w:t>
            </w:r>
          </w:p>
        </w:tc>
      </w:tr>
      <w:tr w:rsidR="000128B7" w:rsidRPr="00105005" w14:paraId="272CD1E1"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D5BD5F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2B72AC8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D7C7A7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1B18F936"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6952732A"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Known Data Limitations and Significance (if any): </w:t>
            </w:r>
            <w:r w:rsidRPr="00105005">
              <w:rPr>
                <w:rFonts w:ascii="Times New Roman" w:hAnsi="Times New Roman" w:cs="Times New Roman"/>
                <w:bCs/>
                <w:sz w:val="20"/>
                <w:szCs w:val="20"/>
              </w:rPr>
              <w:t>None</w:t>
            </w:r>
          </w:p>
        </w:tc>
      </w:tr>
      <w:tr w:rsidR="000128B7" w:rsidRPr="00105005" w14:paraId="087DC45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81D5620" w14:textId="77777777" w:rsidR="000128B7" w:rsidRPr="00105005" w:rsidRDefault="000128B7" w:rsidP="000128B7">
            <w:pPr>
              <w:pStyle w:val="TableText"/>
              <w:spacing w:before="0" w:after="0"/>
              <w:rPr>
                <w:rFonts w:ascii="Times New Roman" w:hAnsi="Times New Roman" w:cs="Times New Roman"/>
                <w:bCs/>
                <w:sz w:val="20"/>
                <w:szCs w:val="20"/>
              </w:rPr>
            </w:pPr>
            <w:r w:rsidRPr="00105005">
              <w:rPr>
                <w:rFonts w:ascii="Times New Roman" w:hAnsi="Times New Roman" w:cs="Times New Roman"/>
                <w:b/>
                <w:sz w:val="20"/>
                <w:szCs w:val="20"/>
              </w:rPr>
              <w:t xml:space="preserve">Actions Taken or Planned to Address Data Limitations: </w:t>
            </w:r>
            <w:r w:rsidRPr="00105005">
              <w:rPr>
                <w:rFonts w:ascii="Times New Roman" w:hAnsi="Times New Roman" w:cs="Times New Roman"/>
                <w:sz w:val="20"/>
                <w:szCs w:val="20"/>
              </w:rPr>
              <w:t>N/A</w:t>
            </w:r>
          </w:p>
        </w:tc>
      </w:tr>
      <w:tr w:rsidR="000128B7" w:rsidRPr="00105005" w14:paraId="363E57A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BE3339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4942C1B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0B6A0C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431E6EC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10E7800"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7BE9B42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18C3C1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None</w:t>
            </w:r>
          </w:p>
        </w:tc>
      </w:tr>
      <w:tr w:rsidR="000128B7" w:rsidRPr="00105005" w14:paraId="6A9A4DB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FB1947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In the Performance Indicator Tracking Table in Quarterly Reports</w:t>
            </w:r>
          </w:p>
        </w:tc>
      </w:tr>
      <w:tr w:rsidR="000128B7" w:rsidRPr="00105005" w14:paraId="7D4D2CF5"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3CA411D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when OD assessments are conducted</w:t>
            </w:r>
          </w:p>
        </w:tc>
      </w:tr>
      <w:tr w:rsidR="000128B7" w:rsidRPr="00105005" w14:paraId="0D7E5D4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4C2BAA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This information will be included in the Quarterly Report when OD assessment is conducted as part of the PMP Annex.  It will also be described in the quarterly narrative.</w:t>
            </w:r>
          </w:p>
        </w:tc>
      </w:tr>
      <w:tr w:rsidR="000128B7" w:rsidRPr="00105005" w14:paraId="2DBAFB7E"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3CD1567"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610A578C"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794ED9E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0/21%</w:t>
            </w:r>
          </w:p>
        </w:tc>
      </w:tr>
      <w:tr w:rsidR="000128B7" w:rsidRPr="00105005" w14:paraId="37F27B5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4CD6D9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65A47C6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C71D27A"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7245F680"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245E5C8E"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010E8058"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5E1BC8F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31169FC" w14:textId="77777777" w:rsidR="000128B7" w:rsidRPr="00105005" w:rsidRDefault="000128B7" w:rsidP="000128B7">
            <w:pPr>
              <w:rPr>
                <w:sz w:val="20"/>
                <w:szCs w:val="20"/>
              </w:rPr>
            </w:pPr>
            <w:r w:rsidRPr="00105005">
              <w:rPr>
                <w:b/>
                <w:sz w:val="20"/>
                <w:szCs w:val="20"/>
              </w:rPr>
              <w:t xml:space="preserve">Outcome 3: </w:t>
            </w:r>
            <w:r w:rsidRPr="00105005">
              <w:rPr>
                <w:sz w:val="20"/>
                <w:szCs w:val="20"/>
              </w:rPr>
              <w:t>Increased capacity of key actors to promote collective action</w:t>
            </w:r>
          </w:p>
        </w:tc>
      </w:tr>
      <w:tr w:rsidR="000128B7" w:rsidRPr="00105005" w14:paraId="6012E4F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AF8A65B" w14:textId="77777777" w:rsidR="000128B7" w:rsidRPr="00105005" w:rsidRDefault="000128B7" w:rsidP="000128B7">
            <w:pPr>
              <w:rPr>
                <w:i/>
                <w:iCs/>
                <w:sz w:val="20"/>
                <w:szCs w:val="20"/>
              </w:rPr>
            </w:pPr>
            <w:r w:rsidRPr="00105005">
              <w:rPr>
                <w:b/>
                <w:sz w:val="20"/>
                <w:szCs w:val="20"/>
              </w:rPr>
              <w:t>Name of Indicator (3.3</w:t>
            </w:r>
            <w:r w:rsidRPr="00105005">
              <w:rPr>
                <w:b/>
                <w:bCs/>
                <w:sz w:val="20"/>
                <w:szCs w:val="20"/>
              </w:rPr>
              <w:t>):</w:t>
            </w:r>
            <w:r w:rsidRPr="00105005">
              <w:rPr>
                <w:sz w:val="20"/>
                <w:szCs w:val="20"/>
              </w:rPr>
              <w:t xml:space="preserve"> Percent of citizens who report that media investigative reporting is promoting collective action</w:t>
            </w:r>
          </w:p>
        </w:tc>
      </w:tr>
      <w:tr w:rsidR="000128B7" w:rsidRPr="00105005" w14:paraId="6BB67B4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FE6FE4C"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04FF932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52A4528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0AE39B4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BBD5E9D" w14:textId="483FD9F2"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Investigative reporting refers to the reporting style where journalists </w:t>
            </w:r>
            <w:r w:rsidRPr="00105005">
              <w:rPr>
                <w:rFonts w:ascii="Times New Roman" w:hAnsi="Times New Roman" w:cs="Times New Roman"/>
                <w:bCs/>
                <w:sz w:val="20"/>
                <w:szCs w:val="20"/>
              </w:rPr>
              <w:t>deeply investigate a single topic of interest, such as serious crimes, political corruption, or corporate wrongdoing.</w:t>
            </w:r>
            <w:r w:rsidRPr="00105005">
              <w:rPr>
                <w:rFonts w:ascii="Times New Roman" w:hAnsi="Times New Roman" w:cs="Times New Roman"/>
                <w:sz w:val="20"/>
                <w:szCs w:val="20"/>
              </w:rPr>
              <w:t xml:space="preserve"> Collective action means actions undertaken by national and local governments with traditional, informal governance structures and community-based organizations (CBOs) to address citizens’ needs/priorities.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is the percentage of citizens who perceive that media investigative reporting is influencing and promoting collective action?  </w:t>
            </w:r>
          </w:p>
        </w:tc>
      </w:tr>
      <w:tr w:rsidR="000128B7" w:rsidRPr="00105005" w14:paraId="08FD550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8C7EDD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663E5FF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B31520"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72103E0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1F3690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PRG-PA’s contribution to the effectiveness of investigative reporting. The result will be useful for future program design for both USAID and Counterpart.   </w:t>
            </w:r>
          </w:p>
        </w:tc>
      </w:tr>
      <w:tr w:rsidR="000128B7" w:rsidRPr="00105005" w14:paraId="2AD0278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742782C1"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2F64ED9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E88C11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4BA7F3E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DFBB05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670FDB8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545EFD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6D4E3F0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65DFF9"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3E8B41B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DD5CFA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521189F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F649E1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71E8009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5E65F70"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6DEDC2D8"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C6B5D78"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4CDECBD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558DB3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34D89694"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1A3E9814"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6E5CE7BE" w14:textId="77777777" w:rsidR="000128B7" w:rsidRPr="00105005" w:rsidRDefault="000128B7" w:rsidP="0017151D">
            <w:pPr>
              <w:pStyle w:val="TableText"/>
              <w:numPr>
                <w:ilvl w:val="0"/>
                <w:numId w:val="38"/>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7D3351DD" w14:textId="77777777" w:rsidR="000128B7" w:rsidRPr="00105005" w:rsidRDefault="000128B7" w:rsidP="0017151D">
            <w:pPr>
              <w:pStyle w:val="TableText"/>
              <w:numPr>
                <w:ilvl w:val="0"/>
                <w:numId w:val="38"/>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The overall effectiveness of investigative reporting is influenced by many factors, primarily from outside of PRG-PA’s interventions. An increase in the effectiveness</w:t>
            </w:r>
            <w:r w:rsidRPr="00105005">
              <w:rPr>
                <w:rFonts w:ascii="Times New Roman" w:hAnsi="Times New Roman" w:cs="Times New Roman"/>
                <w:sz w:val="20"/>
                <w:szCs w:val="20"/>
              </w:rPr>
              <w:t xml:space="preserve"> </w:t>
            </w:r>
            <w:r w:rsidRPr="00105005">
              <w:rPr>
                <w:rFonts w:ascii="Times New Roman" w:hAnsi="Times New Roman" w:cs="Times New Roman"/>
                <w:bCs/>
                <w:sz w:val="20"/>
                <w:szCs w:val="20"/>
              </w:rPr>
              <w:t xml:space="preserve">cannot be directly attributed to our activities. </w:t>
            </w:r>
          </w:p>
        </w:tc>
      </w:tr>
      <w:tr w:rsidR="000128B7" w:rsidRPr="00105005" w14:paraId="23AC0D6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4157904"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76D072B4" w14:textId="77777777" w:rsidR="000128B7" w:rsidRPr="00105005" w:rsidRDefault="000128B7" w:rsidP="0017151D">
            <w:pPr>
              <w:pStyle w:val="TableText"/>
              <w:numPr>
                <w:ilvl w:val="0"/>
                <w:numId w:val="39"/>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35CD6518" w14:textId="77777777" w:rsidR="000128B7" w:rsidRPr="00105005" w:rsidRDefault="000128B7" w:rsidP="0017151D">
            <w:pPr>
              <w:pStyle w:val="TableText"/>
              <w:numPr>
                <w:ilvl w:val="0"/>
                <w:numId w:val="39"/>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3F839B8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A8A1CE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7992DA3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6F1E96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21D383A5"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1CA8817"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7A27E8F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A6E07A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73C9626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821CD2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655BDD30"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0FD123E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39026EA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0416D1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3F7C0C1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D5C0D6E"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4F35A0C4"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14E924C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TBD/50%</w:t>
            </w:r>
          </w:p>
        </w:tc>
      </w:tr>
      <w:tr w:rsidR="000128B7" w:rsidRPr="00105005" w14:paraId="681295C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765664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688D04B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C08CC29"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04FA55FF"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2D2185A9"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12C1BAA2"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09F6EE9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A116FB2" w14:textId="77777777" w:rsidR="000128B7" w:rsidRPr="00105005" w:rsidRDefault="000128B7" w:rsidP="000128B7">
            <w:pPr>
              <w:rPr>
                <w:sz w:val="20"/>
                <w:szCs w:val="20"/>
              </w:rPr>
            </w:pPr>
            <w:r w:rsidRPr="00105005">
              <w:rPr>
                <w:b/>
                <w:sz w:val="20"/>
                <w:szCs w:val="20"/>
              </w:rPr>
              <w:t xml:space="preserve">Outcome 3: </w:t>
            </w:r>
            <w:r w:rsidRPr="00105005">
              <w:rPr>
                <w:sz w:val="20"/>
                <w:szCs w:val="20"/>
              </w:rPr>
              <w:t>Increased capacity of key actors to promote collective action</w:t>
            </w:r>
          </w:p>
        </w:tc>
      </w:tr>
      <w:tr w:rsidR="000128B7" w:rsidRPr="00105005" w14:paraId="3EC2CB7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2AB731" w14:textId="77777777" w:rsidR="000128B7" w:rsidRPr="00105005" w:rsidRDefault="000128B7" w:rsidP="000128B7">
            <w:pPr>
              <w:rPr>
                <w:i/>
                <w:iCs/>
                <w:sz w:val="20"/>
                <w:szCs w:val="20"/>
              </w:rPr>
            </w:pPr>
            <w:r w:rsidRPr="00105005">
              <w:rPr>
                <w:b/>
                <w:sz w:val="20"/>
                <w:szCs w:val="20"/>
              </w:rPr>
              <w:t>Name of Indicator (3.4</w:t>
            </w:r>
            <w:r w:rsidRPr="00105005">
              <w:rPr>
                <w:b/>
                <w:bCs/>
                <w:sz w:val="20"/>
                <w:szCs w:val="20"/>
              </w:rPr>
              <w:t>):</w:t>
            </w:r>
            <w:r w:rsidRPr="00105005">
              <w:rPr>
                <w:sz w:val="20"/>
                <w:szCs w:val="20"/>
              </w:rPr>
              <w:t xml:space="preserve"> Percent of citizens who report that cultural artists’ messaging is influencing governance practices</w:t>
            </w:r>
          </w:p>
        </w:tc>
      </w:tr>
      <w:tr w:rsidR="000128B7" w:rsidRPr="00105005" w14:paraId="638B2EB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2034C19"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1B730140"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D8B7E23"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74A5637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603A388" w14:textId="4A52C3BF"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Cultural artists’ messaging refer to the cultural actions taken by artists to advocate for citizens’ needs/priorities. “Governance practices” refers the public goods provision process from local, national governments.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is the percentage of citizens who perceive cultural artists messaging is influencing governance practices?  </w:t>
            </w:r>
          </w:p>
        </w:tc>
      </w:tr>
      <w:tr w:rsidR="000128B7" w:rsidRPr="00105005" w14:paraId="2CE546F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7E6660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103E9B5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2DFD6C1"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5B35393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CD9D10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PRG-PA’s contribution to the effectiveness of cultural artists’ messaging to advocate for citizens’ needs/priorities. The result will be useful for future program design for both USAID and Counterpart.   </w:t>
            </w:r>
          </w:p>
        </w:tc>
      </w:tr>
      <w:tr w:rsidR="000128B7" w:rsidRPr="00105005" w14:paraId="7A48003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3E09886"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54989E3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73DB01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3B13C89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DFBAC7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137C038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1040D3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121A9F3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7A0E269"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3340532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25BB52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7900587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5C3863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68B7C565"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D4E87AD"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012B49F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D1CB3D1"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62BD36B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4C272DB"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418D6F67"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0FE9EDB8"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1C516564" w14:textId="77777777" w:rsidR="000128B7" w:rsidRPr="00105005" w:rsidRDefault="000128B7" w:rsidP="0017151D">
            <w:pPr>
              <w:pStyle w:val="TableText"/>
              <w:numPr>
                <w:ilvl w:val="0"/>
                <w:numId w:val="40"/>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79AB73FB" w14:textId="77777777" w:rsidR="000128B7" w:rsidRPr="00105005" w:rsidRDefault="000128B7" w:rsidP="0017151D">
            <w:pPr>
              <w:pStyle w:val="TableText"/>
              <w:numPr>
                <w:ilvl w:val="0"/>
                <w:numId w:val="40"/>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The overall effectiveness of cultural artists’ messaging to advocate for citizens’ needs/priorities is by many factors, primarily from outside of PRG-PA’s interventions. An increase in the effectiveness</w:t>
            </w:r>
            <w:r w:rsidRPr="00105005">
              <w:rPr>
                <w:rFonts w:ascii="Times New Roman" w:hAnsi="Times New Roman" w:cs="Times New Roman"/>
                <w:sz w:val="20"/>
                <w:szCs w:val="20"/>
              </w:rPr>
              <w:t xml:space="preserve"> </w:t>
            </w:r>
            <w:r w:rsidRPr="00105005">
              <w:rPr>
                <w:rFonts w:ascii="Times New Roman" w:hAnsi="Times New Roman" w:cs="Times New Roman"/>
                <w:bCs/>
                <w:sz w:val="20"/>
                <w:szCs w:val="20"/>
              </w:rPr>
              <w:t xml:space="preserve">cannot be directly attributed to our activities. </w:t>
            </w:r>
          </w:p>
        </w:tc>
      </w:tr>
      <w:tr w:rsidR="000128B7" w:rsidRPr="00105005" w14:paraId="62FB642B"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9F788C6"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58470346" w14:textId="77777777" w:rsidR="000128B7" w:rsidRPr="00105005" w:rsidRDefault="000128B7" w:rsidP="0017151D">
            <w:pPr>
              <w:pStyle w:val="TableText"/>
              <w:numPr>
                <w:ilvl w:val="0"/>
                <w:numId w:val="41"/>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37556B1F" w14:textId="77777777" w:rsidR="000128B7" w:rsidRPr="00105005" w:rsidRDefault="000128B7" w:rsidP="0017151D">
            <w:pPr>
              <w:pStyle w:val="TableText"/>
              <w:numPr>
                <w:ilvl w:val="0"/>
                <w:numId w:val="41"/>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3D58226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3EB2A4"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6B8CBCD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92DC287"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1FE7255F"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1345680"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463C024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191822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735F9DD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730BA1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6E2D9C20"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3636C4EE"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23D2939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6CB644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013F419B"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074F09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76D10C6D"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72C47BD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TBD/50%</w:t>
            </w:r>
          </w:p>
        </w:tc>
      </w:tr>
      <w:tr w:rsidR="000128B7" w:rsidRPr="00105005" w14:paraId="61872D34"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CD6A510"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76D70405"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9DE0E4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tr>
    </w:tbl>
    <w:p w14:paraId="31C23D89" w14:textId="77777777" w:rsidR="000128B7" w:rsidRPr="00105005" w:rsidRDefault="000128B7" w:rsidP="000128B7">
      <w:pPr>
        <w:rPr>
          <w:sz w:val="20"/>
          <w:szCs w:val="20"/>
        </w:rPr>
        <w:sectPr w:rsidR="000128B7" w:rsidRPr="00105005">
          <w:pgSz w:w="12240" w:h="15840"/>
          <w:pgMar w:top="1440" w:right="1440" w:bottom="1440" w:left="1440" w:header="720" w:footer="720" w:gutter="0"/>
          <w:cols w:space="720"/>
          <w:docGrid w:linePitch="360"/>
        </w:sectPr>
      </w:pPr>
    </w:p>
    <w:tbl>
      <w:tblPr>
        <w:tblW w:w="10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0093"/>
      </w:tblGrid>
      <w:tr w:rsidR="000128B7" w:rsidRPr="00105005" w14:paraId="65665DA7" w14:textId="77777777" w:rsidTr="000128B7">
        <w:trPr>
          <w:cantSplit/>
          <w:jc w:val="center"/>
        </w:trPr>
        <w:tc>
          <w:tcPr>
            <w:tcW w:w="10093" w:type="dxa"/>
            <w:tcBorders>
              <w:top w:val="single" w:sz="12" w:space="0" w:color="002A6C"/>
              <w:left w:val="nil"/>
              <w:bottom w:val="single" w:sz="8" w:space="0" w:color="002A6C"/>
              <w:right w:val="nil"/>
            </w:tcBorders>
            <w:shd w:val="clear" w:color="auto" w:fill="000000" w:themeFill="text1"/>
            <w:vAlign w:val="center"/>
          </w:tcPr>
          <w:p w14:paraId="03BF8538" w14:textId="77777777" w:rsidR="000128B7" w:rsidRPr="00105005" w:rsidRDefault="000128B7" w:rsidP="000128B7">
            <w:pPr>
              <w:pStyle w:val="TableTextBold"/>
              <w:jc w:val="center"/>
              <w:rPr>
                <w:rFonts w:ascii="Times New Roman" w:hAnsi="Times New Roman" w:cs="Times New Roman"/>
                <w:color w:val="FFFFFF" w:themeColor="background1"/>
              </w:rPr>
            </w:pPr>
            <w:r w:rsidRPr="00105005">
              <w:rPr>
                <w:rFonts w:ascii="Times New Roman" w:hAnsi="Times New Roman" w:cs="Times New Roman"/>
                <w:color w:val="FFFFFF" w:themeColor="background1"/>
              </w:rPr>
              <w:t>PERFORMANCE INDICATOR REFERENCE SHEET</w:t>
            </w:r>
          </w:p>
        </w:tc>
      </w:tr>
      <w:tr w:rsidR="000128B7" w:rsidRPr="00105005" w14:paraId="2E52420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323C53C" w14:textId="77777777" w:rsidR="000128B7" w:rsidRPr="00105005" w:rsidRDefault="000128B7" w:rsidP="000128B7">
            <w:pPr>
              <w:rPr>
                <w:sz w:val="20"/>
                <w:szCs w:val="20"/>
              </w:rPr>
            </w:pPr>
            <w:r w:rsidRPr="00105005">
              <w:rPr>
                <w:b/>
                <w:sz w:val="20"/>
                <w:szCs w:val="20"/>
              </w:rPr>
              <w:t xml:space="preserve">Outcome 3: </w:t>
            </w:r>
            <w:r w:rsidRPr="00105005">
              <w:rPr>
                <w:sz w:val="20"/>
                <w:szCs w:val="20"/>
              </w:rPr>
              <w:t>Increased capacity of key actors to promote collective action</w:t>
            </w:r>
          </w:p>
        </w:tc>
      </w:tr>
      <w:tr w:rsidR="000128B7" w:rsidRPr="00105005" w14:paraId="74BF062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4BCA97E" w14:textId="77777777" w:rsidR="000128B7" w:rsidRPr="00105005" w:rsidRDefault="000128B7" w:rsidP="000128B7">
            <w:pPr>
              <w:rPr>
                <w:i/>
                <w:iCs/>
                <w:sz w:val="20"/>
                <w:szCs w:val="20"/>
              </w:rPr>
            </w:pPr>
            <w:r w:rsidRPr="00105005">
              <w:rPr>
                <w:b/>
                <w:sz w:val="20"/>
                <w:szCs w:val="20"/>
              </w:rPr>
              <w:t>Name of Indicator (3.5</w:t>
            </w:r>
            <w:r w:rsidRPr="00105005">
              <w:rPr>
                <w:b/>
                <w:bCs/>
                <w:sz w:val="20"/>
                <w:szCs w:val="20"/>
              </w:rPr>
              <w:t>):</w:t>
            </w:r>
            <w:r w:rsidRPr="00105005">
              <w:rPr>
                <w:sz w:val="20"/>
                <w:szCs w:val="20"/>
              </w:rPr>
              <w:t xml:space="preserve"> Percent of citizens and public officials who report that investigative journalism in Niger is fair</w:t>
            </w:r>
          </w:p>
        </w:tc>
      </w:tr>
      <w:tr w:rsidR="000128B7" w:rsidRPr="00105005" w14:paraId="72040DD0"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F5C465C"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Is this a Standard Foreign Assistance Indicator? </w:t>
            </w:r>
            <w:r w:rsidRPr="00105005">
              <w:rPr>
                <w:rFonts w:ascii="Times New Roman" w:hAnsi="Times New Roman" w:cs="Times New Roman"/>
                <w:sz w:val="20"/>
                <w:szCs w:val="20"/>
              </w:rPr>
              <w:t xml:space="preserve">No  </w:t>
            </w:r>
            <w:r w:rsidRPr="00105005">
              <w:rPr>
                <w:rFonts w:ascii="Times New Roman" w:hAnsi="Times New Roman" w:cs="Times New Roman"/>
                <w:sz w:val="20"/>
                <w:szCs w:val="20"/>
                <w:u w:val="single"/>
              </w:rPr>
              <w:t xml:space="preserve"> X  </w:t>
            </w:r>
            <w:r w:rsidRPr="00105005">
              <w:rPr>
                <w:rFonts w:ascii="Times New Roman" w:hAnsi="Times New Roman" w:cs="Times New Roman"/>
                <w:sz w:val="20"/>
                <w:szCs w:val="20"/>
              </w:rPr>
              <w:t xml:space="preserve">Yes  </w:t>
            </w:r>
            <w:r w:rsidRPr="00105005">
              <w:rPr>
                <w:rFonts w:ascii="Times New Roman" w:hAnsi="Times New Roman" w:cs="Times New Roman"/>
                <w:sz w:val="20"/>
                <w:szCs w:val="20"/>
                <w:u w:val="single"/>
              </w:rPr>
              <w:t>_</w:t>
            </w:r>
          </w:p>
        </w:tc>
      </w:tr>
      <w:tr w:rsidR="000128B7" w:rsidRPr="00105005" w14:paraId="3B1A8A82"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2092CEF7"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Description</w:t>
            </w:r>
          </w:p>
        </w:tc>
      </w:tr>
      <w:tr w:rsidR="000128B7" w:rsidRPr="00105005" w14:paraId="3991A86D"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4408096" w14:textId="742BC126" w:rsidR="000128B7" w:rsidRPr="00105005" w:rsidRDefault="000128B7" w:rsidP="000128B7">
            <w:pPr>
              <w:pStyle w:val="TableText"/>
              <w:rPr>
                <w:rFonts w:ascii="Times New Roman" w:hAnsi="Times New Roman" w:cs="Times New Roman"/>
                <w:sz w:val="20"/>
                <w:szCs w:val="20"/>
              </w:rPr>
            </w:pPr>
            <w:r w:rsidRPr="00105005">
              <w:rPr>
                <w:rFonts w:ascii="Times New Roman" w:hAnsi="Times New Roman" w:cs="Times New Roman"/>
                <w:b/>
                <w:sz w:val="20"/>
                <w:szCs w:val="20"/>
              </w:rPr>
              <w:t xml:space="preserve">Precise Definition(s): </w:t>
            </w:r>
            <w:r w:rsidRPr="00105005">
              <w:rPr>
                <w:rFonts w:ascii="Times New Roman" w:hAnsi="Times New Roman" w:cs="Times New Roman"/>
                <w:sz w:val="20"/>
                <w:szCs w:val="20"/>
              </w:rPr>
              <w:t xml:space="preserve">“Citizens” in this indicator refers to population in PRG-PA’s target regions. “Public officials” refers to the government staff in PRG-PA’s target regions. Investigative journalism refers to the reporting style where journalists </w:t>
            </w:r>
            <w:r w:rsidRPr="00105005">
              <w:rPr>
                <w:rFonts w:ascii="Times New Roman" w:hAnsi="Times New Roman" w:cs="Times New Roman"/>
                <w:bCs/>
                <w:sz w:val="20"/>
                <w:szCs w:val="20"/>
              </w:rPr>
              <w:t>deeply investigate a single topic of interest, such as serious crimes, political corruption, or corporate wrongdoing.</w:t>
            </w:r>
            <w:r w:rsidRPr="00105005">
              <w:rPr>
                <w:rFonts w:ascii="Times New Roman" w:hAnsi="Times New Roman" w:cs="Times New Roman"/>
                <w:sz w:val="20"/>
                <w:szCs w:val="20"/>
              </w:rPr>
              <w:t xml:space="preserve"> This indicator will be calculated by subtracting the baseline from the </w:t>
            </w:r>
            <w:r w:rsidR="00DD3CAE" w:rsidRPr="00105005">
              <w:rPr>
                <w:rFonts w:ascii="Times New Roman" w:hAnsi="Times New Roman" w:cs="Times New Roman"/>
                <w:sz w:val="20"/>
                <w:szCs w:val="20"/>
              </w:rPr>
              <w:t>end line</w:t>
            </w:r>
            <w:r w:rsidRPr="00105005">
              <w:rPr>
                <w:rFonts w:ascii="Times New Roman" w:hAnsi="Times New Roman" w:cs="Times New Roman"/>
                <w:sz w:val="20"/>
                <w:szCs w:val="20"/>
              </w:rPr>
              <w:t xml:space="preserve"> and the results is expected to answer the following question: What percentage of citizens and public officials perceive that investigative journalism in Niger is fair?  </w:t>
            </w:r>
          </w:p>
        </w:tc>
      </w:tr>
      <w:tr w:rsidR="000128B7" w:rsidRPr="00105005" w14:paraId="5A53A0A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3F71E5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Unit of Measure:  </w:t>
            </w:r>
            <w:r w:rsidRPr="00105005">
              <w:rPr>
                <w:rFonts w:ascii="Times New Roman" w:hAnsi="Times New Roman" w:cs="Times New Roman"/>
                <w:sz w:val="20"/>
                <w:szCs w:val="20"/>
              </w:rPr>
              <w:t>Percentage</w:t>
            </w:r>
          </w:p>
        </w:tc>
      </w:tr>
      <w:tr w:rsidR="000128B7" w:rsidRPr="00105005" w14:paraId="4DC3DCDC"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5483270" w14:textId="77777777" w:rsidR="000128B7" w:rsidRPr="00105005" w:rsidRDefault="000128B7" w:rsidP="000128B7">
            <w:pPr>
              <w:rPr>
                <w:rFonts w:eastAsia="Times New Roman"/>
                <w:sz w:val="20"/>
                <w:szCs w:val="20"/>
              </w:rPr>
            </w:pPr>
            <w:r w:rsidRPr="00105005">
              <w:rPr>
                <w:b/>
                <w:sz w:val="20"/>
                <w:szCs w:val="20"/>
              </w:rPr>
              <w:t>Disaggregated by:</w:t>
            </w:r>
            <w:r w:rsidRPr="00105005">
              <w:rPr>
                <w:sz w:val="20"/>
                <w:szCs w:val="20"/>
              </w:rPr>
              <w:t xml:space="preserve"> Third-level administrative division; Sex; Youth: binary; Literacy: binary; Ethnicity; Education;</w:t>
            </w:r>
          </w:p>
        </w:tc>
      </w:tr>
      <w:tr w:rsidR="000128B7" w:rsidRPr="00105005" w14:paraId="163EFA0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DFCCC8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Justification &amp; Management Utility:</w:t>
            </w:r>
            <w:r w:rsidRPr="00105005">
              <w:rPr>
                <w:rFonts w:ascii="Times New Roman" w:hAnsi="Times New Roman" w:cs="Times New Roman"/>
                <w:sz w:val="20"/>
                <w:szCs w:val="20"/>
              </w:rPr>
              <w:t xml:space="preserve"> This indicator demonstrates PRG-PA’s contribution to the fairness of investigative journalism. The result will be useful for future program design for both USAID and Counterpart.   </w:t>
            </w:r>
          </w:p>
        </w:tc>
      </w:tr>
      <w:tr w:rsidR="000128B7" w:rsidRPr="00105005" w14:paraId="05D2E03A"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90AFE85" w14:textId="77777777" w:rsidR="000128B7" w:rsidRPr="00105005" w:rsidRDefault="000128B7" w:rsidP="000128B7">
            <w:pPr>
              <w:pStyle w:val="TableTextBold"/>
              <w:spacing w:before="0" w:after="0"/>
              <w:jc w:val="center"/>
              <w:rPr>
                <w:rFonts w:ascii="Times New Roman" w:hAnsi="Times New Roman" w:cs="Times New Roman"/>
                <w:iCs/>
              </w:rPr>
            </w:pPr>
            <w:r w:rsidRPr="00105005">
              <w:rPr>
                <w:rFonts w:ascii="Times New Roman" w:hAnsi="Times New Roman" w:cs="Times New Roman"/>
              </w:rPr>
              <w:t xml:space="preserve">Plan for Data Acquisition  </w:t>
            </w:r>
          </w:p>
        </w:tc>
      </w:tr>
      <w:tr w:rsidR="000128B7" w:rsidRPr="00105005" w14:paraId="033AA34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5F0D57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Collection Method: </w:t>
            </w:r>
            <w:r w:rsidRPr="00105005">
              <w:rPr>
                <w:rFonts w:ascii="Times New Roman" w:hAnsi="Times New Roman" w:cs="Times New Roman"/>
                <w:sz w:val="20"/>
                <w:szCs w:val="20"/>
              </w:rPr>
              <w:t>Baseline study and final evaluation</w:t>
            </w:r>
          </w:p>
        </w:tc>
      </w:tr>
      <w:tr w:rsidR="000128B7" w:rsidRPr="00105005" w14:paraId="0631402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7B97B615"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Source:  </w:t>
            </w:r>
            <w:r w:rsidRPr="00105005">
              <w:rPr>
                <w:rFonts w:ascii="Times New Roman" w:hAnsi="Times New Roman" w:cs="Times New Roman"/>
                <w:sz w:val="20"/>
                <w:szCs w:val="20"/>
              </w:rPr>
              <w:t>Baseline study and final evaluation report</w:t>
            </w:r>
          </w:p>
        </w:tc>
      </w:tr>
      <w:tr w:rsidR="000128B7" w:rsidRPr="00105005" w14:paraId="3E7D23A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A77517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Frequency and Timing of Data Acquisition by Counterpart HQ:  </w:t>
            </w:r>
            <w:r w:rsidRPr="00105005">
              <w:rPr>
                <w:rFonts w:ascii="Times New Roman" w:hAnsi="Times New Roman" w:cs="Times New Roman"/>
                <w:bCs/>
                <w:sz w:val="20"/>
                <w:szCs w:val="20"/>
              </w:rPr>
              <w:t>Two times: baseline and final</w:t>
            </w:r>
          </w:p>
        </w:tc>
      </w:tr>
      <w:tr w:rsidR="000128B7" w:rsidRPr="00105005" w14:paraId="10FEA7F8"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61CD0326" w14:textId="77777777" w:rsidR="000128B7" w:rsidRPr="00105005" w:rsidRDefault="000128B7" w:rsidP="000128B7">
            <w:pPr>
              <w:pStyle w:val="TableText"/>
              <w:spacing w:before="0" w:after="0"/>
              <w:rPr>
                <w:rFonts w:ascii="Times New Roman" w:hAnsi="Times New Roman" w:cs="Times New Roman"/>
                <w:b/>
                <w:bCs/>
                <w:sz w:val="20"/>
                <w:szCs w:val="20"/>
              </w:rPr>
            </w:pPr>
            <w:r w:rsidRPr="00105005">
              <w:rPr>
                <w:rFonts w:ascii="Times New Roman" w:hAnsi="Times New Roman" w:cs="Times New Roman"/>
                <w:b/>
                <w:sz w:val="20"/>
                <w:szCs w:val="20"/>
              </w:rPr>
              <w:t xml:space="preserve">Estimated Cost of Data Acquisition: </w:t>
            </w:r>
            <w:r w:rsidRPr="00105005">
              <w:rPr>
                <w:rFonts w:ascii="Times New Roman" w:hAnsi="Times New Roman" w:cs="Times New Roman"/>
                <w:sz w:val="20"/>
                <w:szCs w:val="20"/>
              </w:rPr>
              <w:t>Costs included under established Cooperative Agreement</w:t>
            </w:r>
          </w:p>
        </w:tc>
      </w:tr>
      <w:tr w:rsidR="000128B7" w:rsidRPr="00105005" w14:paraId="53786FA9"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47E7C6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at PRG-PA: </w:t>
            </w:r>
            <w:r w:rsidRPr="00105005">
              <w:rPr>
                <w:rFonts w:ascii="Times New Roman" w:hAnsi="Times New Roman" w:cs="Times New Roman"/>
                <w:sz w:val="20"/>
                <w:szCs w:val="20"/>
              </w:rPr>
              <w:t>Counterpart International M&amp;E Officer in the Field</w:t>
            </w:r>
          </w:p>
        </w:tc>
      </w:tr>
      <w:tr w:rsidR="000128B7" w:rsidRPr="00105005" w14:paraId="6963359A"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E608F38"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Individual Responsible for Providing Data to USAID: </w:t>
            </w:r>
            <w:r w:rsidRPr="00105005">
              <w:rPr>
                <w:rFonts w:ascii="Times New Roman" w:hAnsi="Times New Roman" w:cs="Times New Roman"/>
                <w:sz w:val="20"/>
                <w:szCs w:val="20"/>
              </w:rPr>
              <w:t>PRG-PA Program Manager at HQ</w:t>
            </w:r>
          </w:p>
        </w:tc>
      </w:tr>
      <w:tr w:rsidR="000128B7" w:rsidRPr="00105005" w14:paraId="57514553"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1E0C421E" w14:textId="77777777" w:rsidR="000128B7" w:rsidRPr="00105005" w:rsidRDefault="000128B7" w:rsidP="000128B7">
            <w:pPr>
              <w:rPr>
                <w:sz w:val="20"/>
                <w:szCs w:val="20"/>
              </w:rPr>
            </w:pPr>
            <w:r w:rsidRPr="00105005">
              <w:rPr>
                <w:b/>
                <w:sz w:val="20"/>
                <w:szCs w:val="20"/>
              </w:rPr>
              <w:t>Location of Data Storage:</w:t>
            </w:r>
            <w:r w:rsidRPr="00105005">
              <w:rPr>
                <w:sz w:val="20"/>
                <w:szCs w:val="20"/>
              </w:rPr>
              <w:t xml:space="preserve"> Evaluation reports; PRG-PA Program Records</w:t>
            </w:r>
          </w:p>
        </w:tc>
      </w:tr>
      <w:tr w:rsidR="000128B7" w:rsidRPr="00105005" w14:paraId="3F8B01D7"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63DD657B"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Data Limitations</w:t>
            </w:r>
          </w:p>
        </w:tc>
      </w:tr>
      <w:tr w:rsidR="000128B7" w:rsidRPr="00105005" w14:paraId="6DAC4EF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52D26CFF"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Date of Initial Data Quality Assessment:  </w:t>
            </w:r>
            <w:r w:rsidRPr="00105005">
              <w:rPr>
                <w:rFonts w:ascii="Times New Roman" w:hAnsi="Times New Roman" w:cs="Times New Roman"/>
                <w:sz w:val="20"/>
                <w:szCs w:val="20"/>
              </w:rPr>
              <w:t>N/A</w:t>
            </w:r>
          </w:p>
        </w:tc>
      </w:tr>
      <w:tr w:rsidR="000128B7" w:rsidRPr="00105005" w14:paraId="0206015F" w14:textId="77777777" w:rsidTr="000128B7">
        <w:trPr>
          <w:cantSplit/>
          <w:trHeight w:val="259"/>
          <w:jc w:val="center"/>
        </w:trPr>
        <w:tc>
          <w:tcPr>
            <w:tcW w:w="10093" w:type="dxa"/>
            <w:tcBorders>
              <w:top w:val="single" w:sz="8" w:space="0" w:color="002A6C"/>
              <w:left w:val="nil"/>
              <w:bottom w:val="single" w:sz="8" w:space="0" w:color="002A6C"/>
              <w:right w:val="nil"/>
            </w:tcBorders>
            <w:vAlign w:val="center"/>
          </w:tcPr>
          <w:p w14:paraId="065D91BA"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 xml:space="preserve">Known Data Limitations and Significance (if any): </w:t>
            </w:r>
          </w:p>
          <w:p w14:paraId="4EAC5121" w14:textId="77777777" w:rsidR="000128B7" w:rsidRPr="00105005" w:rsidRDefault="000128B7" w:rsidP="0017151D">
            <w:pPr>
              <w:pStyle w:val="TableText"/>
              <w:numPr>
                <w:ilvl w:val="0"/>
                <w:numId w:val="42"/>
              </w:numPr>
              <w:spacing w:before="0" w:after="0"/>
              <w:rPr>
                <w:rFonts w:ascii="Times New Roman" w:hAnsi="Times New Roman" w:cs="Times New Roman"/>
                <w:bCs/>
                <w:sz w:val="20"/>
                <w:szCs w:val="20"/>
              </w:rPr>
            </w:pPr>
            <w:r w:rsidRPr="00105005">
              <w:rPr>
                <w:rFonts w:ascii="Times New Roman" w:hAnsi="Times New Roman" w:cs="Times New Roman"/>
                <w:sz w:val="20"/>
                <w:szCs w:val="20"/>
              </w:rPr>
              <w:t>This indicator will be determined by citizen perception surveys, vulnerable to selection bias and response bias;</w:t>
            </w:r>
          </w:p>
          <w:p w14:paraId="43B1408C" w14:textId="77777777" w:rsidR="000128B7" w:rsidRPr="00105005" w:rsidRDefault="000128B7" w:rsidP="0017151D">
            <w:pPr>
              <w:pStyle w:val="TableText"/>
              <w:numPr>
                <w:ilvl w:val="0"/>
                <w:numId w:val="42"/>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The overall fairness of investigative journalism is influenced by many factors, primarily from outside of PRG-PA’s interventions. An increase in the fairness</w:t>
            </w:r>
            <w:r w:rsidRPr="00105005">
              <w:rPr>
                <w:rFonts w:ascii="Times New Roman" w:hAnsi="Times New Roman" w:cs="Times New Roman"/>
                <w:sz w:val="20"/>
                <w:szCs w:val="20"/>
              </w:rPr>
              <w:t xml:space="preserve"> </w:t>
            </w:r>
            <w:r w:rsidRPr="00105005">
              <w:rPr>
                <w:rFonts w:ascii="Times New Roman" w:hAnsi="Times New Roman" w:cs="Times New Roman"/>
                <w:bCs/>
                <w:sz w:val="20"/>
                <w:szCs w:val="20"/>
              </w:rPr>
              <w:t xml:space="preserve">cannot be directly attributed to our activities. </w:t>
            </w:r>
          </w:p>
        </w:tc>
      </w:tr>
      <w:tr w:rsidR="000128B7" w:rsidRPr="00105005" w14:paraId="46D8A4EE"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B6F4A11" w14:textId="77777777" w:rsidR="000128B7" w:rsidRPr="00105005" w:rsidRDefault="000128B7" w:rsidP="000128B7">
            <w:pPr>
              <w:pStyle w:val="TableText"/>
              <w:spacing w:before="0" w:after="0"/>
              <w:rPr>
                <w:rFonts w:ascii="Times New Roman" w:hAnsi="Times New Roman" w:cs="Times New Roman"/>
                <w:b/>
                <w:sz w:val="20"/>
                <w:szCs w:val="20"/>
              </w:rPr>
            </w:pPr>
            <w:r w:rsidRPr="00105005">
              <w:rPr>
                <w:rFonts w:ascii="Times New Roman" w:hAnsi="Times New Roman" w:cs="Times New Roman"/>
                <w:b/>
                <w:sz w:val="20"/>
                <w:szCs w:val="20"/>
              </w:rPr>
              <w:t>Actions Taken or Planned to Address Data Limitations:</w:t>
            </w:r>
          </w:p>
          <w:p w14:paraId="37793CA1" w14:textId="77777777" w:rsidR="000128B7" w:rsidRPr="00105005" w:rsidRDefault="000128B7" w:rsidP="0017151D">
            <w:pPr>
              <w:pStyle w:val="TableText"/>
              <w:numPr>
                <w:ilvl w:val="0"/>
                <w:numId w:val="43"/>
              </w:numPr>
              <w:spacing w:before="0" w:after="0"/>
              <w:rPr>
                <w:rFonts w:ascii="Times New Roman" w:hAnsi="Times New Roman" w:cs="Times New Roman"/>
                <w:bCs/>
                <w:sz w:val="20"/>
                <w:szCs w:val="20"/>
              </w:rPr>
            </w:pPr>
            <w:r w:rsidRPr="00105005">
              <w:rPr>
                <w:rFonts w:ascii="Times New Roman" w:hAnsi="Times New Roman" w:cs="Times New Roman"/>
                <w:sz w:val="20"/>
                <w:szCs w:val="20"/>
              </w:rPr>
              <w:t>Discussions will be conducted with external evaluators to minimize data limitations in the baseline study and final evaluation</w:t>
            </w:r>
          </w:p>
          <w:p w14:paraId="4117BDC9" w14:textId="77777777" w:rsidR="000128B7" w:rsidRPr="00105005" w:rsidRDefault="000128B7" w:rsidP="0017151D">
            <w:pPr>
              <w:pStyle w:val="TableText"/>
              <w:numPr>
                <w:ilvl w:val="0"/>
                <w:numId w:val="43"/>
              </w:numPr>
              <w:spacing w:before="0" w:after="0"/>
              <w:rPr>
                <w:rFonts w:ascii="Times New Roman" w:hAnsi="Times New Roman" w:cs="Times New Roman"/>
                <w:bCs/>
                <w:sz w:val="20"/>
                <w:szCs w:val="20"/>
              </w:rPr>
            </w:pPr>
            <w:r w:rsidRPr="00105005">
              <w:rPr>
                <w:rFonts w:ascii="Times New Roman" w:hAnsi="Times New Roman" w:cs="Times New Roman"/>
                <w:bCs/>
                <w:sz w:val="20"/>
                <w:szCs w:val="20"/>
              </w:rPr>
              <w:t>TBD with program</w:t>
            </w:r>
          </w:p>
        </w:tc>
      </w:tr>
      <w:tr w:rsidR="000128B7" w:rsidRPr="00105005" w14:paraId="1DD6042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03C214C"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Date of Future Data Quality Assessments</w:t>
            </w:r>
            <w:r w:rsidRPr="00105005">
              <w:rPr>
                <w:rFonts w:ascii="Times New Roman" w:hAnsi="Times New Roman" w:cs="Times New Roman"/>
                <w:sz w:val="20"/>
                <w:szCs w:val="20"/>
              </w:rPr>
              <w:t>: TBD</w:t>
            </w:r>
          </w:p>
        </w:tc>
      </w:tr>
      <w:tr w:rsidR="000128B7" w:rsidRPr="00105005" w14:paraId="799283D2"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36691D36"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Procedures for Future Data Quality Assessments: </w:t>
            </w:r>
            <w:r w:rsidRPr="00105005">
              <w:rPr>
                <w:rFonts w:ascii="Times New Roman" w:hAnsi="Times New Roman" w:cs="Times New Roman"/>
                <w:sz w:val="20"/>
                <w:szCs w:val="20"/>
              </w:rPr>
              <w:t>N/A</w:t>
            </w:r>
          </w:p>
        </w:tc>
      </w:tr>
      <w:tr w:rsidR="000128B7" w:rsidRPr="00105005" w14:paraId="6CEBC82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04D7FC04"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Plan for Data Analysis, Review, and Reporting</w:t>
            </w:r>
          </w:p>
        </w:tc>
      </w:tr>
      <w:tr w:rsidR="000128B7" w:rsidRPr="00105005" w14:paraId="7C1EEE61"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2C6A111A"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Data Analysis: </w:t>
            </w:r>
            <w:r w:rsidRPr="00105005">
              <w:rPr>
                <w:rFonts w:ascii="Times New Roman" w:hAnsi="Times New Roman" w:cs="Times New Roman"/>
                <w:sz w:val="20"/>
                <w:szCs w:val="20"/>
              </w:rPr>
              <w:t>External evaluators will analyze the data in evaluation reports</w:t>
            </w:r>
          </w:p>
        </w:tc>
      </w:tr>
      <w:tr w:rsidR="000128B7" w:rsidRPr="00105005" w14:paraId="65B88C47"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49ABFA92"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Presentation of Data:</w:t>
            </w:r>
            <w:r w:rsidRPr="00105005">
              <w:rPr>
                <w:rFonts w:ascii="Times New Roman" w:hAnsi="Times New Roman" w:cs="Times New Roman"/>
                <w:sz w:val="20"/>
                <w:szCs w:val="20"/>
              </w:rPr>
              <w:t xml:space="preserve"> Baseline study and final evaluation</w:t>
            </w:r>
          </w:p>
        </w:tc>
      </w:tr>
      <w:tr w:rsidR="000128B7" w:rsidRPr="00105005" w14:paraId="0268F76A" w14:textId="77777777" w:rsidTr="000128B7">
        <w:trPr>
          <w:cantSplit/>
          <w:trHeight w:val="160"/>
          <w:jc w:val="center"/>
        </w:trPr>
        <w:tc>
          <w:tcPr>
            <w:tcW w:w="10093" w:type="dxa"/>
            <w:tcBorders>
              <w:top w:val="single" w:sz="8" w:space="0" w:color="002A6C"/>
              <w:left w:val="nil"/>
              <w:bottom w:val="single" w:sz="8" w:space="0" w:color="002A6C"/>
              <w:right w:val="nil"/>
            </w:tcBorders>
            <w:vAlign w:val="center"/>
          </w:tcPr>
          <w:p w14:paraId="73EA6671"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Review of Data:  </w:t>
            </w:r>
            <w:r w:rsidRPr="00105005">
              <w:rPr>
                <w:rFonts w:ascii="Times New Roman" w:hAnsi="Times New Roman" w:cs="Times New Roman"/>
                <w:sz w:val="20"/>
                <w:szCs w:val="20"/>
              </w:rPr>
              <w:t>Counterpart will review and analyze this data at the end of the final evaluation</w:t>
            </w:r>
          </w:p>
        </w:tc>
      </w:tr>
      <w:tr w:rsidR="000128B7" w:rsidRPr="00105005" w14:paraId="5C49FE4F"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FE84273"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 xml:space="preserve">Reporting of Data: </w:t>
            </w:r>
            <w:r w:rsidRPr="00105005">
              <w:rPr>
                <w:rFonts w:ascii="Times New Roman" w:hAnsi="Times New Roman" w:cs="Times New Roman"/>
                <w:sz w:val="20"/>
                <w:szCs w:val="20"/>
              </w:rPr>
              <w:t>Baseline study and final evaluation reports will be submitted to USAID and uploaded to the Development Experience Clearinghouse</w:t>
            </w:r>
          </w:p>
        </w:tc>
      </w:tr>
      <w:tr w:rsidR="000128B7" w:rsidRPr="00105005" w14:paraId="384D617C"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1DAE06F3"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Other Notes</w:t>
            </w:r>
          </w:p>
        </w:tc>
      </w:tr>
      <w:tr w:rsidR="000128B7" w:rsidRPr="00105005" w14:paraId="513578B3" w14:textId="77777777" w:rsidTr="000128B7">
        <w:trPr>
          <w:cantSplit/>
          <w:trHeight w:val="223"/>
          <w:jc w:val="center"/>
        </w:trPr>
        <w:tc>
          <w:tcPr>
            <w:tcW w:w="10093" w:type="dxa"/>
            <w:tcBorders>
              <w:top w:val="single" w:sz="8" w:space="0" w:color="002A6C"/>
              <w:left w:val="nil"/>
              <w:bottom w:val="single" w:sz="8" w:space="0" w:color="002A6C"/>
              <w:right w:val="nil"/>
            </w:tcBorders>
            <w:vAlign w:val="center"/>
          </w:tcPr>
          <w:p w14:paraId="0BA19749"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Notes on Baselines/Targets:</w:t>
            </w:r>
            <w:r w:rsidRPr="00105005">
              <w:rPr>
                <w:rFonts w:ascii="Times New Roman" w:hAnsi="Times New Roman" w:cs="Times New Roman"/>
                <w:sz w:val="20"/>
                <w:szCs w:val="20"/>
              </w:rPr>
              <w:t xml:space="preserve"> TBD/15%</w:t>
            </w:r>
          </w:p>
        </w:tc>
      </w:tr>
      <w:tr w:rsidR="000128B7" w:rsidRPr="00105005" w14:paraId="23BDC746" w14:textId="77777777" w:rsidTr="000128B7">
        <w:trPr>
          <w:cantSplit/>
          <w:jc w:val="center"/>
        </w:trPr>
        <w:tc>
          <w:tcPr>
            <w:tcW w:w="10093" w:type="dxa"/>
            <w:tcBorders>
              <w:top w:val="single" w:sz="8" w:space="0" w:color="002A6C"/>
              <w:left w:val="nil"/>
              <w:bottom w:val="single" w:sz="8" w:space="0" w:color="002A6C"/>
              <w:right w:val="nil"/>
            </w:tcBorders>
            <w:vAlign w:val="center"/>
          </w:tcPr>
          <w:p w14:paraId="0B64592D" w14:textId="77777777" w:rsidR="000128B7" w:rsidRPr="00105005" w:rsidRDefault="000128B7" w:rsidP="000128B7">
            <w:pPr>
              <w:pStyle w:val="TableText"/>
              <w:spacing w:before="0" w:after="0"/>
              <w:rPr>
                <w:rFonts w:ascii="Times New Roman" w:hAnsi="Times New Roman" w:cs="Times New Roman"/>
                <w:sz w:val="20"/>
                <w:szCs w:val="20"/>
              </w:rPr>
            </w:pPr>
            <w:r w:rsidRPr="00105005">
              <w:rPr>
                <w:rFonts w:ascii="Times New Roman" w:hAnsi="Times New Roman" w:cs="Times New Roman"/>
                <w:b/>
                <w:sz w:val="20"/>
                <w:szCs w:val="20"/>
              </w:rPr>
              <w:t>Other Notes:</w:t>
            </w:r>
            <w:r w:rsidRPr="00105005">
              <w:rPr>
                <w:rFonts w:ascii="Times New Roman" w:hAnsi="Times New Roman" w:cs="Times New Roman"/>
                <w:sz w:val="20"/>
                <w:szCs w:val="20"/>
              </w:rPr>
              <w:t xml:space="preserve"> </w:t>
            </w:r>
          </w:p>
        </w:tc>
      </w:tr>
      <w:tr w:rsidR="000128B7" w:rsidRPr="00105005" w14:paraId="0DB2EAE4" w14:textId="77777777" w:rsidTr="000128B7">
        <w:trPr>
          <w:cantSplit/>
          <w:jc w:val="center"/>
        </w:trPr>
        <w:tc>
          <w:tcPr>
            <w:tcW w:w="10093" w:type="dxa"/>
            <w:tcBorders>
              <w:top w:val="single" w:sz="8" w:space="0" w:color="002A6C"/>
              <w:left w:val="nil"/>
              <w:bottom w:val="single" w:sz="8" w:space="0" w:color="002A6C"/>
              <w:right w:val="nil"/>
            </w:tcBorders>
            <w:shd w:val="clear" w:color="auto" w:fill="D9D9D9" w:themeFill="background1" w:themeFillShade="D9"/>
            <w:vAlign w:val="center"/>
          </w:tcPr>
          <w:p w14:paraId="42929D8C" w14:textId="77777777" w:rsidR="000128B7" w:rsidRPr="00105005" w:rsidRDefault="000128B7" w:rsidP="000128B7">
            <w:pPr>
              <w:pStyle w:val="TableTextBold"/>
              <w:spacing w:before="0" w:after="0"/>
              <w:jc w:val="center"/>
              <w:rPr>
                <w:rFonts w:ascii="Times New Roman" w:hAnsi="Times New Roman" w:cs="Times New Roman"/>
              </w:rPr>
            </w:pPr>
            <w:r w:rsidRPr="00105005">
              <w:rPr>
                <w:rFonts w:ascii="Times New Roman" w:hAnsi="Times New Roman" w:cs="Times New Roman"/>
              </w:rPr>
              <w:t>Updated: 6/6/2016</w:t>
            </w:r>
          </w:p>
        </w:tc>
        <w:bookmarkStart w:id="125" w:name="_GoBack"/>
        <w:bookmarkEnd w:id="125"/>
      </w:tr>
    </w:tbl>
    <w:p w14:paraId="23E9D6F1" w14:textId="77777777" w:rsidR="000128B7" w:rsidRPr="00105005" w:rsidRDefault="000128B7" w:rsidP="000128B7">
      <w:pPr>
        <w:rPr>
          <w:sz w:val="20"/>
          <w:szCs w:val="20"/>
        </w:rPr>
      </w:pPr>
    </w:p>
    <w:p w14:paraId="1CA566B7" w14:textId="104DDD53" w:rsidR="002A581B" w:rsidRPr="00D0478B" w:rsidRDefault="002A581B" w:rsidP="0003573F">
      <w:pPr>
        <w:rPr>
          <w:rFonts w:asciiTheme="majorBidi" w:hAnsiTheme="majorBidi" w:cstheme="majorBidi"/>
        </w:rPr>
      </w:pPr>
    </w:p>
    <w:sectPr w:rsidR="002A581B" w:rsidRPr="00D04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9CF9B" w14:textId="77777777" w:rsidR="00DD3CAE" w:rsidRDefault="00DD3CAE" w:rsidP="007010BC">
      <w:r>
        <w:separator/>
      </w:r>
    </w:p>
  </w:endnote>
  <w:endnote w:type="continuationSeparator" w:id="0">
    <w:p w14:paraId="5DB88040" w14:textId="77777777" w:rsidR="00DD3CAE" w:rsidRDefault="00DD3CAE" w:rsidP="00701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Lucida Grande">
    <w:altName w:val="Arial"/>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Gill Sans Std Light">
    <w:altName w:val="Arial"/>
    <w:charset w:val="00"/>
    <w:family w:val="auto"/>
    <w:pitch w:val="variable"/>
    <w:sig w:usb0="80000267" w:usb1="00000000" w:usb2="00000000" w:usb3="00000000" w:csb0="000001F7" w:csb1="00000000"/>
  </w:font>
  <w:font w:name="Gill Sans MT Light">
    <w:altName w:val="Century Gothic"/>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156621"/>
      <w:docPartObj>
        <w:docPartGallery w:val="Page Numbers (Bottom of Page)"/>
        <w:docPartUnique/>
      </w:docPartObj>
    </w:sdtPr>
    <w:sdtEndPr>
      <w:rPr>
        <w:noProof/>
      </w:rPr>
    </w:sdtEndPr>
    <w:sdtContent>
      <w:p w14:paraId="78C48A13" w14:textId="2AC4439B" w:rsidR="00DD3CAE" w:rsidRDefault="00DD3CAE">
        <w:pPr>
          <w:pStyle w:val="Footer"/>
          <w:jc w:val="right"/>
        </w:pPr>
        <w:r>
          <w:fldChar w:fldCharType="begin"/>
        </w:r>
        <w:r>
          <w:instrText xml:space="preserve"> PAGE   \* MERGEFORMAT </w:instrText>
        </w:r>
        <w:r>
          <w:fldChar w:fldCharType="separate"/>
        </w:r>
        <w:r w:rsidR="001149C4">
          <w:rPr>
            <w:noProof/>
          </w:rPr>
          <w:t>i</w:t>
        </w:r>
        <w:r>
          <w:rPr>
            <w:noProof/>
          </w:rPr>
          <w:fldChar w:fldCharType="end"/>
        </w:r>
      </w:p>
    </w:sdtContent>
  </w:sdt>
  <w:p w14:paraId="1BD27335" w14:textId="77777777" w:rsidR="00DD3CAE" w:rsidRDefault="00DD3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155612"/>
      <w:docPartObj>
        <w:docPartGallery w:val="Page Numbers (Bottom of Page)"/>
        <w:docPartUnique/>
      </w:docPartObj>
    </w:sdtPr>
    <w:sdtEndPr>
      <w:rPr>
        <w:noProof/>
      </w:rPr>
    </w:sdtEndPr>
    <w:sdtContent>
      <w:p w14:paraId="4956BACA" w14:textId="069064B8" w:rsidR="00DD3CAE" w:rsidRDefault="00DD3CAE">
        <w:pPr>
          <w:pStyle w:val="Footer"/>
          <w:jc w:val="right"/>
        </w:pPr>
        <w:r>
          <w:fldChar w:fldCharType="begin"/>
        </w:r>
        <w:r>
          <w:instrText xml:space="preserve"> PAGE   \* MERGEFORMAT </w:instrText>
        </w:r>
        <w:r>
          <w:fldChar w:fldCharType="separate"/>
        </w:r>
        <w:r w:rsidR="003E583A">
          <w:rPr>
            <w:noProof/>
          </w:rPr>
          <w:t>ii</w:t>
        </w:r>
        <w:r>
          <w:rPr>
            <w:noProof/>
          </w:rPr>
          <w:fldChar w:fldCharType="end"/>
        </w:r>
      </w:p>
    </w:sdtContent>
  </w:sdt>
  <w:p w14:paraId="1F48A204" w14:textId="77777777" w:rsidR="00DD3CAE" w:rsidRDefault="00DD3C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659105"/>
      <w:docPartObj>
        <w:docPartGallery w:val="Page Numbers (Bottom of Page)"/>
        <w:docPartUnique/>
      </w:docPartObj>
    </w:sdtPr>
    <w:sdtEndPr>
      <w:rPr>
        <w:noProof/>
      </w:rPr>
    </w:sdtEndPr>
    <w:sdtContent>
      <w:p w14:paraId="72FD6A88" w14:textId="28658138" w:rsidR="00DD3CAE" w:rsidRDefault="00DD3CAE">
        <w:pPr>
          <w:pStyle w:val="Footer"/>
          <w:jc w:val="right"/>
        </w:pPr>
        <w:r>
          <w:fldChar w:fldCharType="begin"/>
        </w:r>
        <w:r>
          <w:instrText xml:space="preserve"> PAGE   \* MERGEFORMAT </w:instrText>
        </w:r>
        <w:r>
          <w:fldChar w:fldCharType="separate"/>
        </w:r>
        <w:r w:rsidR="003E583A">
          <w:rPr>
            <w:noProof/>
          </w:rPr>
          <w:t>54</w:t>
        </w:r>
        <w:r>
          <w:rPr>
            <w:noProof/>
          </w:rPr>
          <w:fldChar w:fldCharType="end"/>
        </w:r>
      </w:p>
    </w:sdtContent>
  </w:sdt>
  <w:p w14:paraId="7EECCEDA" w14:textId="77777777" w:rsidR="00DD3CAE" w:rsidRDefault="00DD3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47DAF" w14:textId="77777777" w:rsidR="00DD3CAE" w:rsidRDefault="00DD3CAE" w:rsidP="007010BC">
      <w:r>
        <w:separator/>
      </w:r>
    </w:p>
  </w:footnote>
  <w:footnote w:type="continuationSeparator" w:id="0">
    <w:p w14:paraId="4A8C5DC7" w14:textId="77777777" w:rsidR="00DD3CAE" w:rsidRDefault="00DD3CAE" w:rsidP="007010BC">
      <w:r>
        <w:continuationSeparator/>
      </w:r>
    </w:p>
  </w:footnote>
  <w:footnote w:id="1">
    <w:p w14:paraId="5CE7922C" w14:textId="77777777" w:rsidR="00DD3CAE" w:rsidRPr="004A20D8" w:rsidRDefault="00DD3CAE" w:rsidP="000128B7">
      <w:pPr>
        <w:pStyle w:val="FootnoteText"/>
        <w:rPr>
          <w:rFonts w:asciiTheme="minorBidi" w:hAnsiTheme="minorBidi" w:cstheme="minorBidi"/>
        </w:rPr>
      </w:pPr>
      <w:r w:rsidRPr="004A20D8">
        <w:rPr>
          <w:rStyle w:val="FootnoteReference"/>
          <w:rFonts w:asciiTheme="minorBidi" w:hAnsiTheme="minorBidi" w:cstheme="minorBidi"/>
        </w:rPr>
        <w:footnoteRef/>
      </w:r>
      <w:r w:rsidRPr="004A20D8">
        <w:rPr>
          <w:rFonts w:asciiTheme="minorBidi" w:hAnsiTheme="minorBidi" w:cstheme="minorBidi"/>
        </w:rPr>
        <w:t xml:space="preserve"> Hosted by Counterpart,</w:t>
      </w:r>
      <w:r>
        <w:rPr>
          <w:rFonts w:asciiTheme="minorBidi" w:hAnsiTheme="minorBidi" w:cstheme="minorBidi"/>
          <w:color w:val="FF0000"/>
        </w:rPr>
        <w:t xml:space="preserve"> </w:t>
      </w:r>
      <w:r>
        <w:rPr>
          <w:rFonts w:asciiTheme="minorBidi" w:hAnsiTheme="minorBidi" w:cstheme="minorBidi"/>
        </w:rPr>
        <w:t>PRG-PA</w:t>
      </w:r>
      <w:r w:rsidRPr="004A20D8">
        <w:rPr>
          <w:rFonts w:asciiTheme="minorBidi" w:hAnsiTheme="minorBidi" w:cstheme="minorBidi"/>
        </w:rPr>
        <w:t xml:space="preserve">’s Partners, </w:t>
      </w:r>
      <w:r w:rsidRPr="004C36F4">
        <w:rPr>
          <w:rFonts w:asciiTheme="minorBidi" w:hAnsiTheme="minorBidi" w:cstheme="minorBidi"/>
        </w:rPr>
        <w:t xml:space="preserve">PRG-PA </w:t>
      </w:r>
      <w:r w:rsidRPr="004A20D8">
        <w:rPr>
          <w:rFonts w:asciiTheme="minorBidi" w:hAnsiTheme="minorBidi" w:cstheme="minorBidi"/>
        </w:rPr>
        <w:t xml:space="preserve">grantees or sub-grantees. </w:t>
      </w:r>
    </w:p>
  </w:footnote>
  <w:footnote w:id="2">
    <w:p w14:paraId="3ADF8BC9" w14:textId="77777777" w:rsidR="00DD3CAE" w:rsidRDefault="00DD3CAE" w:rsidP="000128B7">
      <w:pPr>
        <w:pStyle w:val="FootnoteText"/>
      </w:pPr>
      <w:r>
        <w:rPr>
          <w:rStyle w:val="FootnoteReference"/>
        </w:rPr>
        <w:footnoteRef/>
      </w:r>
      <w:r>
        <w:t xml:space="preserve"> </w:t>
      </w:r>
      <w:r w:rsidRPr="00903740">
        <w:rPr>
          <w:rFonts w:asciiTheme="minorBidi" w:hAnsiTheme="minorBidi" w:cstheme="minorBidi"/>
        </w:rPr>
        <w:t>Provide</w:t>
      </w:r>
      <w:r>
        <w:rPr>
          <w:rFonts w:asciiTheme="minorBidi" w:hAnsiTheme="minorBidi" w:cstheme="minorBidi"/>
        </w:rPr>
        <w:t>d by Counterpart, PRG-PA’s Partners, PRG-PA</w:t>
      </w:r>
      <w:r w:rsidRPr="00903740">
        <w:rPr>
          <w:rFonts w:asciiTheme="minorBidi" w:hAnsiTheme="minorBidi" w:cstheme="minorBidi"/>
        </w:rPr>
        <w:t xml:space="preserve"> grantees or sub-grantees.</w:t>
      </w:r>
      <w:r w:rsidRPr="00903740">
        <w:t xml:space="preserve"> </w:t>
      </w:r>
    </w:p>
  </w:footnote>
  <w:footnote w:id="3">
    <w:p w14:paraId="2D0263C7" w14:textId="77777777" w:rsidR="00DD3CAE" w:rsidRDefault="00DD3CAE" w:rsidP="000128B7">
      <w:pPr>
        <w:pStyle w:val="FootnoteText"/>
      </w:pPr>
      <w:r>
        <w:rPr>
          <w:rStyle w:val="FootnoteReference"/>
        </w:rPr>
        <w:footnoteRef/>
      </w:r>
      <w:r>
        <w:t xml:space="preserve"> </w:t>
      </w:r>
      <w:r w:rsidRPr="00903740">
        <w:rPr>
          <w:rFonts w:asciiTheme="minorBidi" w:hAnsiTheme="minorBidi" w:cstheme="minorBidi"/>
        </w:rPr>
        <w:t>Provide</w:t>
      </w:r>
      <w:r>
        <w:rPr>
          <w:rFonts w:asciiTheme="minorBidi" w:hAnsiTheme="minorBidi" w:cstheme="minorBidi"/>
        </w:rPr>
        <w:t>d by Counterpart, PRG-PA’s Partners, PRG-PA</w:t>
      </w:r>
      <w:r w:rsidRPr="00903740">
        <w:rPr>
          <w:rFonts w:asciiTheme="minorBidi" w:hAnsiTheme="minorBidi" w:cstheme="minorBidi"/>
        </w:rPr>
        <w:t xml:space="preserve"> grantees or sub-grantees.</w:t>
      </w:r>
      <w:r w:rsidRPr="00903740">
        <w:t xml:space="preserve"> </w:t>
      </w:r>
    </w:p>
  </w:footnote>
  <w:footnote w:id="4">
    <w:p w14:paraId="4FBAA741" w14:textId="77777777" w:rsidR="00DD3CAE" w:rsidRDefault="00DD3CAE" w:rsidP="000128B7">
      <w:pPr>
        <w:pStyle w:val="FootnoteText"/>
      </w:pPr>
      <w:r>
        <w:rPr>
          <w:rStyle w:val="FootnoteReference"/>
        </w:rPr>
        <w:footnoteRef/>
      </w:r>
      <w:r>
        <w:t xml:space="preserve"> </w:t>
      </w:r>
      <w:r w:rsidRPr="00903740">
        <w:rPr>
          <w:rFonts w:asciiTheme="minorBidi" w:hAnsiTheme="minorBidi" w:cstheme="minorBidi"/>
        </w:rPr>
        <w:t>Provide</w:t>
      </w:r>
      <w:r>
        <w:rPr>
          <w:rFonts w:asciiTheme="minorBidi" w:hAnsiTheme="minorBidi" w:cstheme="minorBidi"/>
        </w:rPr>
        <w:t>d by Counterpart, PRG-PA’s Partners, PRG-PA</w:t>
      </w:r>
      <w:r w:rsidRPr="00903740">
        <w:rPr>
          <w:rFonts w:asciiTheme="minorBidi" w:hAnsiTheme="minorBidi" w:cstheme="minorBidi"/>
        </w:rPr>
        <w:t xml:space="preserve"> grantees or sub-grantees.</w:t>
      </w:r>
      <w:r w:rsidRPr="00903740">
        <w:t xml:space="preserve"> </w:t>
      </w:r>
    </w:p>
  </w:footnote>
  <w:footnote w:id="5">
    <w:p w14:paraId="46AF39E9" w14:textId="77777777" w:rsidR="00DD3CAE" w:rsidRDefault="00DD3CAE" w:rsidP="000128B7">
      <w:pPr>
        <w:pStyle w:val="FootnoteText"/>
      </w:pPr>
      <w:r>
        <w:rPr>
          <w:rStyle w:val="FootnoteReference"/>
        </w:rPr>
        <w:footnoteRef/>
      </w:r>
      <w:r>
        <w:t xml:space="preserve"> </w:t>
      </w:r>
      <w:r w:rsidRPr="00903740">
        <w:rPr>
          <w:rFonts w:asciiTheme="minorBidi" w:hAnsiTheme="minorBidi" w:cstheme="minorBidi"/>
        </w:rPr>
        <w:t>Provide</w:t>
      </w:r>
      <w:r>
        <w:rPr>
          <w:rFonts w:asciiTheme="minorBidi" w:hAnsiTheme="minorBidi" w:cstheme="minorBidi"/>
        </w:rPr>
        <w:t>d by Counterpart, PRG-PA’s Partners, PRG-PA</w:t>
      </w:r>
      <w:r w:rsidRPr="00903740">
        <w:rPr>
          <w:rFonts w:asciiTheme="minorBidi" w:hAnsiTheme="minorBidi" w:cstheme="minorBidi"/>
        </w:rPr>
        <w:t xml:space="preserve"> grantees or sub-grantees.</w:t>
      </w:r>
      <w:r w:rsidRPr="00903740">
        <w:t xml:space="preserve"> </w:t>
      </w:r>
    </w:p>
  </w:footnote>
  <w:footnote w:id="6">
    <w:p w14:paraId="4B4D7C8E" w14:textId="77777777" w:rsidR="00DD3CAE" w:rsidRDefault="00DD3CAE" w:rsidP="000128B7">
      <w:pPr>
        <w:pStyle w:val="FootnoteText"/>
      </w:pPr>
      <w:r>
        <w:rPr>
          <w:rStyle w:val="FootnoteReference"/>
        </w:rPr>
        <w:footnoteRef/>
      </w:r>
      <w:r>
        <w:t xml:space="preserve"> </w:t>
      </w:r>
      <w:r w:rsidRPr="00903740">
        <w:rPr>
          <w:rFonts w:asciiTheme="minorBidi" w:hAnsiTheme="minorBidi" w:cstheme="minorBidi"/>
        </w:rPr>
        <w:t>Provide</w:t>
      </w:r>
      <w:r>
        <w:rPr>
          <w:rFonts w:asciiTheme="minorBidi" w:hAnsiTheme="minorBidi" w:cstheme="minorBidi"/>
        </w:rPr>
        <w:t>d by Counterpart, PRG-PA’s Partners, PRG-PA</w:t>
      </w:r>
      <w:r w:rsidRPr="00903740">
        <w:rPr>
          <w:rFonts w:asciiTheme="minorBidi" w:hAnsiTheme="minorBidi" w:cstheme="minorBidi"/>
        </w:rPr>
        <w:t xml:space="preserve"> grantees or sub-grantees.</w:t>
      </w:r>
      <w:r w:rsidRPr="00903740">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CC87D" w14:textId="6355268E" w:rsidR="00DD3CAE" w:rsidRDefault="00DD3CAE">
    <w:pPr>
      <w:pStyle w:val="Header"/>
    </w:pPr>
    <w:r>
      <w:rPr>
        <w:noProof/>
      </w:rPr>
      <w:drawing>
        <wp:inline distT="0" distB="0" distL="0" distR="0" wp14:anchorId="54B4F21F" wp14:editId="5F1EEAF8">
          <wp:extent cx="5943600" cy="903605"/>
          <wp:effectExtent l="0" t="0" r="0" b="0"/>
          <wp:docPr id="6" name="Picture 6" descr="USAID-LWA-Counterpa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ID-LWA-Counterpar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03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C7900" w14:textId="3FAA8E5C" w:rsidR="00DD3CAE" w:rsidRDefault="00DD3CAE">
    <w:pPr>
      <w:pStyle w:val="Header"/>
    </w:pPr>
    <w:r>
      <w:rPr>
        <w:noProof/>
      </w:rPr>
      <w:drawing>
        <wp:inline distT="0" distB="0" distL="0" distR="0" wp14:anchorId="0D242D6D" wp14:editId="688C1718">
          <wp:extent cx="5943600" cy="903605"/>
          <wp:effectExtent l="0" t="0" r="0" b="0"/>
          <wp:docPr id="7" name="Picture 7" descr="USAID-LWA-Counterpa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AID-LWA-Counterpar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0360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2AB4" w14:textId="6673C275" w:rsidR="00DD3CAE" w:rsidRDefault="00DD3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546B"/>
    <w:multiLevelType w:val="hybridMultilevel"/>
    <w:tmpl w:val="234EF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AE5"/>
    <w:multiLevelType w:val="hybridMultilevel"/>
    <w:tmpl w:val="EDDA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D0FA9"/>
    <w:multiLevelType w:val="hybridMultilevel"/>
    <w:tmpl w:val="13B671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A812DD"/>
    <w:multiLevelType w:val="hybridMultilevel"/>
    <w:tmpl w:val="8466B276"/>
    <w:lvl w:ilvl="0" w:tplc="0BDAEEC0">
      <w:start w:val="1"/>
      <w:numFmt w:val="lowerLetter"/>
      <w:pStyle w:val="Heading3"/>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8217AC4"/>
    <w:multiLevelType w:val="hybridMultilevel"/>
    <w:tmpl w:val="E32815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C150B7"/>
    <w:multiLevelType w:val="hybridMultilevel"/>
    <w:tmpl w:val="8A50AC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E4239B"/>
    <w:multiLevelType w:val="hybridMultilevel"/>
    <w:tmpl w:val="7952B9AE"/>
    <w:lvl w:ilvl="0" w:tplc="04090001">
      <w:start w:val="1"/>
      <w:numFmt w:val="bullet"/>
      <w:lvlText w:val=""/>
      <w:lvlJc w:val="left"/>
      <w:pPr>
        <w:ind w:left="1080" w:hanging="360"/>
      </w:pPr>
      <w:rPr>
        <w:rFonts w:ascii="Symbol" w:hAnsi="Symbol" w:hint="default"/>
      </w:rPr>
    </w:lvl>
    <w:lvl w:ilvl="1" w:tplc="D8026A8C">
      <w:numFmt w:val="bullet"/>
      <w:lvlText w:val="•"/>
      <w:lvlJc w:val="left"/>
      <w:pPr>
        <w:ind w:left="2160" w:hanging="720"/>
      </w:pPr>
      <w:rPr>
        <w:rFonts w:ascii="Cambria" w:eastAsia="MS Mincho" w:hAnsi="Cambri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B902AC"/>
    <w:multiLevelType w:val="multilevel"/>
    <w:tmpl w:val="37C4ACD2"/>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D4170BC"/>
    <w:multiLevelType w:val="hybridMultilevel"/>
    <w:tmpl w:val="79FAF5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8404CD"/>
    <w:multiLevelType w:val="hybridMultilevel"/>
    <w:tmpl w:val="6268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10CC2"/>
    <w:multiLevelType w:val="hybridMultilevel"/>
    <w:tmpl w:val="504CF4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2E2123"/>
    <w:multiLevelType w:val="hybridMultilevel"/>
    <w:tmpl w:val="0AFC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B4A51"/>
    <w:multiLevelType w:val="multilevel"/>
    <w:tmpl w:val="77F2255C"/>
    <w:lvl w:ilvl="0">
      <w:start w:val="1"/>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3" w15:restartNumberingAfterBreak="0">
    <w:nsid w:val="301C5B00"/>
    <w:multiLevelType w:val="multilevel"/>
    <w:tmpl w:val="3C223574"/>
    <w:lvl w:ilvl="0">
      <w:start w:val="1"/>
      <w:numFmt w:val="decimal"/>
      <w:lvlText w:val="%1."/>
      <w:lvlJc w:val="left"/>
      <w:pPr>
        <w:ind w:left="2880" w:hanging="360"/>
      </w:pPr>
      <w:rPr>
        <w:rFonts w:hint="default"/>
      </w:rPr>
    </w:lvl>
    <w:lvl w:ilvl="1">
      <w:start w:val="2"/>
      <w:numFmt w:val="decimal"/>
      <w:pStyle w:val="Heading2"/>
      <w:isLgl/>
      <w:lvlText w:val="%1.%2"/>
      <w:lvlJc w:val="left"/>
      <w:pPr>
        <w:ind w:left="294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4" w15:restartNumberingAfterBreak="0">
    <w:nsid w:val="303D5BEF"/>
    <w:multiLevelType w:val="hybridMultilevel"/>
    <w:tmpl w:val="669E40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3345A"/>
    <w:multiLevelType w:val="hybridMultilevel"/>
    <w:tmpl w:val="FE5C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90210"/>
    <w:multiLevelType w:val="hybridMultilevel"/>
    <w:tmpl w:val="73B2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F491E"/>
    <w:multiLevelType w:val="hybridMultilevel"/>
    <w:tmpl w:val="5C7C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35C54"/>
    <w:multiLevelType w:val="hybridMultilevel"/>
    <w:tmpl w:val="A2A069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A400CD"/>
    <w:multiLevelType w:val="hybridMultilevel"/>
    <w:tmpl w:val="9038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058B5"/>
    <w:multiLevelType w:val="hybridMultilevel"/>
    <w:tmpl w:val="D6147A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214EE4"/>
    <w:multiLevelType w:val="hybridMultilevel"/>
    <w:tmpl w:val="31AE5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84642F"/>
    <w:multiLevelType w:val="hybridMultilevel"/>
    <w:tmpl w:val="3BBE4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B1842"/>
    <w:multiLevelType w:val="hybridMultilevel"/>
    <w:tmpl w:val="F98C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F6181"/>
    <w:multiLevelType w:val="hybridMultilevel"/>
    <w:tmpl w:val="C47C4C8E"/>
    <w:lvl w:ilvl="0" w:tplc="5388243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A2B86"/>
    <w:multiLevelType w:val="hybridMultilevel"/>
    <w:tmpl w:val="CE08B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53100"/>
    <w:multiLevelType w:val="hybridMultilevel"/>
    <w:tmpl w:val="EE444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1251D"/>
    <w:multiLevelType w:val="hybridMultilevel"/>
    <w:tmpl w:val="6A328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F3C55"/>
    <w:multiLevelType w:val="hybridMultilevel"/>
    <w:tmpl w:val="7A7C7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51111B"/>
    <w:multiLevelType w:val="hybridMultilevel"/>
    <w:tmpl w:val="5D9C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17FE5"/>
    <w:multiLevelType w:val="hybridMultilevel"/>
    <w:tmpl w:val="00283D9C"/>
    <w:lvl w:ilvl="0" w:tplc="C9E04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01C97"/>
    <w:multiLevelType w:val="hybridMultilevel"/>
    <w:tmpl w:val="26D6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A45878"/>
    <w:multiLevelType w:val="hybridMultilevel"/>
    <w:tmpl w:val="017A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3E0B16"/>
    <w:multiLevelType w:val="hybridMultilevel"/>
    <w:tmpl w:val="8F588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553F6F"/>
    <w:multiLevelType w:val="hybridMultilevel"/>
    <w:tmpl w:val="F994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E318C1"/>
    <w:multiLevelType w:val="hybridMultilevel"/>
    <w:tmpl w:val="807EF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C2107E"/>
    <w:multiLevelType w:val="hybridMultilevel"/>
    <w:tmpl w:val="EE224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DC4007"/>
    <w:multiLevelType w:val="hybridMultilevel"/>
    <w:tmpl w:val="271E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9153D4"/>
    <w:multiLevelType w:val="hybridMultilevel"/>
    <w:tmpl w:val="5F628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63570"/>
    <w:multiLevelType w:val="hybridMultilevel"/>
    <w:tmpl w:val="C2C8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626E9"/>
    <w:multiLevelType w:val="hybridMultilevel"/>
    <w:tmpl w:val="06426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9B644A"/>
    <w:multiLevelType w:val="hybridMultilevel"/>
    <w:tmpl w:val="502AC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30"/>
  </w:num>
  <w:num w:numId="4">
    <w:abstractNumId w:val="10"/>
  </w:num>
  <w:num w:numId="5">
    <w:abstractNumId w:val="8"/>
  </w:num>
  <w:num w:numId="6">
    <w:abstractNumId w:val="18"/>
  </w:num>
  <w:num w:numId="7">
    <w:abstractNumId w:val="20"/>
  </w:num>
  <w:num w:numId="8">
    <w:abstractNumId w:val="4"/>
  </w:num>
  <w:num w:numId="9">
    <w:abstractNumId w:val="2"/>
  </w:num>
  <w:num w:numId="10">
    <w:abstractNumId w:val="5"/>
  </w:num>
  <w:num w:numId="11">
    <w:abstractNumId w:val="14"/>
  </w:num>
  <w:num w:numId="12">
    <w:abstractNumId w:val="28"/>
  </w:num>
  <w:num w:numId="13">
    <w:abstractNumId w:val="1"/>
  </w:num>
  <w:num w:numId="14">
    <w:abstractNumId w:val="7"/>
  </w:num>
  <w:num w:numId="15">
    <w:abstractNumId w:val="3"/>
  </w:num>
  <w:num w:numId="16">
    <w:abstractNumId w:val="3"/>
    <w:lvlOverride w:ilvl="0">
      <w:startOverride w:val="1"/>
    </w:lvlOverride>
  </w:num>
  <w:num w:numId="17">
    <w:abstractNumId w:val="3"/>
    <w:lvlOverride w:ilvl="0">
      <w:startOverride w:val="1"/>
    </w:lvlOverride>
  </w:num>
  <w:num w:numId="18">
    <w:abstractNumId w:val="36"/>
  </w:num>
  <w:num w:numId="19">
    <w:abstractNumId w:val="12"/>
  </w:num>
  <w:num w:numId="20">
    <w:abstractNumId w:val="24"/>
  </w:num>
  <w:num w:numId="21">
    <w:abstractNumId w:val="25"/>
  </w:num>
  <w:num w:numId="22">
    <w:abstractNumId w:val="40"/>
  </w:num>
  <w:num w:numId="23">
    <w:abstractNumId w:val="41"/>
  </w:num>
  <w:num w:numId="24">
    <w:abstractNumId w:val="21"/>
  </w:num>
  <w:num w:numId="25">
    <w:abstractNumId w:val="9"/>
  </w:num>
  <w:num w:numId="26">
    <w:abstractNumId w:val="11"/>
  </w:num>
  <w:num w:numId="27">
    <w:abstractNumId w:val="32"/>
  </w:num>
  <w:num w:numId="28">
    <w:abstractNumId w:val="16"/>
  </w:num>
  <w:num w:numId="29">
    <w:abstractNumId w:val="37"/>
  </w:num>
  <w:num w:numId="30">
    <w:abstractNumId w:val="23"/>
  </w:num>
  <w:num w:numId="31">
    <w:abstractNumId w:val="34"/>
  </w:num>
  <w:num w:numId="32">
    <w:abstractNumId w:val="33"/>
  </w:num>
  <w:num w:numId="33">
    <w:abstractNumId w:val="17"/>
  </w:num>
  <w:num w:numId="34">
    <w:abstractNumId w:val="19"/>
  </w:num>
  <w:num w:numId="35">
    <w:abstractNumId w:val="39"/>
  </w:num>
  <w:num w:numId="36">
    <w:abstractNumId w:val="29"/>
  </w:num>
  <w:num w:numId="37">
    <w:abstractNumId w:val="38"/>
  </w:num>
  <w:num w:numId="38">
    <w:abstractNumId w:val="26"/>
  </w:num>
  <w:num w:numId="39">
    <w:abstractNumId w:val="31"/>
  </w:num>
  <w:num w:numId="40">
    <w:abstractNumId w:val="15"/>
  </w:num>
  <w:num w:numId="41">
    <w:abstractNumId w:val="35"/>
  </w:num>
  <w:num w:numId="42">
    <w:abstractNumId w:val="0"/>
  </w:num>
  <w:num w:numId="43">
    <w:abstractNumId w:val="22"/>
  </w:num>
  <w:num w:numId="44">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BC"/>
    <w:rsid w:val="00000AC4"/>
    <w:rsid w:val="0000179E"/>
    <w:rsid w:val="00002BCB"/>
    <w:rsid w:val="000034D0"/>
    <w:rsid w:val="00004565"/>
    <w:rsid w:val="000055AE"/>
    <w:rsid w:val="000128B7"/>
    <w:rsid w:val="0001505E"/>
    <w:rsid w:val="00021BD1"/>
    <w:rsid w:val="000223B6"/>
    <w:rsid w:val="0003573F"/>
    <w:rsid w:val="000423D8"/>
    <w:rsid w:val="00042728"/>
    <w:rsid w:val="00043C3F"/>
    <w:rsid w:val="00044A88"/>
    <w:rsid w:val="00052911"/>
    <w:rsid w:val="00052E0A"/>
    <w:rsid w:val="00055307"/>
    <w:rsid w:val="000564C0"/>
    <w:rsid w:val="0005797E"/>
    <w:rsid w:val="00060D80"/>
    <w:rsid w:val="00062019"/>
    <w:rsid w:val="0006232E"/>
    <w:rsid w:val="00064363"/>
    <w:rsid w:val="00070DE0"/>
    <w:rsid w:val="00073129"/>
    <w:rsid w:val="000736A4"/>
    <w:rsid w:val="000804EF"/>
    <w:rsid w:val="00084DFA"/>
    <w:rsid w:val="0008523D"/>
    <w:rsid w:val="000917D0"/>
    <w:rsid w:val="000941C6"/>
    <w:rsid w:val="00095218"/>
    <w:rsid w:val="00097447"/>
    <w:rsid w:val="000A6022"/>
    <w:rsid w:val="000A6AD3"/>
    <w:rsid w:val="000B080F"/>
    <w:rsid w:val="000B49D1"/>
    <w:rsid w:val="000B7A26"/>
    <w:rsid w:val="000C2CE6"/>
    <w:rsid w:val="000C32DA"/>
    <w:rsid w:val="000C47EB"/>
    <w:rsid w:val="000C4A02"/>
    <w:rsid w:val="000C5617"/>
    <w:rsid w:val="000D219C"/>
    <w:rsid w:val="000D40A1"/>
    <w:rsid w:val="000E33C0"/>
    <w:rsid w:val="000E470C"/>
    <w:rsid w:val="000F0539"/>
    <w:rsid w:val="000F1D56"/>
    <w:rsid w:val="000F3E7B"/>
    <w:rsid w:val="00101983"/>
    <w:rsid w:val="00102FBF"/>
    <w:rsid w:val="0010397C"/>
    <w:rsid w:val="00105474"/>
    <w:rsid w:val="00106BE6"/>
    <w:rsid w:val="00107025"/>
    <w:rsid w:val="00107BB0"/>
    <w:rsid w:val="00110FA5"/>
    <w:rsid w:val="001146A0"/>
    <w:rsid w:val="001149C4"/>
    <w:rsid w:val="00115233"/>
    <w:rsid w:val="00117971"/>
    <w:rsid w:val="0012199A"/>
    <w:rsid w:val="00123628"/>
    <w:rsid w:val="001238ED"/>
    <w:rsid w:val="00123EAF"/>
    <w:rsid w:val="001249F8"/>
    <w:rsid w:val="0012506D"/>
    <w:rsid w:val="00132496"/>
    <w:rsid w:val="00132D27"/>
    <w:rsid w:val="001344DB"/>
    <w:rsid w:val="00141129"/>
    <w:rsid w:val="0014285F"/>
    <w:rsid w:val="001432D0"/>
    <w:rsid w:val="00144834"/>
    <w:rsid w:val="001457E9"/>
    <w:rsid w:val="00147893"/>
    <w:rsid w:val="001528B6"/>
    <w:rsid w:val="00157805"/>
    <w:rsid w:val="00160DD3"/>
    <w:rsid w:val="001618C2"/>
    <w:rsid w:val="00166868"/>
    <w:rsid w:val="00166BB6"/>
    <w:rsid w:val="0016772C"/>
    <w:rsid w:val="001679E8"/>
    <w:rsid w:val="00170637"/>
    <w:rsid w:val="00170B4F"/>
    <w:rsid w:val="00170DDF"/>
    <w:rsid w:val="0017151D"/>
    <w:rsid w:val="00171F2F"/>
    <w:rsid w:val="00172523"/>
    <w:rsid w:val="00174855"/>
    <w:rsid w:val="00174AA8"/>
    <w:rsid w:val="00175386"/>
    <w:rsid w:val="00176EED"/>
    <w:rsid w:val="00177108"/>
    <w:rsid w:val="00177E57"/>
    <w:rsid w:val="001807AC"/>
    <w:rsid w:val="00182A82"/>
    <w:rsid w:val="00183361"/>
    <w:rsid w:val="001851B2"/>
    <w:rsid w:val="00192D4F"/>
    <w:rsid w:val="001930FD"/>
    <w:rsid w:val="00193773"/>
    <w:rsid w:val="00197A97"/>
    <w:rsid w:val="001A04F0"/>
    <w:rsid w:val="001A0E64"/>
    <w:rsid w:val="001A42CB"/>
    <w:rsid w:val="001A6A03"/>
    <w:rsid w:val="001A7F6C"/>
    <w:rsid w:val="001B3FCC"/>
    <w:rsid w:val="001B4A2B"/>
    <w:rsid w:val="001B7F05"/>
    <w:rsid w:val="001C070E"/>
    <w:rsid w:val="001C1C04"/>
    <w:rsid w:val="001C3B7A"/>
    <w:rsid w:val="001C468E"/>
    <w:rsid w:val="001C50F7"/>
    <w:rsid w:val="001D1632"/>
    <w:rsid w:val="001D1CFE"/>
    <w:rsid w:val="001D2617"/>
    <w:rsid w:val="001D2A73"/>
    <w:rsid w:val="001D5502"/>
    <w:rsid w:val="001D5BCF"/>
    <w:rsid w:val="001D7B17"/>
    <w:rsid w:val="001E0877"/>
    <w:rsid w:val="001E112F"/>
    <w:rsid w:val="001E2CF3"/>
    <w:rsid w:val="001E5215"/>
    <w:rsid w:val="001F6294"/>
    <w:rsid w:val="001F6A16"/>
    <w:rsid w:val="00200C3D"/>
    <w:rsid w:val="00205209"/>
    <w:rsid w:val="00205D04"/>
    <w:rsid w:val="0021076A"/>
    <w:rsid w:val="002113DB"/>
    <w:rsid w:val="002152AD"/>
    <w:rsid w:val="00220FA1"/>
    <w:rsid w:val="002217A2"/>
    <w:rsid w:val="00221C87"/>
    <w:rsid w:val="00222808"/>
    <w:rsid w:val="00223009"/>
    <w:rsid w:val="00232A6C"/>
    <w:rsid w:val="00234728"/>
    <w:rsid w:val="002402A9"/>
    <w:rsid w:val="002408CD"/>
    <w:rsid w:val="00242BE5"/>
    <w:rsid w:val="002464F5"/>
    <w:rsid w:val="002504B2"/>
    <w:rsid w:val="002507CE"/>
    <w:rsid w:val="00252FDD"/>
    <w:rsid w:val="00253625"/>
    <w:rsid w:val="00256994"/>
    <w:rsid w:val="002569D2"/>
    <w:rsid w:val="00257950"/>
    <w:rsid w:val="002732B4"/>
    <w:rsid w:val="00273555"/>
    <w:rsid w:val="002746E6"/>
    <w:rsid w:val="00275E11"/>
    <w:rsid w:val="002765BE"/>
    <w:rsid w:val="00280AC2"/>
    <w:rsid w:val="00281319"/>
    <w:rsid w:val="002830F8"/>
    <w:rsid w:val="002858F3"/>
    <w:rsid w:val="00285F58"/>
    <w:rsid w:val="00290FEC"/>
    <w:rsid w:val="00291240"/>
    <w:rsid w:val="00292518"/>
    <w:rsid w:val="00294449"/>
    <w:rsid w:val="00297EC0"/>
    <w:rsid w:val="002A581B"/>
    <w:rsid w:val="002B5513"/>
    <w:rsid w:val="002B592F"/>
    <w:rsid w:val="002B7E3F"/>
    <w:rsid w:val="002C029F"/>
    <w:rsid w:val="002C221D"/>
    <w:rsid w:val="002C34EC"/>
    <w:rsid w:val="002C3909"/>
    <w:rsid w:val="002D266E"/>
    <w:rsid w:val="002D4FFC"/>
    <w:rsid w:val="002D5290"/>
    <w:rsid w:val="002D5551"/>
    <w:rsid w:val="002D616B"/>
    <w:rsid w:val="002D6F10"/>
    <w:rsid w:val="002E0FF6"/>
    <w:rsid w:val="002E6C3D"/>
    <w:rsid w:val="002F273C"/>
    <w:rsid w:val="002F46AB"/>
    <w:rsid w:val="002F6449"/>
    <w:rsid w:val="0030049D"/>
    <w:rsid w:val="00304D36"/>
    <w:rsid w:val="00305E42"/>
    <w:rsid w:val="003071D3"/>
    <w:rsid w:val="00310B1B"/>
    <w:rsid w:val="00312394"/>
    <w:rsid w:val="00324CCE"/>
    <w:rsid w:val="0032792C"/>
    <w:rsid w:val="003317F5"/>
    <w:rsid w:val="00331C18"/>
    <w:rsid w:val="003366DC"/>
    <w:rsid w:val="0035618A"/>
    <w:rsid w:val="00362054"/>
    <w:rsid w:val="003631BD"/>
    <w:rsid w:val="003637D0"/>
    <w:rsid w:val="00365FE3"/>
    <w:rsid w:val="003706BE"/>
    <w:rsid w:val="00373CD2"/>
    <w:rsid w:val="0037497B"/>
    <w:rsid w:val="00375E36"/>
    <w:rsid w:val="00387963"/>
    <w:rsid w:val="0039008A"/>
    <w:rsid w:val="0039373F"/>
    <w:rsid w:val="00395D9D"/>
    <w:rsid w:val="00395ED5"/>
    <w:rsid w:val="003961AA"/>
    <w:rsid w:val="003A025D"/>
    <w:rsid w:val="003A0F63"/>
    <w:rsid w:val="003A20D9"/>
    <w:rsid w:val="003A3B95"/>
    <w:rsid w:val="003A478E"/>
    <w:rsid w:val="003A49D3"/>
    <w:rsid w:val="003A4D66"/>
    <w:rsid w:val="003A5B74"/>
    <w:rsid w:val="003A6540"/>
    <w:rsid w:val="003B50B1"/>
    <w:rsid w:val="003C4931"/>
    <w:rsid w:val="003C5F2D"/>
    <w:rsid w:val="003D12DA"/>
    <w:rsid w:val="003D2F1F"/>
    <w:rsid w:val="003D53F3"/>
    <w:rsid w:val="003D7E9F"/>
    <w:rsid w:val="003E583A"/>
    <w:rsid w:val="003F02AF"/>
    <w:rsid w:val="003F048E"/>
    <w:rsid w:val="003F05B7"/>
    <w:rsid w:val="003F5F05"/>
    <w:rsid w:val="00400DD0"/>
    <w:rsid w:val="00401376"/>
    <w:rsid w:val="0040259D"/>
    <w:rsid w:val="00406E57"/>
    <w:rsid w:val="004103A3"/>
    <w:rsid w:val="00413909"/>
    <w:rsid w:val="0041392A"/>
    <w:rsid w:val="004147E2"/>
    <w:rsid w:val="004161EC"/>
    <w:rsid w:val="00426C1D"/>
    <w:rsid w:val="004346CD"/>
    <w:rsid w:val="00434E99"/>
    <w:rsid w:val="004371C3"/>
    <w:rsid w:val="00437784"/>
    <w:rsid w:val="004400A2"/>
    <w:rsid w:val="0044585B"/>
    <w:rsid w:val="004460D0"/>
    <w:rsid w:val="00454D24"/>
    <w:rsid w:val="00455C6D"/>
    <w:rsid w:val="00461638"/>
    <w:rsid w:val="00462752"/>
    <w:rsid w:val="0046506A"/>
    <w:rsid w:val="00465836"/>
    <w:rsid w:val="00470352"/>
    <w:rsid w:val="00474F61"/>
    <w:rsid w:val="0048759C"/>
    <w:rsid w:val="00491BB4"/>
    <w:rsid w:val="00494FFC"/>
    <w:rsid w:val="0049620B"/>
    <w:rsid w:val="004A080A"/>
    <w:rsid w:val="004A61EB"/>
    <w:rsid w:val="004A6937"/>
    <w:rsid w:val="004A7EAD"/>
    <w:rsid w:val="004B58F4"/>
    <w:rsid w:val="004B691A"/>
    <w:rsid w:val="004C2937"/>
    <w:rsid w:val="004C5E40"/>
    <w:rsid w:val="004D0962"/>
    <w:rsid w:val="004D1D08"/>
    <w:rsid w:val="004D3137"/>
    <w:rsid w:val="004D493C"/>
    <w:rsid w:val="004D5361"/>
    <w:rsid w:val="004E2C06"/>
    <w:rsid w:val="004E2CA6"/>
    <w:rsid w:val="004E3247"/>
    <w:rsid w:val="004E5671"/>
    <w:rsid w:val="004F2258"/>
    <w:rsid w:val="004F4699"/>
    <w:rsid w:val="004F646D"/>
    <w:rsid w:val="004F7F2F"/>
    <w:rsid w:val="00501821"/>
    <w:rsid w:val="0050681B"/>
    <w:rsid w:val="00517211"/>
    <w:rsid w:val="00533FF9"/>
    <w:rsid w:val="00534E1F"/>
    <w:rsid w:val="00535564"/>
    <w:rsid w:val="00535895"/>
    <w:rsid w:val="00536546"/>
    <w:rsid w:val="00542911"/>
    <w:rsid w:val="005464AA"/>
    <w:rsid w:val="0054760E"/>
    <w:rsid w:val="0055215C"/>
    <w:rsid w:val="0055233C"/>
    <w:rsid w:val="005543A2"/>
    <w:rsid w:val="005618FB"/>
    <w:rsid w:val="00565B11"/>
    <w:rsid w:val="00565BCC"/>
    <w:rsid w:val="00566A87"/>
    <w:rsid w:val="00571AE6"/>
    <w:rsid w:val="00574A8C"/>
    <w:rsid w:val="00577B9C"/>
    <w:rsid w:val="0058491D"/>
    <w:rsid w:val="00586461"/>
    <w:rsid w:val="005A11CE"/>
    <w:rsid w:val="005B2C3B"/>
    <w:rsid w:val="005B30D1"/>
    <w:rsid w:val="005B397D"/>
    <w:rsid w:val="005B3AEF"/>
    <w:rsid w:val="005B3AFC"/>
    <w:rsid w:val="005B4113"/>
    <w:rsid w:val="005B4881"/>
    <w:rsid w:val="005B5047"/>
    <w:rsid w:val="005B5318"/>
    <w:rsid w:val="005B7189"/>
    <w:rsid w:val="005C52F8"/>
    <w:rsid w:val="005D0C17"/>
    <w:rsid w:val="005D316B"/>
    <w:rsid w:val="005D599B"/>
    <w:rsid w:val="005D630E"/>
    <w:rsid w:val="005D758B"/>
    <w:rsid w:val="005D7DF8"/>
    <w:rsid w:val="005E6A99"/>
    <w:rsid w:val="005F10A3"/>
    <w:rsid w:val="005F3C08"/>
    <w:rsid w:val="005F534A"/>
    <w:rsid w:val="005F64E5"/>
    <w:rsid w:val="00604B5D"/>
    <w:rsid w:val="00604F5E"/>
    <w:rsid w:val="00605062"/>
    <w:rsid w:val="006079F2"/>
    <w:rsid w:val="0061171A"/>
    <w:rsid w:val="0061251B"/>
    <w:rsid w:val="00612D75"/>
    <w:rsid w:val="00624580"/>
    <w:rsid w:val="00625350"/>
    <w:rsid w:val="00625451"/>
    <w:rsid w:val="00627294"/>
    <w:rsid w:val="0062776D"/>
    <w:rsid w:val="006329C5"/>
    <w:rsid w:val="00637DB9"/>
    <w:rsid w:val="00642861"/>
    <w:rsid w:val="00647C2B"/>
    <w:rsid w:val="00650E48"/>
    <w:rsid w:val="0065314D"/>
    <w:rsid w:val="00654548"/>
    <w:rsid w:val="0066156B"/>
    <w:rsid w:val="006642A4"/>
    <w:rsid w:val="006672FA"/>
    <w:rsid w:val="006673DF"/>
    <w:rsid w:val="006774AA"/>
    <w:rsid w:val="00680E21"/>
    <w:rsid w:val="00680E7E"/>
    <w:rsid w:val="0068171C"/>
    <w:rsid w:val="00682846"/>
    <w:rsid w:val="00685B02"/>
    <w:rsid w:val="0068753C"/>
    <w:rsid w:val="00691601"/>
    <w:rsid w:val="006929B6"/>
    <w:rsid w:val="00695984"/>
    <w:rsid w:val="00695A62"/>
    <w:rsid w:val="006965AB"/>
    <w:rsid w:val="00697986"/>
    <w:rsid w:val="006A296D"/>
    <w:rsid w:val="006A304F"/>
    <w:rsid w:val="006A3BAF"/>
    <w:rsid w:val="006A6B13"/>
    <w:rsid w:val="006B5821"/>
    <w:rsid w:val="006C188A"/>
    <w:rsid w:val="006D0011"/>
    <w:rsid w:val="006D07CC"/>
    <w:rsid w:val="006D0ABE"/>
    <w:rsid w:val="006D2F19"/>
    <w:rsid w:val="006D30F7"/>
    <w:rsid w:val="006E2D76"/>
    <w:rsid w:val="006E367F"/>
    <w:rsid w:val="006E71BE"/>
    <w:rsid w:val="006F169E"/>
    <w:rsid w:val="006F282B"/>
    <w:rsid w:val="006F317A"/>
    <w:rsid w:val="006F3764"/>
    <w:rsid w:val="007010BC"/>
    <w:rsid w:val="00705C79"/>
    <w:rsid w:val="00706D64"/>
    <w:rsid w:val="00716AF9"/>
    <w:rsid w:val="00717F6C"/>
    <w:rsid w:val="007277A2"/>
    <w:rsid w:val="0073307F"/>
    <w:rsid w:val="0073562C"/>
    <w:rsid w:val="00740488"/>
    <w:rsid w:val="00741723"/>
    <w:rsid w:val="00741C0A"/>
    <w:rsid w:val="00741F58"/>
    <w:rsid w:val="00742481"/>
    <w:rsid w:val="007453EE"/>
    <w:rsid w:val="007545F2"/>
    <w:rsid w:val="007615B1"/>
    <w:rsid w:val="007622D7"/>
    <w:rsid w:val="007674CE"/>
    <w:rsid w:val="0076764A"/>
    <w:rsid w:val="00776F89"/>
    <w:rsid w:val="007859BD"/>
    <w:rsid w:val="00794087"/>
    <w:rsid w:val="00796FE4"/>
    <w:rsid w:val="007A08A6"/>
    <w:rsid w:val="007A6956"/>
    <w:rsid w:val="007B4DCF"/>
    <w:rsid w:val="007B511F"/>
    <w:rsid w:val="007C045E"/>
    <w:rsid w:val="007C1105"/>
    <w:rsid w:val="007C15DC"/>
    <w:rsid w:val="007C6283"/>
    <w:rsid w:val="007C67E1"/>
    <w:rsid w:val="007D3472"/>
    <w:rsid w:val="007D7BE8"/>
    <w:rsid w:val="007E6BF7"/>
    <w:rsid w:val="007F1833"/>
    <w:rsid w:val="00800A97"/>
    <w:rsid w:val="00801A2D"/>
    <w:rsid w:val="0080369F"/>
    <w:rsid w:val="00804BDD"/>
    <w:rsid w:val="00805A97"/>
    <w:rsid w:val="0081225B"/>
    <w:rsid w:val="00812B90"/>
    <w:rsid w:val="00814458"/>
    <w:rsid w:val="00816DBF"/>
    <w:rsid w:val="00820056"/>
    <w:rsid w:val="008200AA"/>
    <w:rsid w:val="0082119A"/>
    <w:rsid w:val="00821503"/>
    <w:rsid w:val="00831B5A"/>
    <w:rsid w:val="00834CEB"/>
    <w:rsid w:val="008406E1"/>
    <w:rsid w:val="00840C02"/>
    <w:rsid w:val="00842724"/>
    <w:rsid w:val="00842828"/>
    <w:rsid w:val="008455E9"/>
    <w:rsid w:val="00850023"/>
    <w:rsid w:val="0085064C"/>
    <w:rsid w:val="0085427A"/>
    <w:rsid w:val="00860016"/>
    <w:rsid w:val="00860923"/>
    <w:rsid w:val="00864A40"/>
    <w:rsid w:val="0086630A"/>
    <w:rsid w:val="008679E0"/>
    <w:rsid w:val="00870A62"/>
    <w:rsid w:val="00872BEA"/>
    <w:rsid w:val="00875162"/>
    <w:rsid w:val="008773F0"/>
    <w:rsid w:val="008801E5"/>
    <w:rsid w:val="00881F34"/>
    <w:rsid w:val="00885920"/>
    <w:rsid w:val="008943A8"/>
    <w:rsid w:val="008947C6"/>
    <w:rsid w:val="00897447"/>
    <w:rsid w:val="008977C1"/>
    <w:rsid w:val="008B0BF7"/>
    <w:rsid w:val="008B1C36"/>
    <w:rsid w:val="008B380C"/>
    <w:rsid w:val="008B48C9"/>
    <w:rsid w:val="008B54FA"/>
    <w:rsid w:val="008B6703"/>
    <w:rsid w:val="008C2F12"/>
    <w:rsid w:val="008C3AD0"/>
    <w:rsid w:val="008C52BF"/>
    <w:rsid w:val="008D3D56"/>
    <w:rsid w:val="008D41B6"/>
    <w:rsid w:val="008E1243"/>
    <w:rsid w:val="008E154F"/>
    <w:rsid w:val="008E701D"/>
    <w:rsid w:val="008F10F3"/>
    <w:rsid w:val="0090094D"/>
    <w:rsid w:val="00900B95"/>
    <w:rsid w:val="00901460"/>
    <w:rsid w:val="00901A46"/>
    <w:rsid w:val="00903A5E"/>
    <w:rsid w:val="00905C9D"/>
    <w:rsid w:val="0091276F"/>
    <w:rsid w:val="0091402D"/>
    <w:rsid w:val="00920166"/>
    <w:rsid w:val="009214EB"/>
    <w:rsid w:val="0092217A"/>
    <w:rsid w:val="00924636"/>
    <w:rsid w:val="00925489"/>
    <w:rsid w:val="00931464"/>
    <w:rsid w:val="00931E65"/>
    <w:rsid w:val="009345E9"/>
    <w:rsid w:val="00934F87"/>
    <w:rsid w:val="0093523D"/>
    <w:rsid w:val="009369D9"/>
    <w:rsid w:val="00942630"/>
    <w:rsid w:val="00945245"/>
    <w:rsid w:val="00945E60"/>
    <w:rsid w:val="009501C7"/>
    <w:rsid w:val="009507A4"/>
    <w:rsid w:val="009514D6"/>
    <w:rsid w:val="00956C92"/>
    <w:rsid w:val="009579E4"/>
    <w:rsid w:val="00960BC8"/>
    <w:rsid w:val="00960F0A"/>
    <w:rsid w:val="00963026"/>
    <w:rsid w:val="00975062"/>
    <w:rsid w:val="0097659C"/>
    <w:rsid w:val="00996695"/>
    <w:rsid w:val="009A3A4F"/>
    <w:rsid w:val="009A6FE9"/>
    <w:rsid w:val="009B0DBC"/>
    <w:rsid w:val="009B0E82"/>
    <w:rsid w:val="009B477A"/>
    <w:rsid w:val="009C1A9F"/>
    <w:rsid w:val="009C2636"/>
    <w:rsid w:val="009C3615"/>
    <w:rsid w:val="009D0247"/>
    <w:rsid w:val="009E2024"/>
    <w:rsid w:val="009E20E5"/>
    <w:rsid w:val="009E28AD"/>
    <w:rsid w:val="009E4DCC"/>
    <w:rsid w:val="009E7DE2"/>
    <w:rsid w:val="009F210A"/>
    <w:rsid w:val="009F23DE"/>
    <w:rsid w:val="009F4F5C"/>
    <w:rsid w:val="009F5D93"/>
    <w:rsid w:val="009F731E"/>
    <w:rsid w:val="00A0021B"/>
    <w:rsid w:val="00A029FA"/>
    <w:rsid w:val="00A11302"/>
    <w:rsid w:val="00A123A9"/>
    <w:rsid w:val="00A13399"/>
    <w:rsid w:val="00A2486E"/>
    <w:rsid w:val="00A24898"/>
    <w:rsid w:val="00A317CC"/>
    <w:rsid w:val="00A33602"/>
    <w:rsid w:val="00A35549"/>
    <w:rsid w:val="00A35AA4"/>
    <w:rsid w:val="00A41254"/>
    <w:rsid w:val="00A41265"/>
    <w:rsid w:val="00A44AB2"/>
    <w:rsid w:val="00A559FF"/>
    <w:rsid w:val="00A568F8"/>
    <w:rsid w:val="00A61E9D"/>
    <w:rsid w:val="00A63E2F"/>
    <w:rsid w:val="00A725A7"/>
    <w:rsid w:val="00A7298B"/>
    <w:rsid w:val="00A778D5"/>
    <w:rsid w:val="00A80401"/>
    <w:rsid w:val="00A832FB"/>
    <w:rsid w:val="00A86DE2"/>
    <w:rsid w:val="00A91D6D"/>
    <w:rsid w:val="00A93A18"/>
    <w:rsid w:val="00AA0652"/>
    <w:rsid w:val="00AA42DD"/>
    <w:rsid w:val="00AA430B"/>
    <w:rsid w:val="00AA477E"/>
    <w:rsid w:val="00AB0734"/>
    <w:rsid w:val="00AB1E94"/>
    <w:rsid w:val="00AB3BD2"/>
    <w:rsid w:val="00AB4FFA"/>
    <w:rsid w:val="00AB5267"/>
    <w:rsid w:val="00AB72CB"/>
    <w:rsid w:val="00AB764C"/>
    <w:rsid w:val="00AC1473"/>
    <w:rsid w:val="00AC1AF1"/>
    <w:rsid w:val="00AD4052"/>
    <w:rsid w:val="00AD495D"/>
    <w:rsid w:val="00AD5556"/>
    <w:rsid w:val="00AE07B5"/>
    <w:rsid w:val="00AE0CD0"/>
    <w:rsid w:val="00AE4AF8"/>
    <w:rsid w:val="00AF1B7A"/>
    <w:rsid w:val="00AF2DE1"/>
    <w:rsid w:val="00AF2F74"/>
    <w:rsid w:val="00AF5DED"/>
    <w:rsid w:val="00B01439"/>
    <w:rsid w:val="00B048CB"/>
    <w:rsid w:val="00B065F2"/>
    <w:rsid w:val="00B16340"/>
    <w:rsid w:val="00B20EB3"/>
    <w:rsid w:val="00B236FB"/>
    <w:rsid w:val="00B237C2"/>
    <w:rsid w:val="00B306F9"/>
    <w:rsid w:val="00B33288"/>
    <w:rsid w:val="00B4151B"/>
    <w:rsid w:val="00B4623D"/>
    <w:rsid w:val="00B500D7"/>
    <w:rsid w:val="00B5183B"/>
    <w:rsid w:val="00B51A84"/>
    <w:rsid w:val="00B5319E"/>
    <w:rsid w:val="00B568A3"/>
    <w:rsid w:val="00B56E31"/>
    <w:rsid w:val="00B76D01"/>
    <w:rsid w:val="00B76EFA"/>
    <w:rsid w:val="00B80560"/>
    <w:rsid w:val="00B81295"/>
    <w:rsid w:val="00B851ED"/>
    <w:rsid w:val="00B91F87"/>
    <w:rsid w:val="00B92524"/>
    <w:rsid w:val="00BA0E11"/>
    <w:rsid w:val="00BA732C"/>
    <w:rsid w:val="00BB3F5F"/>
    <w:rsid w:val="00BB5B4C"/>
    <w:rsid w:val="00BC0569"/>
    <w:rsid w:val="00BC2749"/>
    <w:rsid w:val="00BC494A"/>
    <w:rsid w:val="00BC5BF0"/>
    <w:rsid w:val="00BC7F4F"/>
    <w:rsid w:val="00BD417A"/>
    <w:rsid w:val="00BD46C4"/>
    <w:rsid w:val="00BD7239"/>
    <w:rsid w:val="00BE4B50"/>
    <w:rsid w:val="00BF13A6"/>
    <w:rsid w:val="00BF216F"/>
    <w:rsid w:val="00C13541"/>
    <w:rsid w:val="00C1586C"/>
    <w:rsid w:val="00C16766"/>
    <w:rsid w:val="00C247E9"/>
    <w:rsid w:val="00C26127"/>
    <w:rsid w:val="00C33F62"/>
    <w:rsid w:val="00C36F65"/>
    <w:rsid w:val="00C40A9C"/>
    <w:rsid w:val="00C4115B"/>
    <w:rsid w:val="00C42031"/>
    <w:rsid w:val="00C43C2A"/>
    <w:rsid w:val="00C45724"/>
    <w:rsid w:val="00C45C07"/>
    <w:rsid w:val="00C517BC"/>
    <w:rsid w:val="00C55628"/>
    <w:rsid w:val="00C57C36"/>
    <w:rsid w:val="00C601C4"/>
    <w:rsid w:val="00C611A3"/>
    <w:rsid w:val="00C62A7E"/>
    <w:rsid w:val="00C630CC"/>
    <w:rsid w:val="00C679EA"/>
    <w:rsid w:val="00C73123"/>
    <w:rsid w:val="00C76483"/>
    <w:rsid w:val="00C766CC"/>
    <w:rsid w:val="00C76F04"/>
    <w:rsid w:val="00C801E8"/>
    <w:rsid w:val="00C81E20"/>
    <w:rsid w:val="00C82F15"/>
    <w:rsid w:val="00C83B2C"/>
    <w:rsid w:val="00C85D6D"/>
    <w:rsid w:val="00C901CD"/>
    <w:rsid w:val="00C90DB7"/>
    <w:rsid w:val="00C925F8"/>
    <w:rsid w:val="00C972D0"/>
    <w:rsid w:val="00CA42F5"/>
    <w:rsid w:val="00CA63DA"/>
    <w:rsid w:val="00CB00BE"/>
    <w:rsid w:val="00CB2D50"/>
    <w:rsid w:val="00CB5E77"/>
    <w:rsid w:val="00CB68D1"/>
    <w:rsid w:val="00CC4586"/>
    <w:rsid w:val="00CC7C75"/>
    <w:rsid w:val="00CD43E7"/>
    <w:rsid w:val="00CD5039"/>
    <w:rsid w:val="00CD5DCF"/>
    <w:rsid w:val="00CD60C5"/>
    <w:rsid w:val="00CE5DEA"/>
    <w:rsid w:val="00CF23A6"/>
    <w:rsid w:val="00CF3161"/>
    <w:rsid w:val="00CF33A4"/>
    <w:rsid w:val="00CF42D0"/>
    <w:rsid w:val="00CF5422"/>
    <w:rsid w:val="00D01F8C"/>
    <w:rsid w:val="00D02D72"/>
    <w:rsid w:val="00D0478B"/>
    <w:rsid w:val="00D11E8C"/>
    <w:rsid w:val="00D12950"/>
    <w:rsid w:val="00D13DBA"/>
    <w:rsid w:val="00D14BF8"/>
    <w:rsid w:val="00D220A2"/>
    <w:rsid w:val="00D24331"/>
    <w:rsid w:val="00D244A1"/>
    <w:rsid w:val="00D2485F"/>
    <w:rsid w:val="00D31210"/>
    <w:rsid w:val="00D32904"/>
    <w:rsid w:val="00D36B14"/>
    <w:rsid w:val="00D37A43"/>
    <w:rsid w:val="00D41856"/>
    <w:rsid w:val="00D446E9"/>
    <w:rsid w:val="00D45AF9"/>
    <w:rsid w:val="00D45CFB"/>
    <w:rsid w:val="00D52D5B"/>
    <w:rsid w:val="00D53EBC"/>
    <w:rsid w:val="00D54B51"/>
    <w:rsid w:val="00D64916"/>
    <w:rsid w:val="00D64B69"/>
    <w:rsid w:val="00D65804"/>
    <w:rsid w:val="00D705B0"/>
    <w:rsid w:val="00D70AC1"/>
    <w:rsid w:val="00D72AD7"/>
    <w:rsid w:val="00D81F3C"/>
    <w:rsid w:val="00D829BE"/>
    <w:rsid w:val="00D84239"/>
    <w:rsid w:val="00D8638A"/>
    <w:rsid w:val="00D87C48"/>
    <w:rsid w:val="00D909BB"/>
    <w:rsid w:val="00D918CD"/>
    <w:rsid w:val="00D931CE"/>
    <w:rsid w:val="00D94F01"/>
    <w:rsid w:val="00DA1201"/>
    <w:rsid w:val="00DB169E"/>
    <w:rsid w:val="00DB1A19"/>
    <w:rsid w:val="00DB56A6"/>
    <w:rsid w:val="00DC1F57"/>
    <w:rsid w:val="00DC68E2"/>
    <w:rsid w:val="00DD0517"/>
    <w:rsid w:val="00DD122D"/>
    <w:rsid w:val="00DD3CAE"/>
    <w:rsid w:val="00DD54D7"/>
    <w:rsid w:val="00DD7BA4"/>
    <w:rsid w:val="00DE6B98"/>
    <w:rsid w:val="00DF159F"/>
    <w:rsid w:val="00DF3B89"/>
    <w:rsid w:val="00DF3EC8"/>
    <w:rsid w:val="00DF6FDA"/>
    <w:rsid w:val="00E00759"/>
    <w:rsid w:val="00E0638D"/>
    <w:rsid w:val="00E0700E"/>
    <w:rsid w:val="00E1215F"/>
    <w:rsid w:val="00E123B5"/>
    <w:rsid w:val="00E167E1"/>
    <w:rsid w:val="00E2198E"/>
    <w:rsid w:val="00E22340"/>
    <w:rsid w:val="00E227AB"/>
    <w:rsid w:val="00E2581B"/>
    <w:rsid w:val="00E26191"/>
    <w:rsid w:val="00E3012A"/>
    <w:rsid w:val="00E36559"/>
    <w:rsid w:val="00E52629"/>
    <w:rsid w:val="00E54CD3"/>
    <w:rsid w:val="00E54D6B"/>
    <w:rsid w:val="00E558F5"/>
    <w:rsid w:val="00E645A9"/>
    <w:rsid w:val="00E65D24"/>
    <w:rsid w:val="00E768E7"/>
    <w:rsid w:val="00E769A5"/>
    <w:rsid w:val="00E77981"/>
    <w:rsid w:val="00E826ED"/>
    <w:rsid w:val="00E878FC"/>
    <w:rsid w:val="00E928D9"/>
    <w:rsid w:val="00E95718"/>
    <w:rsid w:val="00E95D04"/>
    <w:rsid w:val="00EA0F2B"/>
    <w:rsid w:val="00EA1293"/>
    <w:rsid w:val="00EA3051"/>
    <w:rsid w:val="00EA719C"/>
    <w:rsid w:val="00EB137F"/>
    <w:rsid w:val="00EB26AF"/>
    <w:rsid w:val="00EB5FAE"/>
    <w:rsid w:val="00EC2F3E"/>
    <w:rsid w:val="00EC3045"/>
    <w:rsid w:val="00EC3BEC"/>
    <w:rsid w:val="00ED0108"/>
    <w:rsid w:val="00ED06D6"/>
    <w:rsid w:val="00ED0A3B"/>
    <w:rsid w:val="00ED254F"/>
    <w:rsid w:val="00ED710D"/>
    <w:rsid w:val="00EE1BD5"/>
    <w:rsid w:val="00EE24F8"/>
    <w:rsid w:val="00EE2BD2"/>
    <w:rsid w:val="00EE2C93"/>
    <w:rsid w:val="00EE3B3A"/>
    <w:rsid w:val="00EE7D2B"/>
    <w:rsid w:val="00EF1D19"/>
    <w:rsid w:val="00EF26A5"/>
    <w:rsid w:val="00EF2A92"/>
    <w:rsid w:val="00EF59B8"/>
    <w:rsid w:val="00F03058"/>
    <w:rsid w:val="00F035F9"/>
    <w:rsid w:val="00F1018E"/>
    <w:rsid w:val="00F15DF1"/>
    <w:rsid w:val="00F17639"/>
    <w:rsid w:val="00F235B8"/>
    <w:rsid w:val="00F30BE8"/>
    <w:rsid w:val="00F31595"/>
    <w:rsid w:val="00F316DB"/>
    <w:rsid w:val="00F324C1"/>
    <w:rsid w:val="00F36599"/>
    <w:rsid w:val="00F41C07"/>
    <w:rsid w:val="00F41FE2"/>
    <w:rsid w:val="00F44B9D"/>
    <w:rsid w:val="00F45C43"/>
    <w:rsid w:val="00F5017A"/>
    <w:rsid w:val="00F513B5"/>
    <w:rsid w:val="00F519C3"/>
    <w:rsid w:val="00F56F48"/>
    <w:rsid w:val="00F62215"/>
    <w:rsid w:val="00F65907"/>
    <w:rsid w:val="00F659A0"/>
    <w:rsid w:val="00F77AAD"/>
    <w:rsid w:val="00F77B74"/>
    <w:rsid w:val="00F84D6D"/>
    <w:rsid w:val="00F954A7"/>
    <w:rsid w:val="00F97E8B"/>
    <w:rsid w:val="00FA00EB"/>
    <w:rsid w:val="00FA059C"/>
    <w:rsid w:val="00FA090F"/>
    <w:rsid w:val="00FA2301"/>
    <w:rsid w:val="00FA50CC"/>
    <w:rsid w:val="00FA699A"/>
    <w:rsid w:val="00FB5C03"/>
    <w:rsid w:val="00FC0675"/>
    <w:rsid w:val="00FC76BC"/>
    <w:rsid w:val="00FC782F"/>
    <w:rsid w:val="00FD02AF"/>
    <w:rsid w:val="00FD1BDF"/>
    <w:rsid w:val="00FD1C9A"/>
    <w:rsid w:val="00FD2551"/>
    <w:rsid w:val="00FD27A2"/>
    <w:rsid w:val="00FE0AD9"/>
    <w:rsid w:val="00FE42AD"/>
    <w:rsid w:val="00FF2084"/>
    <w:rsid w:val="00FF3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53B3"/>
  <w15:docId w15:val="{08E8E2DB-44FF-4C1A-8037-4985D739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0BC"/>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0564C0"/>
    <w:pPr>
      <w:keepNext/>
      <w:spacing w:before="240" w:after="120"/>
      <w:ind w:left="360" w:hanging="360"/>
      <w:outlineLvl w:val="0"/>
    </w:pPr>
    <w:rPr>
      <w:rFonts w:ascii="Times New Roman" w:eastAsiaTheme="majorEastAsia" w:hAnsi="Times New Roman"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E769A5"/>
    <w:pPr>
      <w:keepNext/>
      <w:numPr>
        <w:ilvl w:val="1"/>
        <w:numId w:val="1"/>
      </w:numPr>
      <w:spacing w:before="24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AE4AF8"/>
    <w:pPr>
      <w:numPr>
        <w:ilvl w:val="0"/>
        <w:numId w:val="15"/>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C0"/>
    <w:rPr>
      <w:rFonts w:ascii="Times New Roman" w:eastAsiaTheme="majorEastAsia" w:hAnsi="Times New Roman"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E769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4AF8"/>
    <w:rPr>
      <w:rFonts w:asciiTheme="majorHAnsi" w:eastAsiaTheme="majorEastAsia" w:hAnsiTheme="majorHAnsi" w:cstheme="majorBidi"/>
      <w:b/>
      <w:bCs/>
      <w:color w:val="4F81BD" w:themeColor="accent1"/>
      <w:sz w:val="24"/>
      <w:szCs w:val="26"/>
    </w:rPr>
  </w:style>
  <w:style w:type="character" w:styleId="Hyperlink">
    <w:name w:val="Hyperlink"/>
    <w:uiPriority w:val="99"/>
    <w:rsid w:val="007010BC"/>
    <w:rPr>
      <w:color w:val="0000FF"/>
      <w:u w:val="single"/>
    </w:rPr>
  </w:style>
  <w:style w:type="paragraph" w:styleId="TOC1">
    <w:name w:val="toc 1"/>
    <w:basedOn w:val="Normal"/>
    <w:next w:val="Normal"/>
    <w:autoRedefine/>
    <w:uiPriority w:val="39"/>
    <w:rsid w:val="007010BC"/>
    <w:pPr>
      <w:tabs>
        <w:tab w:val="left" w:pos="540"/>
        <w:tab w:val="right" w:leader="dot" w:pos="9350"/>
      </w:tabs>
      <w:spacing w:before="120" w:after="120"/>
    </w:pPr>
    <w:rPr>
      <w:rFonts w:ascii="Times New Roman" w:eastAsia="Calibri" w:hAnsi="Times New Roman"/>
      <w:b/>
      <w:bCs/>
      <w:caps/>
      <w:sz w:val="20"/>
      <w:szCs w:val="20"/>
      <w:lang w:bidi="en-US"/>
    </w:rPr>
  </w:style>
  <w:style w:type="paragraph" w:styleId="TOC2">
    <w:name w:val="toc 2"/>
    <w:basedOn w:val="Normal"/>
    <w:next w:val="Normal"/>
    <w:autoRedefine/>
    <w:uiPriority w:val="39"/>
    <w:unhideWhenUsed/>
    <w:rsid w:val="007010BC"/>
    <w:pPr>
      <w:ind w:left="240"/>
    </w:pPr>
    <w:rPr>
      <w:rFonts w:ascii="Times New Roman" w:eastAsia="Times New Roman" w:hAnsi="Times New Roman"/>
    </w:rPr>
  </w:style>
  <w:style w:type="paragraph" w:styleId="TOC3">
    <w:name w:val="toc 3"/>
    <w:basedOn w:val="Normal"/>
    <w:next w:val="Normal"/>
    <w:autoRedefine/>
    <w:uiPriority w:val="39"/>
    <w:unhideWhenUsed/>
    <w:rsid w:val="007010BC"/>
    <w:pPr>
      <w:ind w:left="480"/>
    </w:pPr>
    <w:rPr>
      <w:rFonts w:ascii="Times New Roman" w:eastAsia="Times New Roman" w:hAnsi="Times New Roman"/>
    </w:rPr>
  </w:style>
  <w:style w:type="paragraph" w:customStyle="1" w:styleId="TOCHeading2">
    <w:name w:val="TOC Heading2"/>
    <w:basedOn w:val="Heading1"/>
    <w:next w:val="Normal"/>
    <w:uiPriority w:val="39"/>
    <w:unhideWhenUsed/>
    <w:qFormat/>
    <w:rsid w:val="007010BC"/>
    <w:pPr>
      <w:spacing w:line="276" w:lineRule="auto"/>
      <w:outlineLvl w:val="9"/>
    </w:pPr>
    <w:rPr>
      <w:rFonts w:ascii="Cambria" w:eastAsia="MS Gothic" w:hAnsi="Cambria" w:cs="Times New Roman"/>
      <w:color w:val="365F91"/>
      <w:lang w:eastAsia="ja-JP"/>
    </w:rPr>
  </w:style>
  <w:style w:type="character" w:styleId="CommentReference">
    <w:name w:val="annotation reference"/>
    <w:uiPriority w:val="99"/>
    <w:rsid w:val="007010BC"/>
    <w:rPr>
      <w:sz w:val="16"/>
      <w:szCs w:val="16"/>
    </w:rPr>
  </w:style>
  <w:style w:type="paragraph" w:styleId="CommentText">
    <w:name w:val="annotation text"/>
    <w:basedOn w:val="Normal"/>
    <w:link w:val="CommentTextChar"/>
    <w:uiPriority w:val="99"/>
    <w:rsid w:val="007010BC"/>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rsid w:val="007010BC"/>
    <w:rPr>
      <w:rFonts w:ascii="Times New Roman" w:eastAsia="Times New Roman" w:hAnsi="Times New Roman" w:cs="Times New Roman"/>
      <w:sz w:val="20"/>
      <w:szCs w:val="20"/>
    </w:rPr>
  </w:style>
  <w:style w:type="paragraph" w:styleId="FootnoteText">
    <w:name w:val="footnote text"/>
    <w:aliases w:val="Note de bas de page2,Note de bas de page Car Car Car,Note de bas de page Car Car,Note de bas de page Car Car Car2,Note de bas de page Car Car Car3,Note de bas de page Car Car Car4,Note de bas de page Car Car Car Car Car Car Car Char"/>
    <w:basedOn w:val="Normal"/>
    <w:link w:val="FootnoteTextChar"/>
    <w:uiPriority w:val="99"/>
    <w:rsid w:val="007010BC"/>
    <w:rPr>
      <w:rFonts w:ascii="Times New Roman" w:eastAsia="Times New Roman" w:hAnsi="Times New Roman"/>
    </w:rPr>
  </w:style>
  <w:style w:type="character" w:customStyle="1" w:styleId="FootnoteTextChar">
    <w:name w:val="Footnote Text Char"/>
    <w:aliases w:val="Note de bas de page2 Char,Note de bas de page Car Car Car Char,Note de bas de page Car Car Char,Note de bas de page Car Car Car2 Char,Note de bas de page Car Car Car3 Char,Note de bas de page Car Car Car4 Char"/>
    <w:basedOn w:val="DefaultParagraphFont"/>
    <w:link w:val="FootnoteText"/>
    <w:uiPriority w:val="99"/>
    <w:rsid w:val="007010BC"/>
    <w:rPr>
      <w:rFonts w:ascii="Times New Roman" w:eastAsia="Times New Roman" w:hAnsi="Times New Roman" w:cs="Times New Roman"/>
      <w:sz w:val="24"/>
      <w:szCs w:val="24"/>
    </w:rPr>
  </w:style>
  <w:style w:type="character" w:styleId="FootnoteReference">
    <w:name w:val="footnote reference"/>
    <w:rsid w:val="007010BC"/>
    <w:rPr>
      <w:vertAlign w:val="superscript"/>
    </w:rPr>
  </w:style>
  <w:style w:type="paragraph" w:styleId="BalloonText">
    <w:name w:val="Balloon Text"/>
    <w:basedOn w:val="Normal"/>
    <w:link w:val="BalloonTextChar"/>
    <w:uiPriority w:val="99"/>
    <w:semiHidden/>
    <w:unhideWhenUsed/>
    <w:rsid w:val="007010BC"/>
    <w:rPr>
      <w:rFonts w:ascii="Tahoma" w:hAnsi="Tahoma" w:cs="Tahoma"/>
      <w:sz w:val="16"/>
      <w:szCs w:val="16"/>
    </w:rPr>
  </w:style>
  <w:style w:type="character" w:customStyle="1" w:styleId="BalloonTextChar">
    <w:name w:val="Balloon Text Char"/>
    <w:basedOn w:val="DefaultParagraphFont"/>
    <w:link w:val="BalloonText"/>
    <w:uiPriority w:val="99"/>
    <w:semiHidden/>
    <w:rsid w:val="007010BC"/>
    <w:rPr>
      <w:rFonts w:ascii="Tahoma" w:eastAsia="MS Mincho" w:hAnsi="Tahoma" w:cs="Tahoma"/>
      <w:sz w:val="16"/>
      <w:szCs w:val="16"/>
    </w:rPr>
  </w:style>
  <w:style w:type="paragraph" w:styleId="ListParagraph">
    <w:name w:val="List Paragraph"/>
    <w:aliases w:val="Resume Title"/>
    <w:basedOn w:val="Normal"/>
    <w:link w:val="ListParagraphChar"/>
    <w:uiPriority w:val="34"/>
    <w:qFormat/>
    <w:rsid w:val="00DF6FDA"/>
    <w:pPr>
      <w:ind w:left="720"/>
      <w:contextualSpacing/>
    </w:pPr>
  </w:style>
  <w:style w:type="character" w:customStyle="1" w:styleId="ListParagraphChar">
    <w:name w:val="List Paragraph Char"/>
    <w:aliases w:val="Resume Title Char"/>
    <w:link w:val="ListParagraph"/>
    <w:uiPriority w:val="34"/>
    <w:rsid w:val="00842724"/>
    <w:rPr>
      <w:rFonts w:ascii="Cambria" w:eastAsia="MS Mincho" w:hAnsi="Cambria" w:cs="Times New Roman"/>
      <w:sz w:val="24"/>
      <w:szCs w:val="24"/>
    </w:rPr>
  </w:style>
  <w:style w:type="character" w:customStyle="1" w:styleId="ColorfulList-Accent1Char">
    <w:name w:val="Colorful List - Accent 1 Char"/>
    <w:link w:val="ColorfulList-Accent1"/>
    <w:uiPriority w:val="34"/>
    <w:rsid w:val="00924636"/>
    <w:rPr>
      <w:rFonts w:ascii="Calibri" w:eastAsia="Calibri" w:hAnsi="Calibri"/>
      <w:sz w:val="22"/>
      <w:szCs w:val="22"/>
      <w:lang w:val="en-US" w:eastAsia="en-US"/>
    </w:rPr>
  </w:style>
  <w:style w:type="table" w:styleId="ColorfulList-Accent1">
    <w:name w:val="Colorful List Accent 1"/>
    <w:basedOn w:val="TableNormal"/>
    <w:link w:val="ColorfulList-Accent1Char"/>
    <w:uiPriority w:val="34"/>
    <w:rsid w:val="00924636"/>
    <w:pPr>
      <w:spacing w:after="0" w:line="240" w:lineRule="auto"/>
    </w:pPr>
    <w:rPr>
      <w:rFonts w:ascii="Calibri" w:eastAsia="Calibri" w:hAnsi="Calibri"/>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3A5B74"/>
  </w:style>
  <w:style w:type="paragraph" w:styleId="Header">
    <w:name w:val="header"/>
    <w:basedOn w:val="Normal"/>
    <w:link w:val="HeaderChar"/>
    <w:uiPriority w:val="99"/>
    <w:unhideWhenUsed/>
    <w:rsid w:val="00400DD0"/>
    <w:pPr>
      <w:tabs>
        <w:tab w:val="center" w:pos="4680"/>
        <w:tab w:val="right" w:pos="9360"/>
      </w:tabs>
    </w:pPr>
  </w:style>
  <w:style w:type="character" w:customStyle="1" w:styleId="HeaderChar">
    <w:name w:val="Header Char"/>
    <w:basedOn w:val="DefaultParagraphFont"/>
    <w:link w:val="Header"/>
    <w:uiPriority w:val="99"/>
    <w:rsid w:val="00400DD0"/>
    <w:rPr>
      <w:rFonts w:ascii="Cambria" w:eastAsia="MS Mincho" w:hAnsi="Cambria" w:cs="Times New Roman"/>
      <w:sz w:val="24"/>
      <w:szCs w:val="24"/>
    </w:rPr>
  </w:style>
  <w:style w:type="paragraph" w:styleId="Footer">
    <w:name w:val="footer"/>
    <w:basedOn w:val="Normal"/>
    <w:link w:val="FooterChar"/>
    <w:uiPriority w:val="99"/>
    <w:unhideWhenUsed/>
    <w:rsid w:val="00400DD0"/>
    <w:pPr>
      <w:tabs>
        <w:tab w:val="center" w:pos="4680"/>
        <w:tab w:val="right" w:pos="9360"/>
      </w:tabs>
    </w:pPr>
  </w:style>
  <w:style w:type="character" w:customStyle="1" w:styleId="FooterChar">
    <w:name w:val="Footer Char"/>
    <w:basedOn w:val="DefaultParagraphFont"/>
    <w:link w:val="Footer"/>
    <w:uiPriority w:val="99"/>
    <w:rsid w:val="00400DD0"/>
    <w:rPr>
      <w:rFonts w:ascii="Cambria" w:eastAsia="MS Mincho" w:hAnsi="Cambria" w:cs="Times New Roman"/>
      <w:sz w:val="24"/>
      <w:szCs w:val="24"/>
    </w:rPr>
  </w:style>
  <w:style w:type="paragraph" w:styleId="CommentSubject">
    <w:name w:val="annotation subject"/>
    <w:basedOn w:val="CommentText"/>
    <w:next w:val="CommentText"/>
    <w:link w:val="CommentSubjectChar"/>
    <w:uiPriority w:val="99"/>
    <w:semiHidden/>
    <w:unhideWhenUsed/>
    <w:rsid w:val="00273555"/>
    <w:rPr>
      <w:rFonts w:ascii="Cambria" w:eastAsia="MS Mincho" w:hAnsi="Cambria"/>
      <w:b/>
      <w:bCs/>
    </w:rPr>
  </w:style>
  <w:style w:type="character" w:customStyle="1" w:styleId="CommentSubjectChar">
    <w:name w:val="Comment Subject Char"/>
    <w:basedOn w:val="CommentTextChar"/>
    <w:link w:val="CommentSubject"/>
    <w:uiPriority w:val="99"/>
    <w:semiHidden/>
    <w:rsid w:val="00273555"/>
    <w:rPr>
      <w:rFonts w:ascii="Cambria" w:eastAsia="MS Mincho" w:hAnsi="Cambria" w:cs="Times New Roman"/>
      <w:b/>
      <w:bCs/>
      <w:sz w:val="20"/>
      <w:szCs w:val="20"/>
    </w:rPr>
  </w:style>
  <w:style w:type="paragraph" w:styleId="NoSpacing">
    <w:name w:val="No Spacing"/>
    <w:uiPriority w:val="1"/>
    <w:qFormat/>
    <w:rsid w:val="009345E9"/>
    <w:pPr>
      <w:spacing w:after="0" w:line="240" w:lineRule="auto"/>
    </w:pPr>
    <w:rPr>
      <w:lang w:val="fr-FR"/>
    </w:rPr>
  </w:style>
  <w:style w:type="paragraph" w:styleId="Title">
    <w:name w:val="Title"/>
    <w:basedOn w:val="Normal"/>
    <w:link w:val="TitleChar"/>
    <w:uiPriority w:val="99"/>
    <w:qFormat/>
    <w:rsid w:val="00395ED5"/>
    <w:pPr>
      <w:ind w:left="550"/>
      <w:jc w:val="center"/>
    </w:pPr>
    <w:rPr>
      <w:rFonts w:ascii="Arial" w:eastAsia="Times" w:hAnsi="Arial"/>
      <w:b/>
      <w:szCs w:val="20"/>
    </w:rPr>
  </w:style>
  <w:style w:type="character" w:customStyle="1" w:styleId="TitleChar">
    <w:name w:val="Title Char"/>
    <w:basedOn w:val="DefaultParagraphFont"/>
    <w:link w:val="Title"/>
    <w:uiPriority w:val="99"/>
    <w:rsid w:val="00395ED5"/>
    <w:rPr>
      <w:rFonts w:ascii="Arial" w:eastAsia="Times" w:hAnsi="Arial" w:cs="Times New Roman"/>
      <w:b/>
      <w:sz w:val="24"/>
      <w:szCs w:val="20"/>
    </w:rPr>
  </w:style>
  <w:style w:type="table" w:styleId="TableGrid">
    <w:name w:val="Table Grid"/>
    <w:basedOn w:val="TableNormal"/>
    <w:uiPriority w:val="59"/>
    <w:rsid w:val="00692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AIDMediumSubhead-Arial11ptChar">
    <w:name w:val="USAID Medium Subhead - Arial 11pt Char"/>
    <w:link w:val="USAIDMediumSubhead-Arial11pt"/>
    <w:rsid w:val="005F534A"/>
    <w:rPr>
      <w:rFonts w:ascii="Arial" w:hAnsi="Arial"/>
      <w:b/>
      <w:color w:val="000000"/>
    </w:rPr>
  </w:style>
  <w:style w:type="paragraph" w:customStyle="1" w:styleId="USAIDMediumSubhead-Arial11pt">
    <w:name w:val="USAID Medium Subhead - Arial 11pt"/>
    <w:basedOn w:val="Normal"/>
    <w:link w:val="USAIDMediumSubhead-Arial11ptChar"/>
    <w:rsid w:val="005F534A"/>
    <w:rPr>
      <w:rFonts w:ascii="Arial" w:eastAsiaTheme="minorHAnsi" w:hAnsi="Arial" w:cstheme="minorBidi"/>
      <w:b/>
      <w:color w:val="000000"/>
      <w:sz w:val="22"/>
      <w:szCs w:val="22"/>
    </w:rPr>
  </w:style>
  <w:style w:type="paragraph" w:customStyle="1" w:styleId="FreeForm">
    <w:name w:val="Free Form"/>
    <w:rsid w:val="005F534A"/>
    <w:pPr>
      <w:spacing w:after="0" w:line="240" w:lineRule="auto"/>
    </w:pPr>
    <w:rPr>
      <w:rFonts w:ascii="Lucida Grande" w:eastAsia="ヒラギノ角ゴ Pro W3" w:hAnsi="Lucida Grande" w:cs="Times New Roman"/>
      <w:color w:val="000000"/>
      <w:sz w:val="20"/>
      <w:szCs w:val="20"/>
    </w:rPr>
  </w:style>
  <w:style w:type="table" w:customStyle="1" w:styleId="GridTable1Light-Accent11">
    <w:name w:val="Grid Table 1 Light - Accent 11"/>
    <w:basedOn w:val="TableNormal"/>
    <w:uiPriority w:val="46"/>
    <w:rsid w:val="00842724"/>
    <w:pPr>
      <w:spacing w:after="0" w:line="240" w:lineRule="auto"/>
    </w:pPr>
    <w:rPr>
      <w:rFonts w:ascii="Times New Roman" w:hAnsi="Times New Roman" w:cs="Times New Roman"/>
      <w:sz w:val="24"/>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Text">
    <w:name w:val="Table Text"/>
    <w:rsid w:val="000128B7"/>
    <w:pPr>
      <w:spacing w:before="40" w:after="40" w:line="240" w:lineRule="auto"/>
    </w:pPr>
    <w:rPr>
      <w:rFonts w:ascii="Gill Sans Std Light" w:eastAsia="Times New Roman" w:hAnsi="Gill Sans Std Light" w:cs="Arial"/>
      <w:sz w:val="18"/>
      <w:szCs w:val="24"/>
    </w:rPr>
  </w:style>
  <w:style w:type="paragraph" w:customStyle="1" w:styleId="TableTextBold">
    <w:name w:val="Table Text Bold"/>
    <w:basedOn w:val="TableText"/>
    <w:rsid w:val="000128B7"/>
    <w:rPr>
      <w:rFonts w:ascii="Gill Sans MT Light" w:hAnsi="Gill Sans MT Light" w:cs="Gill Sans MT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14245">
      <w:bodyDiv w:val="1"/>
      <w:marLeft w:val="0"/>
      <w:marRight w:val="0"/>
      <w:marTop w:val="0"/>
      <w:marBottom w:val="0"/>
      <w:divBdr>
        <w:top w:val="none" w:sz="0" w:space="0" w:color="auto"/>
        <w:left w:val="none" w:sz="0" w:space="0" w:color="auto"/>
        <w:bottom w:val="none" w:sz="0" w:space="0" w:color="auto"/>
        <w:right w:val="none" w:sz="0" w:space="0" w:color="auto"/>
      </w:divBdr>
    </w:div>
    <w:div w:id="949092577">
      <w:bodyDiv w:val="1"/>
      <w:marLeft w:val="0"/>
      <w:marRight w:val="0"/>
      <w:marTop w:val="0"/>
      <w:marBottom w:val="0"/>
      <w:divBdr>
        <w:top w:val="none" w:sz="0" w:space="0" w:color="auto"/>
        <w:left w:val="none" w:sz="0" w:space="0" w:color="auto"/>
        <w:bottom w:val="none" w:sz="0" w:space="0" w:color="auto"/>
        <w:right w:val="none" w:sz="0" w:space="0" w:color="auto"/>
      </w:divBdr>
      <w:divsChild>
        <w:div w:id="2078942062">
          <w:marLeft w:val="0"/>
          <w:marRight w:val="0"/>
          <w:marTop w:val="0"/>
          <w:marBottom w:val="0"/>
          <w:divBdr>
            <w:top w:val="none" w:sz="0" w:space="0" w:color="auto"/>
            <w:left w:val="none" w:sz="0" w:space="0" w:color="auto"/>
            <w:bottom w:val="none" w:sz="0" w:space="0" w:color="auto"/>
            <w:right w:val="none" w:sz="0" w:space="0" w:color="auto"/>
          </w:divBdr>
          <w:divsChild>
            <w:div w:id="1445463907">
              <w:marLeft w:val="-75"/>
              <w:marRight w:val="0"/>
              <w:marTop w:val="30"/>
              <w:marBottom w:val="30"/>
              <w:divBdr>
                <w:top w:val="none" w:sz="0" w:space="0" w:color="auto"/>
                <w:left w:val="none" w:sz="0" w:space="0" w:color="auto"/>
                <w:bottom w:val="none" w:sz="0" w:space="0" w:color="auto"/>
                <w:right w:val="none" w:sz="0" w:space="0" w:color="auto"/>
              </w:divBdr>
              <w:divsChild>
                <w:div w:id="1694765180">
                  <w:marLeft w:val="0"/>
                  <w:marRight w:val="0"/>
                  <w:marTop w:val="0"/>
                  <w:marBottom w:val="0"/>
                  <w:divBdr>
                    <w:top w:val="none" w:sz="0" w:space="0" w:color="auto"/>
                    <w:left w:val="none" w:sz="0" w:space="0" w:color="auto"/>
                    <w:bottom w:val="none" w:sz="0" w:space="0" w:color="auto"/>
                    <w:right w:val="none" w:sz="0" w:space="0" w:color="auto"/>
                  </w:divBdr>
                  <w:divsChild>
                    <w:div w:id="991255080">
                      <w:marLeft w:val="0"/>
                      <w:marRight w:val="0"/>
                      <w:marTop w:val="0"/>
                      <w:marBottom w:val="0"/>
                      <w:divBdr>
                        <w:top w:val="none" w:sz="0" w:space="0" w:color="auto"/>
                        <w:left w:val="none" w:sz="0" w:space="0" w:color="auto"/>
                        <w:bottom w:val="none" w:sz="0" w:space="0" w:color="auto"/>
                        <w:right w:val="none" w:sz="0" w:space="0" w:color="auto"/>
                      </w:divBdr>
                    </w:div>
                  </w:divsChild>
                </w:div>
                <w:div w:id="881525720">
                  <w:marLeft w:val="0"/>
                  <w:marRight w:val="0"/>
                  <w:marTop w:val="0"/>
                  <w:marBottom w:val="0"/>
                  <w:divBdr>
                    <w:top w:val="none" w:sz="0" w:space="0" w:color="auto"/>
                    <w:left w:val="none" w:sz="0" w:space="0" w:color="auto"/>
                    <w:bottom w:val="none" w:sz="0" w:space="0" w:color="auto"/>
                    <w:right w:val="none" w:sz="0" w:space="0" w:color="auto"/>
                  </w:divBdr>
                  <w:divsChild>
                    <w:div w:id="2132089255">
                      <w:marLeft w:val="0"/>
                      <w:marRight w:val="0"/>
                      <w:marTop w:val="0"/>
                      <w:marBottom w:val="0"/>
                      <w:divBdr>
                        <w:top w:val="none" w:sz="0" w:space="0" w:color="auto"/>
                        <w:left w:val="none" w:sz="0" w:space="0" w:color="auto"/>
                        <w:bottom w:val="none" w:sz="0" w:space="0" w:color="auto"/>
                        <w:right w:val="none" w:sz="0" w:space="0" w:color="auto"/>
                      </w:divBdr>
                    </w:div>
                  </w:divsChild>
                </w:div>
                <w:div w:id="1876186710">
                  <w:marLeft w:val="0"/>
                  <w:marRight w:val="0"/>
                  <w:marTop w:val="0"/>
                  <w:marBottom w:val="0"/>
                  <w:divBdr>
                    <w:top w:val="none" w:sz="0" w:space="0" w:color="auto"/>
                    <w:left w:val="none" w:sz="0" w:space="0" w:color="auto"/>
                    <w:bottom w:val="none" w:sz="0" w:space="0" w:color="auto"/>
                    <w:right w:val="none" w:sz="0" w:space="0" w:color="auto"/>
                  </w:divBdr>
                  <w:divsChild>
                    <w:div w:id="1986547787">
                      <w:marLeft w:val="0"/>
                      <w:marRight w:val="0"/>
                      <w:marTop w:val="0"/>
                      <w:marBottom w:val="0"/>
                      <w:divBdr>
                        <w:top w:val="none" w:sz="0" w:space="0" w:color="auto"/>
                        <w:left w:val="none" w:sz="0" w:space="0" w:color="auto"/>
                        <w:bottom w:val="none" w:sz="0" w:space="0" w:color="auto"/>
                        <w:right w:val="none" w:sz="0" w:space="0" w:color="auto"/>
                      </w:divBdr>
                    </w:div>
                  </w:divsChild>
                </w:div>
                <w:div w:id="908612135">
                  <w:marLeft w:val="0"/>
                  <w:marRight w:val="0"/>
                  <w:marTop w:val="0"/>
                  <w:marBottom w:val="0"/>
                  <w:divBdr>
                    <w:top w:val="none" w:sz="0" w:space="0" w:color="auto"/>
                    <w:left w:val="none" w:sz="0" w:space="0" w:color="auto"/>
                    <w:bottom w:val="none" w:sz="0" w:space="0" w:color="auto"/>
                    <w:right w:val="none" w:sz="0" w:space="0" w:color="auto"/>
                  </w:divBdr>
                  <w:divsChild>
                    <w:div w:id="1209143378">
                      <w:marLeft w:val="0"/>
                      <w:marRight w:val="0"/>
                      <w:marTop w:val="0"/>
                      <w:marBottom w:val="0"/>
                      <w:divBdr>
                        <w:top w:val="none" w:sz="0" w:space="0" w:color="auto"/>
                        <w:left w:val="none" w:sz="0" w:space="0" w:color="auto"/>
                        <w:bottom w:val="none" w:sz="0" w:space="0" w:color="auto"/>
                        <w:right w:val="none" w:sz="0" w:space="0" w:color="auto"/>
                      </w:divBdr>
                    </w:div>
                  </w:divsChild>
                </w:div>
                <w:div w:id="171341810">
                  <w:marLeft w:val="0"/>
                  <w:marRight w:val="0"/>
                  <w:marTop w:val="0"/>
                  <w:marBottom w:val="0"/>
                  <w:divBdr>
                    <w:top w:val="none" w:sz="0" w:space="0" w:color="auto"/>
                    <w:left w:val="none" w:sz="0" w:space="0" w:color="auto"/>
                    <w:bottom w:val="none" w:sz="0" w:space="0" w:color="auto"/>
                    <w:right w:val="none" w:sz="0" w:space="0" w:color="auto"/>
                  </w:divBdr>
                  <w:divsChild>
                    <w:div w:id="1031539013">
                      <w:marLeft w:val="0"/>
                      <w:marRight w:val="0"/>
                      <w:marTop w:val="0"/>
                      <w:marBottom w:val="0"/>
                      <w:divBdr>
                        <w:top w:val="none" w:sz="0" w:space="0" w:color="auto"/>
                        <w:left w:val="none" w:sz="0" w:space="0" w:color="auto"/>
                        <w:bottom w:val="none" w:sz="0" w:space="0" w:color="auto"/>
                        <w:right w:val="none" w:sz="0" w:space="0" w:color="auto"/>
                      </w:divBdr>
                    </w:div>
                    <w:div w:id="331301436">
                      <w:marLeft w:val="0"/>
                      <w:marRight w:val="0"/>
                      <w:marTop w:val="0"/>
                      <w:marBottom w:val="0"/>
                      <w:divBdr>
                        <w:top w:val="none" w:sz="0" w:space="0" w:color="auto"/>
                        <w:left w:val="none" w:sz="0" w:space="0" w:color="auto"/>
                        <w:bottom w:val="none" w:sz="0" w:space="0" w:color="auto"/>
                        <w:right w:val="none" w:sz="0" w:space="0" w:color="auto"/>
                      </w:divBdr>
                    </w:div>
                  </w:divsChild>
                </w:div>
                <w:div w:id="1729260865">
                  <w:marLeft w:val="0"/>
                  <w:marRight w:val="0"/>
                  <w:marTop w:val="0"/>
                  <w:marBottom w:val="0"/>
                  <w:divBdr>
                    <w:top w:val="none" w:sz="0" w:space="0" w:color="auto"/>
                    <w:left w:val="none" w:sz="0" w:space="0" w:color="auto"/>
                    <w:bottom w:val="none" w:sz="0" w:space="0" w:color="auto"/>
                    <w:right w:val="none" w:sz="0" w:space="0" w:color="auto"/>
                  </w:divBdr>
                  <w:divsChild>
                    <w:div w:id="886916646">
                      <w:marLeft w:val="0"/>
                      <w:marRight w:val="0"/>
                      <w:marTop w:val="0"/>
                      <w:marBottom w:val="0"/>
                      <w:divBdr>
                        <w:top w:val="none" w:sz="0" w:space="0" w:color="auto"/>
                        <w:left w:val="none" w:sz="0" w:space="0" w:color="auto"/>
                        <w:bottom w:val="none" w:sz="0" w:space="0" w:color="auto"/>
                        <w:right w:val="none" w:sz="0" w:space="0" w:color="auto"/>
                      </w:divBdr>
                    </w:div>
                    <w:div w:id="873687536">
                      <w:marLeft w:val="0"/>
                      <w:marRight w:val="0"/>
                      <w:marTop w:val="0"/>
                      <w:marBottom w:val="0"/>
                      <w:divBdr>
                        <w:top w:val="none" w:sz="0" w:space="0" w:color="auto"/>
                        <w:left w:val="none" w:sz="0" w:space="0" w:color="auto"/>
                        <w:bottom w:val="none" w:sz="0" w:space="0" w:color="auto"/>
                        <w:right w:val="none" w:sz="0" w:space="0" w:color="auto"/>
                      </w:divBdr>
                    </w:div>
                    <w:div w:id="1252735534">
                      <w:marLeft w:val="0"/>
                      <w:marRight w:val="0"/>
                      <w:marTop w:val="0"/>
                      <w:marBottom w:val="0"/>
                      <w:divBdr>
                        <w:top w:val="none" w:sz="0" w:space="0" w:color="auto"/>
                        <w:left w:val="none" w:sz="0" w:space="0" w:color="auto"/>
                        <w:bottom w:val="none" w:sz="0" w:space="0" w:color="auto"/>
                        <w:right w:val="none" w:sz="0" w:space="0" w:color="auto"/>
                      </w:divBdr>
                    </w:div>
                    <w:div w:id="511652202">
                      <w:marLeft w:val="0"/>
                      <w:marRight w:val="0"/>
                      <w:marTop w:val="0"/>
                      <w:marBottom w:val="0"/>
                      <w:divBdr>
                        <w:top w:val="none" w:sz="0" w:space="0" w:color="auto"/>
                        <w:left w:val="none" w:sz="0" w:space="0" w:color="auto"/>
                        <w:bottom w:val="none" w:sz="0" w:space="0" w:color="auto"/>
                        <w:right w:val="none" w:sz="0" w:space="0" w:color="auto"/>
                      </w:divBdr>
                    </w:div>
                    <w:div w:id="1207915386">
                      <w:marLeft w:val="0"/>
                      <w:marRight w:val="0"/>
                      <w:marTop w:val="0"/>
                      <w:marBottom w:val="0"/>
                      <w:divBdr>
                        <w:top w:val="none" w:sz="0" w:space="0" w:color="auto"/>
                        <w:left w:val="none" w:sz="0" w:space="0" w:color="auto"/>
                        <w:bottom w:val="none" w:sz="0" w:space="0" w:color="auto"/>
                        <w:right w:val="none" w:sz="0" w:space="0" w:color="auto"/>
                      </w:divBdr>
                    </w:div>
                    <w:div w:id="190609142">
                      <w:marLeft w:val="0"/>
                      <w:marRight w:val="0"/>
                      <w:marTop w:val="0"/>
                      <w:marBottom w:val="0"/>
                      <w:divBdr>
                        <w:top w:val="none" w:sz="0" w:space="0" w:color="auto"/>
                        <w:left w:val="none" w:sz="0" w:space="0" w:color="auto"/>
                        <w:bottom w:val="none" w:sz="0" w:space="0" w:color="auto"/>
                        <w:right w:val="none" w:sz="0" w:space="0" w:color="auto"/>
                      </w:divBdr>
                    </w:div>
                  </w:divsChild>
                </w:div>
                <w:div w:id="190189698">
                  <w:marLeft w:val="0"/>
                  <w:marRight w:val="0"/>
                  <w:marTop w:val="0"/>
                  <w:marBottom w:val="0"/>
                  <w:divBdr>
                    <w:top w:val="none" w:sz="0" w:space="0" w:color="auto"/>
                    <w:left w:val="none" w:sz="0" w:space="0" w:color="auto"/>
                    <w:bottom w:val="none" w:sz="0" w:space="0" w:color="auto"/>
                    <w:right w:val="none" w:sz="0" w:space="0" w:color="auto"/>
                  </w:divBdr>
                  <w:divsChild>
                    <w:div w:id="49698679">
                      <w:marLeft w:val="0"/>
                      <w:marRight w:val="0"/>
                      <w:marTop w:val="0"/>
                      <w:marBottom w:val="0"/>
                      <w:divBdr>
                        <w:top w:val="none" w:sz="0" w:space="0" w:color="auto"/>
                        <w:left w:val="none" w:sz="0" w:space="0" w:color="auto"/>
                        <w:bottom w:val="none" w:sz="0" w:space="0" w:color="auto"/>
                        <w:right w:val="none" w:sz="0" w:space="0" w:color="auto"/>
                      </w:divBdr>
                    </w:div>
                    <w:div w:id="102002421">
                      <w:marLeft w:val="0"/>
                      <w:marRight w:val="0"/>
                      <w:marTop w:val="0"/>
                      <w:marBottom w:val="0"/>
                      <w:divBdr>
                        <w:top w:val="none" w:sz="0" w:space="0" w:color="auto"/>
                        <w:left w:val="none" w:sz="0" w:space="0" w:color="auto"/>
                        <w:bottom w:val="none" w:sz="0" w:space="0" w:color="auto"/>
                        <w:right w:val="none" w:sz="0" w:space="0" w:color="auto"/>
                      </w:divBdr>
                    </w:div>
                    <w:div w:id="1282877648">
                      <w:marLeft w:val="0"/>
                      <w:marRight w:val="0"/>
                      <w:marTop w:val="0"/>
                      <w:marBottom w:val="0"/>
                      <w:divBdr>
                        <w:top w:val="none" w:sz="0" w:space="0" w:color="auto"/>
                        <w:left w:val="none" w:sz="0" w:space="0" w:color="auto"/>
                        <w:bottom w:val="none" w:sz="0" w:space="0" w:color="auto"/>
                        <w:right w:val="none" w:sz="0" w:space="0" w:color="auto"/>
                      </w:divBdr>
                    </w:div>
                    <w:div w:id="1113477460">
                      <w:marLeft w:val="0"/>
                      <w:marRight w:val="0"/>
                      <w:marTop w:val="0"/>
                      <w:marBottom w:val="0"/>
                      <w:divBdr>
                        <w:top w:val="none" w:sz="0" w:space="0" w:color="auto"/>
                        <w:left w:val="none" w:sz="0" w:space="0" w:color="auto"/>
                        <w:bottom w:val="none" w:sz="0" w:space="0" w:color="auto"/>
                        <w:right w:val="none" w:sz="0" w:space="0" w:color="auto"/>
                      </w:divBdr>
                    </w:div>
                    <w:div w:id="524246521">
                      <w:marLeft w:val="0"/>
                      <w:marRight w:val="0"/>
                      <w:marTop w:val="0"/>
                      <w:marBottom w:val="0"/>
                      <w:divBdr>
                        <w:top w:val="none" w:sz="0" w:space="0" w:color="auto"/>
                        <w:left w:val="none" w:sz="0" w:space="0" w:color="auto"/>
                        <w:bottom w:val="none" w:sz="0" w:space="0" w:color="auto"/>
                        <w:right w:val="none" w:sz="0" w:space="0" w:color="auto"/>
                      </w:divBdr>
                    </w:div>
                    <w:div w:id="1195078590">
                      <w:marLeft w:val="0"/>
                      <w:marRight w:val="0"/>
                      <w:marTop w:val="0"/>
                      <w:marBottom w:val="0"/>
                      <w:divBdr>
                        <w:top w:val="none" w:sz="0" w:space="0" w:color="auto"/>
                        <w:left w:val="none" w:sz="0" w:space="0" w:color="auto"/>
                        <w:bottom w:val="none" w:sz="0" w:space="0" w:color="auto"/>
                        <w:right w:val="none" w:sz="0" w:space="0" w:color="auto"/>
                      </w:divBdr>
                    </w:div>
                    <w:div w:id="1593080934">
                      <w:marLeft w:val="0"/>
                      <w:marRight w:val="0"/>
                      <w:marTop w:val="0"/>
                      <w:marBottom w:val="0"/>
                      <w:divBdr>
                        <w:top w:val="none" w:sz="0" w:space="0" w:color="auto"/>
                        <w:left w:val="none" w:sz="0" w:space="0" w:color="auto"/>
                        <w:bottom w:val="none" w:sz="0" w:space="0" w:color="auto"/>
                        <w:right w:val="none" w:sz="0" w:space="0" w:color="auto"/>
                      </w:divBdr>
                    </w:div>
                    <w:div w:id="1979262889">
                      <w:marLeft w:val="0"/>
                      <w:marRight w:val="0"/>
                      <w:marTop w:val="0"/>
                      <w:marBottom w:val="0"/>
                      <w:divBdr>
                        <w:top w:val="none" w:sz="0" w:space="0" w:color="auto"/>
                        <w:left w:val="none" w:sz="0" w:space="0" w:color="auto"/>
                        <w:bottom w:val="none" w:sz="0" w:space="0" w:color="auto"/>
                        <w:right w:val="none" w:sz="0" w:space="0" w:color="auto"/>
                      </w:divBdr>
                    </w:div>
                  </w:divsChild>
                </w:div>
                <w:div w:id="1568998345">
                  <w:marLeft w:val="0"/>
                  <w:marRight w:val="0"/>
                  <w:marTop w:val="0"/>
                  <w:marBottom w:val="0"/>
                  <w:divBdr>
                    <w:top w:val="none" w:sz="0" w:space="0" w:color="auto"/>
                    <w:left w:val="none" w:sz="0" w:space="0" w:color="auto"/>
                    <w:bottom w:val="none" w:sz="0" w:space="0" w:color="auto"/>
                    <w:right w:val="none" w:sz="0" w:space="0" w:color="auto"/>
                  </w:divBdr>
                  <w:divsChild>
                    <w:div w:id="1422068701">
                      <w:marLeft w:val="0"/>
                      <w:marRight w:val="0"/>
                      <w:marTop w:val="0"/>
                      <w:marBottom w:val="0"/>
                      <w:divBdr>
                        <w:top w:val="none" w:sz="0" w:space="0" w:color="auto"/>
                        <w:left w:val="none" w:sz="0" w:space="0" w:color="auto"/>
                        <w:bottom w:val="none" w:sz="0" w:space="0" w:color="auto"/>
                        <w:right w:val="none" w:sz="0" w:space="0" w:color="auto"/>
                      </w:divBdr>
                    </w:div>
                    <w:div w:id="872771912">
                      <w:marLeft w:val="0"/>
                      <w:marRight w:val="0"/>
                      <w:marTop w:val="0"/>
                      <w:marBottom w:val="0"/>
                      <w:divBdr>
                        <w:top w:val="none" w:sz="0" w:space="0" w:color="auto"/>
                        <w:left w:val="none" w:sz="0" w:space="0" w:color="auto"/>
                        <w:bottom w:val="none" w:sz="0" w:space="0" w:color="auto"/>
                        <w:right w:val="none" w:sz="0" w:space="0" w:color="auto"/>
                      </w:divBdr>
                    </w:div>
                    <w:div w:id="135072573">
                      <w:marLeft w:val="0"/>
                      <w:marRight w:val="0"/>
                      <w:marTop w:val="0"/>
                      <w:marBottom w:val="0"/>
                      <w:divBdr>
                        <w:top w:val="none" w:sz="0" w:space="0" w:color="auto"/>
                        <w:left w:val="none" w:sz="0" w:space="0" w:color="auto"/>
                        <w:bottom w:val="none" w:sz="0" w:space="0" w:color="auto"/>
                        <w:right w:val="none" w:sz="0" w:space="0" w:color="auto"/>
                      </w:divBdr>
                    </w:div>
                    <w:div w:id="806631065">
                      <w:marLeft w:val="0"/>
                      <w:marRight w:val="0"/>
                      <w:marTop w:val="0"/>
                      <w:marBottom w:val="0"/>
                      <w:divBdr>
                        <w:top w:val="none" w:sz="0" w:space="0" w:color="auto"/>
                        <w:left w:val="none" w:sz="0" w:space="0" w:color="auto"/>
                        <w:bottom w:val="none" w:sz="0" w:space="0" w:color="auto"/>
                        <w:right w:val="none" w:sz="0" w:space="0" w:color="auto"/>
                      </w:divBdr>
                    </w:div>
                    <w:div w:id="742526290">
                      <w:marLeft w:val="0"/>
                      <w:marRight w:val="0"/>
                      <w:marTop w:val="0"/>
                      <w:marBottom w:val="0"/>
                      <w:divBdr>
                        <w:top w:val="none" w:sz="0" w:space="0" w:color="auto"/>
                        <w:left w:val="none" w:sz="0" w:space="0" w:color="auto"/>
                        <w:bottom w:val="none" w:sz="0" w:space="0" w:color="auto"/>
                        <w:right w:val="none" w:sz="0" w:space="0" w:color="auto"/>
                      </w:divBdr>
                    </w:div>
                    <w:div w:id="488788436">
                      <w:marLeft w:val="0"/>
                      <w:marRight w:val="0"/>
                      <w:marTop w:val="0"/>
                      <w:marBottom w:val="0"/>
                      <w:divBdr>
                        <w:top w:val="none" w:sz="0" w:space="0" w:color="auto"/>
                        <w:left w:val="none" w:sz="0" w:space="0" w:color="auto"/>
                        <w:bottom w:val="none" w:sz="0" w:space="0" w:color="auto"/>
                        <w:right w:val="none" w:sz="0" w:space="0" w:color="auto"/>
                      </w:divBdr>
                    </w:div>
                  </w:divsChild>
                </w:div>
                <w:div w:id="762384815">
                  <w:marLeft w:val="0"/>
                  <w:marRight w:val="0"/>
                  <w:marTop w:val="0"/>
                  <w:marBottom w:val="0"/>
                  <w:divBdr>
                    <w:top w:val="none" w:sz="0" w:space="0" w:color="auto"/>
                    <w:left w:val="none" w:sz="0" w:space="0" w:color="auto"/>
                    <w:bottom w:val="none" w:sz="0" w:space="0" w:color="auto"/>
                    <w:right w:val="none" w:sz="0" w:space="0" w:color="auto"/>
                  </w:divBdr>
                  <w:divsChild>
                    <w:div w:id="1117021999">
                      <w:marLeft w:val="0"/>
                      <w:marRight w:val="0"/>
                      <w:marTop w:val="0"/>
                      <w:marBottom w:val="0"/>
                      <w:divBdr>
                        <w:top w:val="none" w:sz="0" w:space="0" w:color="auto"/>
                        <w:left w:val="none" w:sz="0" w:space="0" w:color="auto"/>
                        <w:bottom w:val="none" w:sz="0" w:space="0" w:color="auto"/>
                        <w:right w:val="none" w:sz="0" w:space="0" w:color="auto"/>
                      </w:divBdr>
                    </w:div>
                  </w:divsChild>
                </w:div>
                <w:div w:id="768476862">
                  <w:marLeft w:val="0"/>
                  <w:marRight w:val="0"/>
                  <w:marTop w:val="0"/>
                  <w:marBottom w:val="0"/>
                  <w:divBdr>
                    <w:top w:val="none" w:sz="0" w:space="0" w:color="auto"/>
                    <w:left w:val="none" w:sz="0" w:space="0" w:color="auto"/>
                    <w:bottom w:val="none" w:sz="0" w:space="0" w:color="auto"/>
                    <w:right w:val="none" w:sz="0" w:space="0" w:color="auto"/>
                  </w:divBdr>
                  <w:divsChild>
                    <w:div w:id="1873568169">
                      <w:marLeft w:val="0"/>
                      <w:marRight w:val="0"/>
                      <w:marTop w:val="0"/>
                      <w:marBottom w:val="0"/>
                      <w:divBdr>
                        <w:top w:val="none" w:sz="0" w:space="0" w:color="auto"/>
                        <w:left w:val="none" w:sz="0" w:space="0" w:color="auto"/>
                        <w:bottom w:val="none" w:sz="0" w:space="0" w:color="auto"/>
                        <w:right w:val="none" w:sz="0" w:space="0" w:color="auto"/>
                      </w:divBdr>
                    </w:div>
                    <w:div w:id="280773264">
                      <w:marLeft w:val="0"/>
                      <w:marRight w:val="0"/>
                      <w:marTop w:val="0"/>
                      <w:marBottom w:val="0"/>
                      <w:divBdr>
                        <w:top w:val="none" w:sz="0" w:space="0" w:color="auto"/>
                        <w:left w:val="none" w:sz="0" w:space="0" w:color="auto"/>
                        <w:bottom w:val="none" w:sz="0" w:space="0" w:color="auto"/>
                        <w:right w:val="none" w:sz="0" w:space="0" w:color="auto"/>
                      </w:divBdr>
                    </w:div>
                  </w:divsChild>
                </w:div>
                <w:div w:id="1324046517">
                  <w:marLeft w:val="0"/>
                  <w:marRight w:val="0"/>
                  <w:marTop w:val="0"/>
                  <w:marBottom w:val="0"/>
                  <w:divBdr>
                    <w:top w:val="none" w:sz="0" w:space="0" w:color="auto"/>
                    <w:left w:val="none" w:sz="0" w:space="0" w:color="auto"/>
                    <w:bottom w:val="none" w:sz="0" w:space="0" w:color="auto"/>
                    <w:right w:val="none" w:sz="0" w:space="0" w:color="auto"/>
                  </w:divBdr>
                  <w:divsChild>
                    <w:div w:id="833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3769">
          <w:marLeft w:val="0"/>
          <w:marRight w:val="0"/>
          <w:marTop w:val="0"/>
          <w:marBottom w:val="0"/>
          <w:divBdr>
            <w:top w:val="none" w:sz="0" w:space="0" w:color="auto"/>
            <w:left w:val="none" w:sz="0" w:space="0" w:color="auto"/>
            <w:bottom w:val="none" w:sz="0" w:space="0" w:color="auto"/>
            <w:right w:val="none" w:sz="0" w:space="0" w:color="auto"/>
          </w:divBdr>
        </w:div>
      </w:divsChild>
    </w:div>
    <w:div w:id="2103842295">
      <w:bodyDiv w:val="1"/>
      <w:marLeft w:val="0"/>
      <w:marRight w:val="0"/>
      <w:marTop w:val="0"/>
      <w:marBottom w:val="0"/>
      <w:divBdr>
        <w:top w:val="none" w:sz="0" w:space="0" w:color="auto"/>
        <w:left w:val="none" w:sz="0" w:space="0" w:color="auto"/>
        <w:bottom w:val="none" w:sz="0" w:space="0" w:color="auto"/>
        <w:right w:val="none" w:sz="0" w:space="0" w:color="auto"/>
      </w:divBdr>
      <w:divsChild>
        <w:div w:id="1612202956">
          <w:marLeft w:val="0"/>
          <w:marRight w:val="0"/>
          <w:marTop w:val="0"/>
          <w:marBottom w:val="0"/>
          <w:divBdr>
            <w:top w:val="none" w:sz="0" w:space="0" w:color="auto"/>
            <w:left w:val="none" w:sz="0" w:space="0" w:color="auto"/>
            <w:bottom w:val="none" w:sz="0" w:space="0" w:color="auto"/>
            <w:right w:val="none" w:sz="0" w:space="0" w:color="auto"/>
          </w:divBdr>
          <w:divsChild>
            <w:div w:id="2058583051">
              <w:marLeft w:val="-75"/>
              <w:marRight w:val="0"/>
              <w:marTop w:val="30"/>
              <w:marBottom w:val="30"/>
              <w:divBdr>
                <w:top w:val="none" w:sz="0" w:space="0" w:color="auto"/>
                <w:left w:val="none" w:sz="0" w:space="0" w:color="auto"/>
                <w:bottom w:val="none" w:sz="0" w:space="0" w:color="auto"/>
                <w:right w:val="none" w:sz="0" w:space="0" w:color="auto"/>
              </w:divBdr>
              <w:divsChild>
                <w:div w:id="1532569685">
                  <w:marLeft w:val="0"/>
                  <w:marRight w:val="0"/>
                  <w:marTop w:val="0"/>
                  <w:marBottom w:val="0"/>
                  <w:divBdr>
                    <w:top w:val="none" w:sz="0" w:space="0" w:color="auto"/>
                    <w:left w:val="none" w:sz="0" w:space="0" w:color="auto"/>
                    <w:bottom w:val="none" w:sz="0" w:space="0" w:color="auto"/>
                    <w:right w:val="none" w:sz="0" w:space="0" w:color="auto"/>
                  </w:divBdr>
                  <w:divsChild>
                    <w:div w:id="1846086622">
                      <w:marLeft w:val="0"/>
                      <w:marRight w:val="0"/>
                      <w:marTop w:val="0"/>
                      <w:marBottom w:val="0"/>
                      <w:divBdr>
                        <w:top w:val="none" w:sz="0" w:space="0" w:color="auto"/>
                        <w:left w:val="none" w:sz="0" w:space="0" w:color="auto"/>
                        <w:bottom w:val="none" w:sz="0" w:space="0" w:color="auto"/>
                        <w:right w:val="none" w:sz="0" w:space="0" w:color="auto"/>
                      </w:divBdr>
                    </w:div>
                  </w:divsChild>
                </w:div>
                <w:div w:id="1446458132">
                  <w:marLeft w:val="0"/>
                  <w:marRight w:val="0"/>
                  <w:marTop w:val="0"/>
                  <w:marBottom w:val="0"/>
                  <w:divBdr>
                    <w:top w:val="none" w:sz="0" w:space="0" w:color="auto"/>
                    <w:left w:val="none" w:sz="0" w:space="0" w:color="auto"/>
                    <w:bottom w:val="none" w:sz="0" w:space="0" w:color="auto"/>
                    <w:right w:val="none" w:sz="0" w:space="0" w:color="auto"/>
                  </w:divBdr>
                  <w:divsChild>
                    <w:div w:id="1428886221">
                      <w:marLeft w:val="0"/>
                      <w:marRight w:val="0"/>
                      <w:marTop w:val="0"/>
                      <w:marBottom w:val="0"/>
                      <w:divBdr>
                        <w:top w:val="none" w:sz="0" w:space="0" w:color="auto"/>
                        <w:left w:val="none" w:sz="0" w:space="0" w:color="auto"/>
                        <w:bottom w:val="none" w:sz="0" w:space="0" w:color="auto"/>
                        <w:right w:val="none" w:sz="0" w:space="0" w:color="auto"/>
                      </w:divBdr>
                    </w:div>
                  </w:divsChild>
                </w:div>
                <w:div w:id="380175627">
                  <w:marLeft w:val="0"/>
                  <w:marRight w:val="0"/>
                  <w:marTop w:val="0"/>
                  <w:marBottom w:val="0"/>
                  <w:divBdr>
                    <w:top w:val="none" w:sz="0" w:space="0" w:color="auto"/>
                    <w:left w:val="none" w:sz="0" w:space="0" w:color="auto"/>
                    <w:bottom w:val="none" w:sz="0" w:space="0" w:color="auto"/>
                    <w:right w:val="none" w:sz="0" w:space="0" w:color="auto"/>
                  </w:divBdr>
                  <w:divsChild>
                    <w:div w:id="680085563">
                      <w:marLeft w:val="0"/>
                      <w:marRight w:val="0"/>
                      <w:marTop w:val="0"/>
                      <w:marBottom w:val="0"/>
                      <w:divBdr>
                        <w:top w:val="none" w:sz="0" w:space="0" w:color="auto"/>
                        <w:left w:val="none" w:sz="0" w:space="0" w:color="auto"/>
                        <w:bottom w:val="none" w:sz="0" w:space="0" w:color="auto"/>
                        <w:right w:val="none" w:sz="0" w:space="0" w:color="auto"/>
                      </w:divBdr>
                    </w:div>
                  </w:divsChild>
                </w:div>
                <w:div w:id="1044329062">
                  <w:marLeft w:val="0"/>
                  <w:marRight w:val="0"/>
                  <w:marTop w:val="0"/>
                  <w:marBottom w:val="0"/>
                  <w:divBdr>
                    <w:top w:val="none" w:sz="0" w:space="0" w:color="auto"/>
                    <w:left w:val="none" w:sz="0" w:space="0" w:color="auto"/>
                    <w:bottom w:val="none" w:sz="0" w:space="0" w:color="auto"/>
                    <w:right w:val="none" w:sz="0" w:space="0" w:color="auto"/>
                  </w:divBdr>
                  <w:divsChild>
                    <w:div w:id="1971200384">
                      <w:marLeft w:val="0"/>
                      <w:marRight w:val="0"/>
                      <w:marTop w:val="0"/>
                      <w:marBottom w:val="0"/>
                      <w:divBdr>
                        <w:top w:val="none" w:sz="0" w:space="0" w:color="auto"/>
                        <w:left w:val="none" w:sz="0" w:space="0" w:color="auto"/>
                        <w:bottom w:val="none" w:sz="0" w:space="0" w:color="auto"/>
                        <w:right w:val="none" w:sz="0" w:space="0" w:color="auto"/>
                      </w:divBdr>
                    </w:div>
                  </w:divsChild>
                </w:div>
                <w:div w:id="1131754623">
                  <w:marLeft w:val="0"/>
                  <w:marRight w:val="0"/>
                  <w:marTop w:val="0"/>
                  <w:marBottom w:val="0"/>
                  <w:divBdr>
                    <w:top w:val="none" w:sz="0" w:space="0" w:color="auto"/>
                    <w:left w:val="none" w:sz="0" w:space="0" w:color="auto"/>
                    <w:bottom w:val="none" w:sz="0" w:space="0" w:color="auto"/>
                    <w:right w:val="none" w:sz="0" w:space="0" w:color="auto"/>
                  </w:divBdr>
                  <w:divsChild>
                    <w:div w:id="312875267">
                      <w:marLeft w:val="0"/>
                      <w:marRight w:val="0"/>
                      <w:marTop w:val="0"/>
                      <w:marBottom w:val="0"/>
                      <w:divBdr>
                        <w:top w:val="none" w:sz="0" w:space="0" w:color="auto"/>
                        <w:left w:val="none" w:sz="0" w:space="0" w:color="auto"/>
                        <w:bottom w:val="none" w:sz="0" w:space="0" w:color="auto"/>
                        <w:right w:val="none" w:sz="0" w:space="0" w:color="auto"/>
                      </w:divBdr>
                    </w:div>
                    <w:div w:id="361712680">
                      <w:marLeft w:val="0"/>
                      <w:marRight w:val="0"/>
                      <w:marTop w:val="0"/>
                      <w:marBottom w:val="0"/>
                      <w:divBdr>
                        <w:top w:val="none" w:sz="0" w:space="0" w:color="auto"/>
                        <w:left w:val="none" w:sz="0" w:space="0" w:color="auto"/>
                        <w:bottom w:val="none" w:sz="0" w:space="0" w:color="auto"/>
                        <w:right w:val="none" w:sz="0" w:space="0" w:color="auto"/>
                      </w:divBdr>
                    </w:div>
                  </w:divsChild>
                </w:div>
                <w:div w:id="588930049">
                  <w:marLeft w:val="0"/>
                  <w:marRight w:val="0"/>
                  <w:marTop w:val="0"/>
                  <w:marBottom w:val="0"/>
                  <w:divBdr>
                    <w:top w:val="none" w:sz="0" w:space="0" w:color="auto"/>
                    <w:left w:val="none" w:sz="0" w:space="0" w:color="auto"/>
                    <w:bottom w:val="none" w:sz="0" w:space="0" w:color="auto"/>
                    <w:right w:val="none" w:sz="0" w:space="0" w:color="auto"/>
                  </w:divBdr>
                  <w:divsChild>
                    <w:div w:id="133909849">
                      <w:marLeft w:val="0"/>
                      <w:marRight w:val="0"/>
                      <w:marTop w:val="0"/>
                      <w:marBottom w:val="0"/>
                      <w:divBdr>
                        <w:top w:val="none" w:sz="0" w:space="0" w:color="auto"/>
                        <w:left w:val="none" w:sz="0" w:space="0" w:color="auto"/>
                        <w:bottom w:val="none" w:sz="0" w:space="0" w:color="auto"/>
                        <w:right w:val="none" w:sz="0" w:space="0" w:color="auto"/>
                      </w:divBdr>
                    </w:div>
                    <w:div w:id="1965428022">
                      <w:marLeft w:val="0"/>
                      <w:marRight w:val="0"/>
                      <w:marTop w:val="0"/>
                      <w:marBottom w:val="0"/>
                      <w:divBdr>
                        <w:top w:val="none" w:sz="0" w:space="0" w:color="auto"/>
                        <w:left w:val="none" w:sz="0" w:space="0" w:color="auto"/>
                        <w:bottom w:val="none" w:sz="0" w:space="0" w:color="auto"/>
                        <w:right w:val="none" w:sz="0" w:space="0" w:color="auto"/>
                      </w:divBdr>
                    </w:div>
                    <w:div w:id="1271816032">
                      <w:marLeft w:val="0"/>
                      <w:marRight w:val="0"/>
                      <w:marTop w:val="0"/>
                      <w:marBottom w:val="0"/>
                      <w:divBdr>
                        <w:top w:val="none" w:sz="0" w:space="0" w:color="auto"/>
                        <w:left w:val="none" w:sz="0" w:space="0" w:color="auto"/>
                        <w:bottom w:val="none" w:sz="0" w:space="0" w:color="auto"/>
                        <w:right w:val="none" w:sz="0" w:space="0" w:color="auto"/>
                      </w:divBdr>
                    </w:div>
                    <w:div w:id="2050373336">
                      <w:marLeft w:val="0"/>
                      <w:marRight w:val="0"/>
                      <w:marTop w:val="0"/>
                      <w:marBottom w:val="0"/>
                      <w:divBdr>
                        <w:top w:val="none" w:sz="0" w:space="0" w:color="auto"/>
                        <w:left w:val="none" w:sz="0" w:space="0" w:color="auto"/>
                        <w:bottom w:val="none" w:sz="0" w:space="0" w:color="auto"/>
                        <w:right w:val="none" w:sz="0" w:space="0" w:color="auto"/>
                      </w:divBdr>
                    </w:div>
                    <w:div w:id="453402715">
                      <w:marLeft w:val="0"/>
                      <w:marRight w:val="0"/>
                      <w:marTop w:val="0"/>
                      <w:marBottom w:val="0"/>
                      <w:divBdr>
                        <w:top w:val="none" w:sz="0" w:space="0" w:color="auto"/>
                        <w:left w:val="none" w:sz="0" w:space="0" w:color="auto"/>
                        <w:bottom w:val="none" w:sz="0" w:space="0" w:color="auto"/>
                        <w:right w:val="none" w:sz="0" w:space="0" w:color="auto"/>
                      </w:divBdr>
                    </w:div>
                    <w:div w:id="614288043">
                      <w:marLeft w:val="0"/>
                      <w:marRight w:val="0"/>
                      <w:marTop w:val="0"/>
                      <w:marBottom w:val="0"/>
                      <w:divBdr>
                        <w:top w:val="none" w:sz="0" w:space="0" w:color="auto"/>
                        <w:left w:val="none" w:sz="0" w:space="0" w:color="auto"/>
                        <w:bottom w:val="none" w:sz="0" w:space="0" w:color="auto"/>
                        <w:right w:val="none" w:sz="0" w:space="0" w:color="auto"/>
                      </w:divBdr>
                    </w:div>
                  </w:divsChild>
                </w:div>
                <w:div w:id="199512135">
                  <w:marLeft w:val="0"/>
                  <w:marRight w:val="0"/>
                  <w:marTop w:val="0"/>
                  <w:marBottom w:val="0"/>
                  <w:divBdr>
                    <w:top w:val="none" w:sz="0" w:space="0" w:color="auto"/>
                    <w:left w:val="none" w:sz="0" w:space="0" w:color="auto"/>
                    <w:bottom w:val="none" w:sz="0" w:space="0" w:color="auto"/>
                    <w:right w:val="none" w:sz="0" w:space="0" w:color="auto"/>
                  </w:divBdr>
                  <w:divsChild>
                    <w:div w:id="703604450">
                      <w:marLeft w:val="0"/>
                      <w:marRight w:val="0"/>
                      <w:marTop w:val="0"/>
                      <w:marBottom w:val="0"/>
                      <w:divBdr>
                        <w:top w:val="none" w:sz="0" w:space="0" w:color="auto"/>
                        <w:left w:val="none" w:sz="0" w:space="0" w:color="auto"/>
                        <w:bottom w:val="none" w:sz="0" w:space="0" w:color="auto"/>
                        <w:right w:val="none" w:sz="0" w:space="0" w:color="auto"/>
                      </w:divBdr>
                    </w:div>
                    <w:div w:id="778723106">
                      <w:marLeft w:val="0"/>
                      <w:marRight w:val="0"/>
                      <w:marTop w:val="0"/>
                      <w:marBottom w:val="0"/>
                      <w:divBdr>
                        <w:top w:val="none" w:sz="0" w:space="0" w:color="auto"/>
                        <w:left w:val="none" w:sz="0" w:space="0" w:color="auto"/>
                        <w:bottom w:val="none" w:sz="0" w:space="0" w:color="auto"/>
                        <w:right w:val="none" w:sz="0" w:space="0" w:color="auto"/>
                      </w:divBdr>
                    </w:div>
                    <w:div w:id="835993328">
                      <w:marLeft w:val="0"/>
                      <w:marRight w:val="0"/>
                      <w:marTop w:val="0"/>
                      <w:marBottom w:val="0"/>
                      <w:divBdr>
                        <w:top w:val="none" w:sz="0" w:space="0" w:color="auto"/>
                        <w:left w:val="none" w:sz="0" w:space="0" w:color="auto"/>
                        <w:bottom w:val="none" w:sz="0" w:space="0" w:color="auto"/>
                        <w:right w:val="none" w:sz="0" w:space="0" w:color="auto"/>
                      </w:divBdr>
                    </w:div>
                    <w:div w:id="534927255">
                      <w:marLeft w:val="0"/>
                      <w:marRight w:val="0"/>
                      <w:marTop w:val="0"/>
                      <w:marBottom w:val="0"/>
                      <w:divBdr>
                        <w:top w:val="none" w:sz="0" w:space="0" w:color="auto"/>
                        <w:left w:val="none" w:sz="0" w:space="0" w:color="auto"/>
                        <w:bottom w:val="none" w:sz="0" w:space="0" w:color="auto"/>
                        <w:right w:val="none" w:sz="0" w:space="0" w:color="auto"/>
                      </w:divBdr>
                    </w:div>
                    <w:div w:id="1847674920">
                      <w:marLeft w:val="0"/>
                      <w:marRight w:val="0"/>
                      <w:marTop w:val="0"/>
                      <w:marBottom w:val="0"/>
                      <w:divBdr>
                        <w:top w:val="none" w:sz="0" w:space="0" w:color="auto"/>
                        <w:left w:val="none" w:sz="0" w:space="0" w:color="auto"/>
                        <w:bottom w:val="none" w:sz="0" w:space="0" w:color="auto"/>
                        <w:right w:val="none" w:sz="0" w:space="0" w:color="auto"/>
                      </w:divBdr>
                    </w:div>
                    <w:div w:id="1236086269">
                      <w:marLeft w:val="0"/>
                      <w:marRight w:val="0"/>
                      <w:marTop w:val="0"/>
                      <w:marBottom w:val="0"/>
                      <w:divBdr>
                        <w:top w:val="none" w:sz="0" w:space="0" w:color="auto"/>
                        <w:left w:val="none" w:sz="0" w:space="0" w:color="auto"/>
                        <w:bottom w:val="none" w:sz="0" w:space="0" w:color="auto"/>
                        <w:right w:val="none" w:sz="0" w:space="0" w:color="auto"/>
                      </w:divBdr>
                    </w:div>
                    <w:div w:id="1165704837">
                      <w:marLeft w:val="0"/>
                      <w:marRight w:val="0"/>
                      <w:marTop w:val="0"/>
                      <w:marBottom w:val="0"/>
                      <w:divBdr>
                        <w:top w:val="none" w:sz="0" w:space="0" w:color="auto"/>
                        <w:left w:val="none" w:sz="0" w:space="0" w:color="auto"/>
                        <w:bottom w:val="none" w:sz="0" w:space="0" w:color="auto"/>
                        <w:right w:val="none" w:sz="0" w:space="0" w:color="auto"/>
                      </w:divBdr>
                    </w:div>
                    <w:div w:id="299963440">
                      <w:marLeft w:val="0"/>
                      <w:marRight w:val="0"/>
                      <w:marTop w:val="0"/>
                      <w:marBottom w:val="0"/>
                      <w:divBdr>
                        <w:top w:val="none" w:sz="0" w:space="0" w:color="auto"/>
                        <w:left w:val="none" w:sz="0" w:space="0" w:color="auto"/>
                        <w:bottom w:val="none" w:sz="0" w:space="0" w:color="auto"/>
                        <w:right w:val="none" w:sz="0" w:space="0" w:color="auto"/>
                      </w:divBdr>
                    </w:div>
                  </w:divsChild>
                </w:div>
                <w:div w:id="16392876">
                  <w:marLeft w:val="0"/>
                  <w:marRight w:val="0"/>
                  <w:marTop w:val="0"/>
                  <w:marBottom w:val="0"/>
                  <w:divBdr>
                    <w:top w:val="none" w:sz="0" w:space="0" w:color="auto"/>
                    <w:left w:val="none" w:sz="0" w:space="0" w:color="auto"/>
                    <w:bottom w:val="none" w:sz="0" w:space="0" w:color="auto"/>
                    <w:right w:val="none" w:sz="0" w:space="0" w:color="auto"/>
                  </w:divBdr>
                  <w:divsChild>
                    <w:div w:id="1545749323">
                      <w:marLeft w:val="0"/>
                      <w:marRight w:val="0"/>
                      <w:marTop w:val="0"/>
                      <w:marBottom w:val="0"/>
                      <w:divBdr>
                        <w:top w:val="none" w:sz="0" w:space="0" w:color="auto"/>
                        <w:left w:val="none" w:sz="0" w:space="0" w:color="auto"/>
                        <w:bottom w:val="none" w:sz="0" w:space="0" w:color="auto"/>
                        <w:right w:val="none" w:sz="0" w:space="0" w:color="auto"/>
                      </w:divBdr>
                    </w:div>
                    <w:div w:id="576017290">
                      <w:marLeft w:val="0"/>
                      <w:marRight w:val="0"/>
                      <w:marTop w:val="0"/>
                      <w:marBottom w:val="0"/>
                      <w:divBdr>
                        <w:top w:val="none" w:sz="0" w:space="0" w:color="auto"/>
                        <w:left w:val="none" w:sz="0" w:space="0" w:color="auto"/>
                        <w:bottom w:val="none" w:sz="0" w:space="0" w:color="auto"/>
                        <w:right w:val="none" w:sz="0" w:space="0" w:color="auto"/>
                      </w:divBdr>
                    </w:div>
                    <w:div w:id="1836528962">
                      <w:marLeft w:val="0"/>
                      <w:marRight w:val="0"/>
                      <w:marTop w:val="0"/>
                      <w:marBottom w:val="0"/>
                      <w:divBdr>
                        <w:top w:val="none" w:sz="0" w:space="0" w:color="auto"/>
                        <w:left w:val="none" w:sz="0" w:space="0" w:color="auto"/>
                        <w:bottom w:val="none" w:sz="0" w:space="0" w:color="auto"/>
                        <w:right w:val="none" w:sz="0" w:space="0" w:color="auto"/>
                      </w:divBdr>
                    </w:div>
                    <w:div w:id="1027219371">
                      <w:marLeft w:val="0"/>
                      <w:marRight w:val="0"/>
                      <w:marTop w:val="0"/>
                      <w:marBottom w:val="0"/>
                      <w:divBdr>
                        <w:top w:val="none" w:sz="0" w:space="0" w:color="auto"/>
                        <w:left w:val="none" w:sz="0" w:space="0" w:color="auto"/>
                        <w:bottom w:val="none" w:sz="0" w:space="0" w:color="auto"/>
                        <w:right w:val="none" w:sz="0" w:space="0" w:color="auto"/>
                      </w:divBdr>
                    </w:div>
                    <w:div w:id="1947693238">
                      <w:marLeft w:val="0"/>
                      <w:marRight w:val="0"/>
                      <w:marTop w:val="0"/>
                      <w:marBottom w:val="0"/>
                      <w:divBdr>
                        <w:top w:val="none" w:sz="0" w:space="0" w:color="auto"/>
                        <w:left w:val="none" w:sz="0" w:space="0" w:color="auto"/>
                        <w:bottom w:val="none" w:sz="0" w:space="0" w:color="auto"/>
                        <w:right w:val="none" w:sz="0" w:space="0" w:color="auto"/>
                      </w:divBdr>
                    </w:div>
                    <w:div w:id="808398237">
                      <w:marLeft w:val="0"/>
                      <w:marRight w:val="0"/>
                      <w:marTop w:val="0"/>
                      <w:marBottom w:val="0"/>
                      <w:divBdr>
                        <w:top w:val="none" w:sz="0" w:space="0" w:color="auto"/>
                        <w:left w:val="none" w:sz="0" w:space="0" w:color="auto"/>
                        <w:bottom w:val="none" w:sz="0" w:space="0" w:color="auto"/>
                        <w:right w:val="none" w:sz="0" w:space="0" w:color="auto"/>
                      </w:divBdr>
                    </w:div>
                  </w:divsChild>
                </w:div>
                <w:div w:id="2011593010">
                  <w:marLeft w:val="0"/>
                  <w:marRight w:val="0"/>
                  <w:marTop w:val="0"/>
                  <w:marBottom w:val="0"/>
                  <w:divBdr>
                    <w:top w:val="none" w:sz="0" w:space="0" w:color="auto"/>
                    <w:left w:val="none" w:sz="0" w:space="0" w:color="auto"/>
                    <w:bottom w:val="none" w:sz="0" w:space="0" w:color="auto"/>
                    <w:right w:val="none" w:sz="0" w:space="0" w:color="auto"/>
                  </w:divBdr>
                  <w:divsChild>
                    <w:div w:id="1115293042">
                      <w:marLeft w:val="0"/>
                      <w:marRight w:val="0"/>
                      <w:marTop w:val="0"/>
                      <w:marBottom w:val="0"/>
                      <w:divBdr>
                        <w:top w:val="none" w:sz="0" w:space="0" w:color="auto"/>
                        <w:left w:val="none" w:sz="0" w:space="0" w:color="auto"/>
                        <w:bottom w:val="none" w:sz="0" w:space="0" w:color="auto"/>
                        <w:right w:val="none" w:sz="0" w:space="0" w:color="auto"/>
                      </w:divBdr>
                    </w:div>
                  </w:divsChild>
                </w:div>
                <w:div w:id="749893176">
                  <w:marLeft w:val="0"/>
                  <w:marRight w:val="0"/>
                  <w:marTop w:val="0"/>
                  <w:marBottom w:val="0"/>
                  <w:divBdr>
                    <w:top w:val="none" w:sz="0" w:space="0" w:color="auto"/>
                    <w:left w:val="none" w:sz="0" w:space="0" w:color="auto"/>
                    <w:bottom w:val="none" w:sz="0" w:space="0" w:color="auto"/>
                    <w:right w:val="none" w:sz="0" w:space="0" w:color="auto"/>
                  </w:divBdr>
                  <w:divsChild>
                    <w:div w:id="512646060">
                      <w:marLeft w:val="0"/>
                      <w:marRight w:val="0"/>
                      <w:marTop w:val="0"/>
                      <w:marBottom w:val="0"/>
                      <w:divBdr>
                        <w:top w:val="none" w:sz="0" w:space="0" w:color="auto"/>
                        <w:left w:val="none" w:sz="0" w:space="0" w:color="auto"/>
                        <w:bottom w:val="none" w:sz="0" w:space="0" w:color="auto"/>
                        <w:right w:val="none" w:sz="0" w:space="0" w:color="auto"/>
                      </w:divBdr>
                    </w:div>
                    <w:div w:id="532621112">
                      <w:marLeft w:val="0"/>
                      <w:marRight w:val="0"/>
                      <w:marTop w:val="0"/>
                      <w:marBottom w:val="0"/>
                      <w:divBdr>
                        <w:top w:val="none" w:sz="0" w:space="0" w:color="auto"/>
                        <w:left w:val="none" w:sz="0" w:space="0" w:color="auto"/>
                        <w:bottom w:val="none" w:sz="0" w:space="0" w:color="auto"/>
                        <w:right w:val="none" w:sz="0" w:space="0" w:color="auto"/>
                      </w:divBdr>
                    </w:div>
                  </w:divsChild>
                </w:div>
                <w:div w:id="239994766">
                  <w:marLeft w:val="0"/>
                  <w:marRight w:val="0"/>
                  <w:marTop w:val="0"/>
                  <w:marBottom w:val="0"/>
                  <w:divBdr>
                    <w:top w:val="none" w:sz="0" w:space="0" w:color="auto"/>
                    <w:left w:val="none" w:sz="0" w:space="0" w:color="auto"/>
                    <w:bottom w:val="none" w:sz="0" w:space="0" w:color="auto"/>
                    <w:right w:val="none" w:sz="0" w:space="0" w:color="auto"/>
                  </w:divBdr>
                  <w:divsChild>
                    <w:div w:id="19558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1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dineen@counterpart.org"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392E9-8EDF-4C4F-A53C-0CC37C04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57</Pages>
  <Words>24419</Words>
  <Characters>139189</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Camille Gockowski</dc:creator>
  <cp:lastModifiedBy>Lucie Amadou</cp:lastModifiedBy>
  <cp:revision>5</cp:revision>
  <cp:lastPrinted>2016-06-14T13:48:00Z</cp:lastPrinted>
  <dcterms:created xsi:type="dcterms:W3CDTF">2016-06-14T13:37:00Z</dcterms:created>
  <dcterms:modified xsi:type="dcterms:W3CDTF">2016-06-14T14:19:00Z</dcterms:modified>
</cp:coreProperties>
</file>