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D0C" w:rsidRDefault="00AD3D0C" w:rsidP="00AD3D0C">
      <w:pPr>
        <w:pStyle w:val="Title"/>
        <w:rPr>
          <w:lang w:val="en-SG"/>
        </w:rPr>
      </w:pPr>
      <w:r>
        <w:rPr>
          <w:lang w:val="en-SG"/>
        </w:rPr>
        <w:t>ITRG Scope of Work</w:t>
      </w:r>
    </w:p>
    <w:p w:rsidR="00AD3D0C" w:rsidRPr="00AD3D0C" w:rsidRDefault="00AD3D0C" w:rsidP="00AD3D0C">
      <w:pPr>
        <w:pStyle w:val="Subtitle"/>
        <w:rPr>
          <w:rStyle w:val="SubtleEmphasis"/>
          <w:sz w:val="36"/>
        </w:rPr>
      </w:pPr>
      <w:r w:rsidRPr="00AD3D0C">
        <w:rPr>
          <w:rStyle w:val="SubtleEmphasis"/>
          <w:sz w:val="36"/>
        </w:rPr>
        <w:t>Data Replication</w:t>
      </w:r>
      <w:bookmarkStart w:id="0" w:name="_GoBack"/>
      <w:bookmarkEnd w:id="0"/>
    </w:p>
    <w:p w:rsidR="00AD3D0C" w:rsidRDefault="00A6555F" w:rsidP="00A6555F">
      <w:pPr>
        <w:jc w:val="center"/>
        <w:rPr>
          <w:lang w:val="en-SG"/>
        </w:rPr>
      </w:pPr>
      <w:r>
        <w:rPr>
          <w:lang w:val="en-SG"/>
        </w:rPr>
        <w:t>Author: Yin Hui 22 Dec 2016</w:t>
      </w:r>
    </w:p>
    <w:p w:rsidR="00A6555F" w:rsidRDefault="00A6555F" w:rsidP="00A6555F">
      <w:pPr>
        <w:jc w:val="center"/>
        <w:rPr>
          <w:lang w:val="en-SG"/>
        </w:rPr>
      </w:pPr>
      <w:r>
        <w:rPr>
          <w:lang w:val="en-SG"/>
        </w:rPr>
        <w:t>Version 1.0</w:t>
      </w:r>
    </w:p>
    <w:p w:rsidR="00AD3D0C" w:rsidRDefault="00AD3D0C" w:rsidP="00AD3D0C">
      <w:pPr>
        <w:pStyle w:val="Heading1"/>
        <w:rPr>
          <w:lang w:val="en-SG"/>
        </w:rPr>
      </w:pPr>
      <w:r>
        <w:rPr>
          <w:lang w:val="en-SG"/>
        </w:rPr>
        <w:t>Introduction</w:t>
      </w:r>
    </w:p>
    <w:p w:rsidR="00330FD9" w:rsidRDefault="00330FD9" w:rsidP="00AD3D0C">
      <w:pPr>
        <w:rPr>
          <w:lang w:val="en-SG"/>
        </w:rPr>
      </w:pPr>
      <w:r>
        <w:rPr>
          <w:lang w:val="en-SG"/>
        </w:rPr>
        <w:t>The entities in this document refer to the company databases to be setup in SAP Business One.</w:t>
      </w:r>
      <w:r w:rsidR="0069287F">
        <w:rPr>
          <w:lang w:val="en-SG"/>
        </w:rPr>
        <w:t xml:space="preserve"> The setup will be done in the </w:t>
      </w:r>
      <w:r w:rsidR="0069287F" w:rsidRPr="0069287F">
        <w:rPr>
          <w:b/>
          <w:u w:val="single"/>
          <w:lang w:val="en-SG"/>
        </w:rPr>
        <w:t>Target</w:t>
      </w:r>
      <w:r w:rsidR="0069287F">
        <w:rPr>
          <w:b/>
          <w:u w:val="single"/>
          <w:lang w:val="en-SG"/>
        </w:rPr>
        <w:t xml:space="preserve"> entity</w:t>
      </w:r>
      <w:r w:rsidR="0069287F">
        <w:rPr>
          <w:lang w:val="en-SG"/>
        </w:rPr>
        <w:t>.</w:t>
      </w:r>
    </w:p>
    <w:p w:rsidR="00D81757" w:rsidRPr="0069287F" w:rsidRDefault="00D81757" w:rsidP="00AD3D0C">
      <w:pPr>
        <w:rPr>
          <w:lang w:val="en-SG"/>
        </w:rPr>
      </w:pPr>
      <w:r>
        <w:rPr>
          <w:lang w:val="en-SG"/>
        </w:rPr>
        <w:t xml:space="preserve">Replication will be triggered from the </w:t>
      </w:r>
      <w:r w:rsidRPr="00D81757">
        <w:rPr>
          <w:b/>
          <w:u w:val="single"/>
          <w:lang w:val="en-SG"/>
        </w:rPr>
        <w:t>Source entity</w:t>
      </w:r>
      <w:r>
        <w:rPr>
          <w:lang w:val="en-SG"/>
        </w:rPr>
        <w:t>.</w:t>
      </w:r>
    </w:p>
    <w:p w:rsidR="00AD3D0C" w:rsidRDefault="00A6555F" w:rsidP="00AD3D0C">
      <w:pPr>
        <w:rPr>
          <w:lang w:val="en-SG"/>
        </w:rPr>
      </w:pPr>
      <w:r>
        <w:rPr>
          <w:lang w:val="en-SG"/>
        </w:rPr>
        <w:t>ITRG requires the following</w:t>
      </w:r>
      <w:r w:rsidR="009645B7">
        <w:rPr>
          <w:lang w:val="en-SG"/>
        </w:rPr>
        <w:t xml:space="preserve"> master data</w:t>
      </w:r>
      <w:r>
        <w:rPr>
          <w:lang w:val="en-SG"/>
        </w:rPr>
        <w:t xml:space="preserve"> to be replicated:</w:t>
      </w:r>
    </w:p>
    <w:p w:rsidR="00A6555F" w:rsidRDefault="00A6555F" w:rsidP="00A6555F">
      <w:pPr>
        <w:pStyle w:val="ListParagraph"/>
        <w:numPr>
          <w:ilvl w:val="0"/>
          <w:numId w:val="2"/>
        </w:numPr>
        <w:spacing w:line="276" w:lineRule="auto"/>
        <w:rPr>
          <w:lang w:val="en-SG"/>
        </w:rPr>
      </w:pPr>
      <w:r>
        <w:rPr>
          <w:lang w:val="en-SG"/>
        </w:rPr>
        <w:t>Exchange rate (Singapore Entities)</w:t>
      </w:r>
    </w:p>
    <w:p w:rsidR="00A6555F" w:rsidRDefault="00A6555F" w:rsidP="00A6555F">
      <w:pPr>
        <w:pStyle w:val="ListParagraph"/>
        <w:numPr>
          <w:ilvl w:val="0"/>
          <w:numId w:val="2"/>
        </w:numPr>
        <w:spacing w:line="276" w:lineRule="auto"/>
        <w:rPr>
          <w:lang w:val="en-SG"/>
        </w:rPr>
      </w:pPr>
      <w:r>
        <w:rPr>
          <w:lang w:val="en-SG"/>
        </w:rPr>
        <w:t>Chart of Accounts</w:t>
      </w:r>
    </w:p>
    <w:p w:rsidR="00624B2F" w:rsidRDefault="00624B2F" w:rsidP="00624B2F">
      <w:pPr>
        <w:pStyle w:val="ListParagraph"/>
        <w:numPr>
          <w:ilvl w:val="0"/>
          <w:numId w:val="2"/>
        </w:numPr>
        <w:spacing w:line="276" w:lineRule="auto"/>
        <w:rPr>
          <w:lang w:val="en-SG"/>
        </w:rPr>
      </w:pPr>
      <w:r>
        <w:rPr>
          <w:lang w:val="en-SG"/>
        </w:rPr>
        <w:t xml:space="preserve">Item Code </w:t>
      </w:r>
    </w:p>
    <w:p w:rsidR="00A6555F" w:rsidRDefault="00A6555F" w:rsidP="00A6555F">
      <w:pPr>
        <w:pStyle w:val="ListParagraph"/>
        <w:numPr>
          <w:ilvl w:val="0"/>
          <w:numId w:val="2"/>
        </w:numPr>
        <w:spacing w:line="276" w:lineRule="auto"/>
        <w:rPr>
          <w:lang w:val="en-SG"/>
        </w:rPr>
      </w:pPr>
      <w:r>
        <w:rPr>
          <w:lang w:val="en-SG"/>
        </w:rPr>
        <w:t xml:space="preserve">Supplier Master </w:t>
      </w:r>
    </w:p>
    <w:p w:rsidR="00A6555F" w:rsidRPr="001F3291" w:rsidRDefault="00A6555F" w:rsidP="00A6555F">
      <w:pPr>
        <w:pStyle w:val="ListParagraph"/>
        <w:numPr>
          <w:ilvl w:val="0"/>
          <w:numId w:val="2"/>
        </w:numPr>
        <w:spacing w:line="276" w:lineRule="auto"/>
        <w:rPr>
          <w:lang w:val="en-SG"/>
        </w:rPr>
      </w:pPr>
      <w:r>
        <w:rPr>
          <w:lang w:val="en-SG"/>
        </w:rPr>
        <w:t>Supplier Price List</w:t>
      </w:r>
    </w:p>
    <w:p w:rsidR="00A6555F" w:rsidRDefault="00A6555F" w:rsidP="00A6555F">
      <w:pPr>
        <w:pStyle w:val="ListParagraph"/>
        <w:numPr>
          <w:ilvl w:val="0"/>
          <w:numId w:val="2"/>
        </w:numPr>
        <w:spacing w:line="276" w:lineRule="auto"/>
        <w:rPr>
          <w:lang w:val="en-SG"/>
        </w:rPr>
      </w:pPr>
      <w:r>
        <w:rPr>
          <w:lang w:val="en-SG"/>
        </w:rPr>
        <w:t>BoM (Recipes)</w:t>
      </w:r>
    </w:p>
    <w:p w:rsidR="001C1A2B" w:rsidRDefault="001C1A2B" w:rsidP="001C1A2B">
      <w:pPr>
        <w:pStyle w:val="ListParagraph"/>
        <w:spacing w:line="276" w:lineRule="auto"/>
        <w:rPr>
          <w:lang w:val="en-SG"/>
        </w:rPr>
      </w:pPr>
    </w:p>
    <w:p w:rsidR="00AD3D0C" w:rsidRDefault="00AD3D0C" w:rsidP="00AD3D0C">
      <w:pPr>
        <w:pStyle w:val="Heading1"/>
        <w:rPr>
          <w:lang w:val="en-SG"/>
        </w:rPr>
      </w:pPr>
      <w:r>
        <w:rPr>
          <w:lang w:val="en-SG"/>
        </w:rPr>
        <w:t>ITRG Replication – General Setup</w:t>
      </w:r>
    </w:p>
    <w:p w:rsidR="00A6555F" w:rsidRDefault="00A6555F">
      <w:pPr>
        <w:rPr>
          <w:lang w:val="en-SG"/>
        </w:rPr>
      </w:pPr>
      <w:r>
        <w:rPr>
          <w:lang w:val="en-SG"/>
        </w:rPr>
        <w:t>Each entity</w:t>
      </w:r>
      <w:r w:rsidR="00B27C45">
        <w:rPr>
          <w:lang w:val="en-SG"/>
        </w:rPr>
        <w:t xml:space="preserve"> (Target database)</w:t>
      </w:r>
      <w:r>
        <w:rPr>
          <w:lang w:val="en-SG"/>
        </w:rPr>
        <w:t xml:space="preserve"> will have a setup table to indicate the </w:t>
      </w:r>
      <w:r w:rsidR="00B27C45">
        <w:rPr>
          <w:lang w:val="en-SG"/>
        </w:rPr>
        <w:t xml:space="preserve">source </w:t>
      </w:r>
      <w:r>
        <w:rPr>
          <w:lang w:val="en-SG"/>
        </w:rPr>
        <w:t>database to copy the master data from.</w:t>
      </w:r>
      <w:r w:rsidR="00B27C45">
        <w:rPr>
          <w:lang w:val="en-SG"/>
        </w:rPr>
        <w:t xml:space="preserve"> When master data is being created or updated in the source database, the entity will be updated with the delta changes automatically without human intervention.</w:t>
      </w:r>
    </w:p>
    <w:p w:rsidR="009F2842" w:rsidRDefault="009F2842">
      <w:pPr>
        <w:rPr>
          <w:lang w:val="en-SG"/>
        </w:rPr>
      </w:pPr>
      <w:r w:rsidRPr="009F2842">
        <w:rPr>
          <w:b/>
          <w:u w:val="single"/>
          <w:lang w:val="en-SG"/>
        </w:rPr>
        <w:t>Deletion will not be replicated.</w:t>
      </w:r>
      <w:r>
        <w:rPr>
          <w:lang w:val="en-SG"/>
        </w:rPr>
        <w:t xml:space="preserve"> This is because an item can be created in the source database and replicated to the target databases. This item may not be used in the source database, but may have been used in the target databases. Hence any automatic deletion replication may be </w:t>
      </w:r>
      <w:r w:rsidR="002635E2">
        <w:rPr>
          <w:lang w:val="en-SG"/>
        </w:rPr>
        <w:t>fail in the target database. If the user recreates the deleted item with a different purpose, this may conflict with the item transaction that failed to be deleted in the target database.</w:t>
      </w:r>
    </w:p>
    <w:p w:rsidR="00B27C45" w:rsidRDefault="00BE701A">
      <w:pPr>
        <w:rPr>
          <w:lang w:val="en-SG"/>
        </w:rPr>
      </w:pPr>
      <w:r w:rsidRPr="00BE701A">
        <w:rPr>
          <w:b/>
          <w:u w:val="single"/>
          <w:lang w:val="en-SG"/>
        </w:rPr>
        <w:t>Exception Reports</w:t>
      </w:r>
      <w:r>
        <w:rPr>
          <w:lang w:val="en-SG"/>
        </w:rPr>
        <w:t xml:space="preserve"> instead will be proposed to assist users in executing deletions. Users can base on the transactional status of the items created to decide which items can be deleted across every source and target databases.</w:t>
      </w:r>
    </w:p>
    <w:p w:rsidR="003F62C0" w:rsidRDefault="00945A00">
      <w:pPr>
        <w:rPr>
          <w:lang w:val="en-SG"/>
        </w:rPr>
      </w:pPr>
      <w:r>
        <w:rPr>
          <w:lang w:val="en-SG"/>
        </w:rPr>
        <w:t>The following screens are part of the SAP Business One customized intercompany module.</w:t>
      </w:r>
    </w:p>
    <w:p w:rsidR="003F62C0" w:rsidRDefault="00D81757">
      <w:pPr>
        <w:rPr>
          <w:lang w:val="en-SG"/>
        </w:rPr>
      </w:pPr>
      <w:r>
        <w:rPr>
          <w:noProof/>
          <w:lang w:val="en-SG" w:eastAsia="en-SG"/>
        </w:rPr>
        <w:lastRenderedPageBreak/>
        <w:drawing>
          <wp:inline distT="0" distB="0" distL="0" distR="0" wp14:anchorId="72C8E063" wp14:editId="23F4B6D2">
            <wp:extent cx="5546564" cy="42873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41947" cy="4283759"/>
                    </a:xfrm>
                    <a:prstGeom prst="rect">
                      <a:avLst/>
                    </a:prstGeom>
                  </pic:spPr>
                </pic:pic>
              </a:graphicData>
            </a:graphic>
          </wp:inline>
        </w:drawing>
      </w:r>
    </w:p>
    <w:p w:rsidR="00E44455" w:rsidRDefault="00E44455">
      <w:pPr>
        <w:rPr>
          <w:lang w:val="en-SG"/>
        </w:rPr>
      </w:pPr>
      <w:r>
        <w:rPr>
          <w:noProof/>
          <w:lang w:val="en-SG" w:eastAsia="en-SG"/>
        </w:rPr>
        <w:drawing>
          <wp:inline distT="0" distB="0" distL="0" distR="0" wp14:anchorId="13278F00" wp14:editId="2043512C">
            <wp:extent cx="5553075" cy="42692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50615" cy="4267332"/>
                    </a:xfrm>
                    <a:prstGeom prst="rect">
                      <a:avLst/>
                    </a:prstGeom>
                  </pic:spPr>
                </pic:pic>
              </a:graphicData>
            </a:graphic>
          </wp:inline>
        </w:drawing>
      </w:r>
    </w:p>
    <w:p w:rsidR="00E44455" w:rsidRDefault="00D81757">
      <w:pPr>
        <w:rPr>
          <w:lang w:val="en-SG"/>
        </w:rPr>
      </w:pPr>
      <w:r>
        <w:rPr>
          <w:noProof/>
          <w:lang w:val="en-SG" w:eastAsia="en-SG"/>
        </w:rPr>
        <w:lastRenderedPageBreak/>
        <w:drawing>
          <wp:inline distT="0" distB="0" distL="0" distR="0" wp14:anchorId="66030B38" wp14:editId="265C7BEB">
            <wp:extent cx="5541968" cy="4287328"/>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41947" cy="4287312"/>
                    </a:xfrm>
                    <a:prstGeom prst="rect">
                      <a:avLst/>
                    </a:prstGeom>
                  </pic:spPr>
                </pic:pic>
              </a:graphicData>
            </a:graphic>
          </wp:inline>
        </w:drawing>
      </w:r>
    </w:p>
    <w:p w:rsidR="00E44455" w:rsidRDefault="00D51171">
      <w:pPr>
        <w:rPr>
          <w:lang w:val="en-SG"/>
        </w:rPr>
      </w:pPr>
      <w:r>
        <w:rPr>
          <w:noProof/>
          <w:lang w:val="en-SG" w:eastAsia="en-SG"/>
        </w:rPr>
        <w:drawing>
          <wp:inline distT="0" distB="0" distL="0" distR="0" wp14:anchorId="3CD07792" wp14:editId="469C48F6">
            <wp:extent cx="5534025" cy="4267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34371" cy="4267852"/>
                    </a:xfrm>
                    <a:prstGeom prst="rect">
                      <a:avLst/>
                    </a:prstGeom>
                  </pic:spPr>
                </pic:pic>
              </a:graphicData>
            </a:graphic>
          </wp:inline>
        </w:drawing>
      </w:r>
    </w:p>
    <w:p w:rsidR="0043509B" w:rsidRDefault="00E76840">
      <w:pPr>
        <w:rPr>
          <w:lang w:val="en-SG"/>
        </w:rPr>
      </w:pPr>
      <w:r>
        <w:rPr>
          <w:lang w:val="en-SG"/>
        </w:rPr>
        <w:lastRenderedPageBreak/>
        <w:t xml:space="preserve">Changes replicated will be saved to </w:t>
      </w:r>
      <w:proofErr w:type="spellStart"/>
      <w:r>
        <w:rPr>
          <w:lang w:val="en-SG"/>
        </w:rPr>
        <w:t>integrationDB</w:t>
      </w:r>
      <w:proofErr w:type="spellEnd"/>
      <w:r>
        <w:rPr>
          <w:lang w:val="en-SG"/>
        </w:rPr>
        <w:t>.</w:t>
      </w:r>
      <w:r w:rsidR="00196671">
        <w:rPr>
          <w:lang w:val="en-SG"/>
        </w:rPr>
        <w:t xml:space="preserve"> For records that are excluded from the replication will be marked as ‘N’. </w:t>
      </w:r>
    </w:p>
    <w:p w:rsidR="00E741AF" w:rsidRDefault="00E741AF">
      <w:pPr>
        <w:rPr>
          <w:lang w:val="en-SG"/>
        </w:rPr>
      </w:pPr>
    </w:p>
    <w:p w:rsidR="00E741AF" w:rsidRDefault="00E741AF">
      <w:pPr>
        <w:rPr>
          <w:lang w:val="en-SG"/>
        </w:rPr>
      </w:pPr>
    </w:p>
    <w:p w:rsidR="00C6131A" w:rsidRDefault="00C6131A">
      <w:pPr>
        <w:rPr>
          <w:lang w:val="en-SG"/>
        </w:rPr>
      </w:pPr>
      <w:r>
        <w:rPr>
          <w:lang w:val="en-SG"/>
        </w:rPr>
        <w:t>Integration DB Table</w:t>
      </w:r>
    </w:p>
    <w:tbl>
      <w:tblPr>
        <w:tblStyle w:val="LightGrid-Accent1"/>
        <w:tblW w:w="0" w:type="auto"/>
        <w:tblLayout w:type="fixed"/>
        <w:tblLook w:val="04A0" w:firstRow="1" w:lastRow="0" w:firstColumn="1" w:lastColumn="0" w:noHBand="0" w:noVBand="1"/>
      </w:tblPr>
      <w:tblGrid>
        <w:gridCol w:w="817"/>
        <w:gridCol w:w="992"/>
        <w:gridCol w:w="1134"/>
        <w:gridCol w:w="993"/>
        <w:gridCol w:w="1134"/>
        <w:gridCol w:w="1134"/>
        <w:gridCol w:w="708"/>
        <w:gridCol w:w="1134"/>
        <w:gridCol w:w="1196"/>
      </w:tblGrid>
      <w:tr w:rsidR="005D066A" w:rsidRPr="00196671" w:rsidTr="005D06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96671" w:rsidRPr="00196671" w:rsidRDefault="00196671">
            <w:pPr>
              <w:rPr>
                <w:sz w:val="20"/>
                <w:lang w:val="en-SG"/>
              </w:rPr>
            </w:pPr>
            <w:r w:rsidRPr="00196671">
              <w:rPr>
                <w:sz w:val="20"/>
                <w:lang w:val="en-SG"/>
              </w:rPr>
              <w:t>Table</w:t>
            </w:r>
          </w:p>
        </w:tc>
        <w:tc>
          <w:tcPr>
            <w:tcW w:w="992" w:type="dxa"/>
          </w:tcPr>
          <w:p w:rsidR="00196671" w:rsidRPr="00196671" w:rsidRDefault="00196671">
            <w:pPr>
              <w:cnfStyle w:val="100000000000" w:firstRow="1" w:lastRow="0" w:firstColumn="0" w:lastColumn="0" w:oddVBand="0" w:evenVBand="0" w:oddHBand="0" w:evenHBand="0" w:firstRowFirstColumn="0" w:firstRowLastColumn="0" w:lastRowFirstColumn="0" w:lastRowLastColumn="0"/>
              <w:rPr>
                <w:sz w:val="20"/>
                <w:lang w:val="en-SG"/>
              </w:rPr>
            </w:pPr>
            <w:proofErr w:type="spellStart"/>
            <w:r w:rsidRPr="00196671">
              <w:rPr>
                <w:sz w:val="20"/>
                <w:lang w:val="en-SG"/>
              </w:rPr>
              <w:t>AuditID</w:t>
            </w:r>
            <w:proofErr w:type="spellEnd"/>
          </w:p>
        </w:tc>
        <w:tc>
          <w:tcPr>
            <w:tcW w:w="1134" w:type="dxa"/>
          </w:tcPr>
          <w:p w:rsidR="00196671" w:rsidRPr="00196671" w:rsidRDefault="00196671">
            <w:pPr>
              <w:cnfStyle w:val="100000000000" w:firstRow="1" w:lastRow="0" w:firstColumn="0" w:lastColumn="0" w:oddVBand="0" w:evenVBand="0" w:oddHBand="0" w:evenHBand="0" w:firstRowFirstColumn="0" w:firstRowLastColumn="0" w:lastRowFirstColumn="0" w:lastRowLastColumn="0"/>
              <w:rPr>
                <w:sz w:val="20"/>
                <w:lang w:val="en-SG"/>
              </w:rPr>
            </w:pPr>
            <w:r w:rsidRPr="00196671">
              <w:rPr>
                <w:sz w:val="20"/>
                <w:lang w:val="en-SG"/>
              </w:rPr>
              <w:t>Code</w:t>
            </w:r>
          </w:p>
        </w:tc>
        <w:tc>
          <w:tcPr>
            <w:tcW w:w="993" w:type="dxa"/>
          </w:tcPr>
          <w:p w:rsidR="00196671" w:rsidRPr="00196671" w:rsidRDefault="00196671">
            <w:pPr>
              <w:cnfStyle w:val="100000000000" w:firstRow="1" w:lastRow="0" w:firstColumn="0" w:lastColumn="0" w:oddVBand="0" w:evenVBand="0" w:oddHBand="0" w:evenHBand="0" w:firstRowFirstColumn="0" w:firstRowLastColumn="0" w:lastRowFirstColumn="0" w:lastRowLastColumn="0"/>
              <w:rPr>
                <w:sz w:val="20"/>
                <w:lang w:val="en-SG"/>
              </w:rPr>
            </w:pPr>
            <w:r w:rsidRPr="00196671">
              <w:rPr>
                <w:sz w:val="20"/>
                <w:lang w:val="en-SG"/>
              </w:rPr>
              <w:t>Name</w:t>
            </w:r>
          </w:p>
        </w:tc>
        <w:tc>
          <w:tcPr>
            <w:tcW w:w="1134" w:type="dxa"/>
          </w:tcPr>
          <w:p w:rsidR="00196671" w:rsidRPr="00196671" w:rsidRDefault="00196671">
            <w:pPr>
              <w:cnfStyle w:val="100000000000" w:firstRow="1" w:lastRow="0" w:firstColumn="0" w:lastColumn="0" w:oddVBand="0" w:evenVBand="0" w:oddHBand="0" w:evenHBand="0" w:firstRowFirstColumn="0" w:firstRowLastColumn="0" w:lastRowFirstColumn="0" w:lastRowLastColumn="0"/>
              <w:rPr>
                <w:sz w:val="20"/>
                <w:lang w:val="en-SG"/>
              </w:rPr>
            </w:pPr>
            <w:proofErr w:type="spellStart"/>
            <w:r w:rsidRPr="00196671">
              <w:rPr>
                <w:sz w:val="20"/>
                <w:lang w:val="en-SG"/>
              </w:rPr>
              <w:t>SourceDB</w:t>
            </w:r>
            <w:proofErr w:type="spellEnd"/>
          </w:p>
        </w:tc>
        <w:tc>
          <w:tcPr>
            <w:tcW w:w="1134" w:type="dxa"/>
          </w:tcPr>
          <w:p w:rsidR="00196671" w:rsidRPr="00196671" w:rsidRDefault="00196671">
            <w:pPr>
              <w:cnfStyle w:val="100000000000" w:firstRow="1" w:lastRow="0" w:firstColumn="0" w:lastColumn="0" w:oddVBand="0" w:evenVBand="0" w:oddHBand="0" w:evenHBand="0" w:firstRowFirstColumn="0" w:firstRowLastColumn="0" w:lastRowFirstColumn="0" w:lastRowLastColumn="0"/>
              <w:rPr>
                <w:sz w:val="20"/>
                <w:lang w:val="en-SG"/>
              </w:rPr>
            </w:pPr>
            <w:proofErr w:type="spellStart"/>
            <w:r w:rsidRPr="00196671">
              <w:rPr>
                <w:sz w:val="20"/>
                <w:lang w:val="en-SG"/>
              </w:rPr>
              <w:t>TargetDB</w:t>
            </w:r>
            <w:proofErr w:type="spellEnd"/>
          </w:p>
        </w:tc>
        <w:tc>
          <w:tcPr>
            <w:tcW w:w="708" w:type="dxa"/>
          </w:tcPr>
          <w:p w:rsidR="00196671" w:rsidRDefault="00196671">
            <w:pPr>
              <w:cnfStyle w:val="100000000000" w:firstRow="1" w:lastRow="0" w:firstColumn="0" w:lastColumn="0" w:oddVBand="0" w:evenVBand="0" w:oddHBand="0" w:evenHBand="0" w:firstRowFirstColumn="0" w:firstRowLastColumn="0" w:lastRowFirstColumn="0" w:lastRowLastColumn="0"/>
              <w:rPr>
                <w:sz w:val="20"/>
                <w:lang w:val="en-SG"/>
              </w:rPr>
            </w:pPr>
            <w:r>
              <w:rPr>
                <w:sz w:val="20"/>
                <w:lang w:val="en-SG"/>
              </w:rPr>
              <w:t xml:space="preserve">Sync </w:t>
            </w:r>
          </w:p>
          <w:p w:rsidR="00196671" w:rsidRPr="00196671" w:rsidRDefault="00196671">
            <w:pPr>
              <w:cnfStyle w:val="100000000000" w:firstRow="1" w:lastRow="0" w:firstColumn="0" w:lastColumn="0" w:oddVBand="0" w:evenVBand="0" w:oddHBand="0" w:evenHBand="0" w:firstRowFirstColumn="0" w:firstRowLastColumn="0" w:lastRowFirstColumn="0" w:lastRowLastColumn="0"/>
              <w:rPr>
                <w:sz w:val="20"/>
                <w:lang w:val="en-SG"/>
              </w:rPr>
            </w:pPr>
            <w:r>
              <w:rPr>
                <w:sz w:val="20"/>
                <w:lang w:val="en-SG"/>
              </w:rPr>
              <w:t>Y/N</w:t>
            </w:r>
          </w:p>
        </w:tc>
        <w:tc>
          <w:tcPr>
            <w:tcW w:w="1134" w:type="dxa"/>
          </w:tcPr>
          <w:p w:rsidR="00196671" w:rsidRPr="00196671" w:rsidRDefault="00196671">
            <w:pPr>
              <w:cnfStyle w:val="100000000000" w:firstRow="1" w:lastRow="0" w:firstColumn="0" w:lastColumn="0" w:oddVBand="0" w:evenVBand="0" w:oddHBand="0" w:evenHBand="0" w:firstRowFirstColumn="0" w:firstRowLastColumn="0" w:lastRowFirstColumn="0" w:lastRowLastColumn="0"/>
              <w:rPr>
                <w:sz w:val="20"/>
                <w:lang w:val="en-SG"/>
              </w:rPr>
            </w:pPr>
            <w:r w:rsidRPr="00196671">
              <w:rPr>
                <w:sz w:val="20"/>
                <w:lang w:val="en-SG"/>
              </w:rPr>
              <w:t>Sync</w:t>
            </w:r>
          </w:p>
          <w:p w:rsidR="00196671" w:rsidRPr="00196671" w:rsidRDefault="00196671">
            <w:pPr>
              <w:cnfStyle w:val="100000000000" w:firstRow="1" w:lastRow="0" w:firstColumn="0" w:lastColumn="0" w:oddVBand="0" w:evenVBand="0" w:oddHBand="0" w:evenHBand="0" w:firstRowFirstColumn="0" w:firstRowLastColumn="0" w:lastRowFirstColumn="0" w:lastRowLastColumn="0"/>
              <w:rPr>
                <w:sz w:val="20"/>
                <w:lang w:val="en-SG"/>
              </w:rPr>
            </w:pPr>
            <w:r w:rsidRPr="00196671">
              <w:rPr>
                <w:sz w:val="20"/>
                <w:lang w:val="en-SG"/>
              </w:rPr>
              <w:t>Status</w:t>
            </w:r>
          </w:p>
        </w:tc>
        <w:tc>
          <w:tcPr>
            <w:tcW w:w="1196" w:type="dxa"/>
          </w:tcPr>
          <w:p w:rsidR="00196671" w:rsidRPr="00196671" w:rsidRDefault="00196671">
            <w:pPr>
              <w:cnfStyle w:val="100000000000" w:firstRow="1" w:lastRow="0" w:firstColumn="0" w:lastColumn="0" w:oddVBand="0" w:evenVBand="0" w:oddHBand="0" w:evenHBand="0" w:firstRowFirstColumn="0" w:firstRowLastColumn="0" w:lastRowFirstColumn="0" w:lastRowLastColumn="0"/>
              <w:rPr>
                <w:sz w:val="20"/>
                <w:lang w:val="en-SG"/>
              </w:rPr>
            </w:pPr>
            <w:r w:rsidRPr="00196671">
              <w:rPr>
                <w:sz w:val="20"/>
                <w:lang w:val="en-SG"/>
              </w:rPr>
              <w:t xml:space="preserve">Sync </w:t>
            </w:r>
            <w:proofErr w:type="spellStart"/>
            <w:r w:rsidRPr="00196671">
              <w:rPr>
                <w:sz w:val="20"/>
                <w:lang w:val="en-SG"/>
              </w:rPr>
              <w:t>DateTime</w:t>
            </w:r>
            <w:proofErr w:type="spellEnd"/>
          </w:p>
        </w:tc>
      </w:tr>
      <w:tr w:rsidR="005D066A" w:rsidRPr="00196671" w:rsidTr="005D0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96671" w:rsidRPr="00196671" w:rsidRDefault="00196671">
            <w:pPr>
              <w:rPr>
                <w:sz w:val="20"/>
                <w:lang w:val="en-SG"/>
              </w:rPr>
            </w:pPr>
            <w:r w:rsidRPr="00196671">
              <w:rPr>
                <w:sz w:val="20"/>
                <w:lang w:val="en-SG"/>
              </w:rPr>
              <w:t>OITM</w:t>
            </w:r>
          </w:p>
        </w:tc>
        <w:tc>
          <w:tcPr>
            <w:tcW w:w="992" w:type="dxa"/>
          </w:tcPr>
          <w:p w:rsidR="00196671" w:rsidRPr="00196671" w:rsidRDefault="00196671">
            <w:pPr>
              <w:cnfStyle w:val="000000100000" w:firstRow="0" w:lastRow="0" w:firstColumn="0" w:lastColumn="0" w:oddVBand="0" w:evenVBand="0" w:oddHBand="1" w:evenHBand="0" w:firstRowFirstColumn="0" w:firstRowLastColumn="0" w:lastRowFirstColumn="0" w:lastRowLastColumn="0"/>
              <w:rPr>
                <w:sz w:val="20"/>
                <w:lang w:val="en-SG"/>
              </w:rPr>
            </w:pPr>
            <w:r w:rsidRPr="00196671">
              <w:rPr>
                <w:sz w:val="20"/>
                <w:lang w:val="en-SG"/>
              </w:rPr>
              <w:t>100023</w:t>
            </w:r>
          </w:p>
        </w:tc>
        <w:tc>
          <w:tcPr>
            <w:tcW w:w="1134" w:type="dxa"/>
          </w:tcPr>
          <w:p w:rsidR="00196671" w:rsidRPr="00196671" w:rsidRDefault="00196671">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00000</w:t>
            </w:r>
            <w:r w:rsidRPr="00196671">
              <w:rPr>
                <w:sz w:val="20"/>
                <w:lang w:val="en-SG"/>
              </w:rPr>
              <w:t>001</w:t>
            </w:r>
          </w:p>
        </w:tc>
        <w:tc>
          <w:tcPr>
            <w:tcW w:w="993" w:type="dxa"/>
          </w:tcPr>
          <w:p w:rsidR="00196671" w:rsidRPr="00196671" w:rsidRDefault="00196671">
            <w:pPr>
              <w:cnfStyle w:val="000000100000" w:firstRow="0" w:lastRow="0" w:firstColumn="0" w:lastColumn="0" w:oddVBand="0" w:evenVBand="0" w:oddHBand="1" w:evenHBand="0" w:firstRowFirstColumn="0" w:firstRowLastColumn="0" w:lastRowFirstColumn="0" w:lastRowLastColumn="0"/>
              <w:rPr>
                <w:sz w:val="20"/>
                <w:lang w:val="en-SG"/>
              </w:rPr>
            </w:pPr>
            <w:r w:rsidRPr="00196671">
              <w:rPr>
                <w:sz w:val="20"/>
                <w:lang w:val="en-SG"/>
              </w:rPr>
              <w:t>Cheese</w:t>
            </w:r>
          </w:p>
        </w:tc>
        <w:tc>
          <w:tcPr>
            <w:tcW w:w="1134" w:type="dxa"/>
          </w:tcPr>
          <w:p w:rsidR="00196671" w:rsidRPr="00196671" w:rsidRDefault="00196671">
            <w:pPr>
              <w:cnfStyle w:val="000000100000" w:firstRow="0" w:lastRow="0" w:firstColumn="0" w:lastColumn="0" w:oddVBand="0" w:evenVBand="0" w:oddHBand="1" w:evenHBand="0" w:firstRowFirstColumn="0" w:firstRowLastColumn="0" w:lastRowFirstColumn="0" w:lastRowLastColumn="0"/>
              <w:rPr>
                <w:sz w:val="20"/>
                <w:lang w:val="en-SG"/>
              </w:rPr>
            </w:pPr>
            <w:r w:rsidRPr="00196671">
              <w:rPr>
                <w:sz w:val="20"/>
                <w:lang w:val="en-SG"/>
              </w:rPr>
              <w:t>ITRG_HQ</w:t>
            </w:r>
          </w:p>
        </w:tc>
        <w:tc>
          <w:tcPr>
            <w:tcW w:w="1134" w:type="dxa"/>
          </w:tcPr>
          <w:p w:rsidR="00196671" w:rsidRPr="00196671" w:rsidRDefault="00196671">
            <w:pPr>
              <w:cnfStyle w:val="000000100000" w:firstRow="0" w:lastRow="0" w:firstColumn="0" w:lastColumn="0" w:oddVBand="0" w:evenVBand="0" w:oddHBand="1" w:evenHBand="0" w:firstRowFirstColumn="0" w:firstRowLastColumn="0" w:lastRowFirstColumn="0" w:lastRowLastColumn="0"/>
              <w:rPr>
                <w:sz w:val="20"/>
                <w:lang w:val="en-SG"/>
              </w:rPr>
            </w:pPr>
            <w:r w:rsidRPr="00196671">
              <w:rPr>
                <w:sz w:val="20"/>
                <w:lang w:val="en-SG"/>
              </w:rPr>
              <w:t>ITRG_CT</w:t>
            </w:r>
          </w:p>
        </w:tc>
        <w:tc>
          <w:tcPr>
            <w:tcW w:w="708" w:type="dxa"/>
          </w:tcPr>
          <w:p w:rsidR="00196671" w:rsidRPr="00196671" w:rsidRDefault="00196671">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Y</w:t>
            </w:r>
          </w:p>
        </w:tc>
        <w:tc>
          <w:tcPr>
            <w:tcW w:w="1134" w:type="dxa"/>
          </w:tcPr>
          <w:p w:rsidR="00196671" w:rsidRPr="00196671" w:rsidRDefault="00196671">
            <w:pPr>
              <w:cnfStyle w:val="000000100000" w:firstRow="0" w:lastRow="0" w:firstColumn="0" w:lastColumn="0" w:oddVBand="0" w:evenVBand="0" w:oddHBand="1" w:evenHBand="0" w:firstRowFirstColumn="0" w:firstRowLastColumn="0" w:lastRowFirstColumn="0" w:lastRowLastColumn="0"/>
              <w:rPr>
                <w:sz w:val="20"/>
                <w:lang w:val="en-SG"/>
              </w:rPr>
            </w:pPr>
            <w:r w:rsidRPr="00196671">
              <w:rPr>
                <w:sz w:val="20"/>
                <w:lang w:val="en-SG"/>
              </w:rPr>
              <w:t>Success</w:t>
            </w:r>
          </w:p>
        </w:tc>
        <w:tc>
          <w:tcPr>
            <w:tcW w:w="1196" w:type="dxa"/>
          </w:tcPr>
          <w:p w:rsidR="00196671" w:rsidRPr="00196671" w:rsidRDefault="00196671">
            <w:pPr>
              <w:cnfStyle w:val="000000100000" w:firstRow="0" w:lastRow="0" w:firstColumn="0" w:lastColumn="0" w:oddVBand="0" w:evenVBand="0" w:oddHBand="1" w:evenHBand="0" w:firstRowFirstColumn="0" w:firstRowLastColumn="0" w:lastRowFirstColumn="0" w:lastRowLastColumn="0"/>
              <w:rPr>
                <w:sz w:val="20"/>
                <w:lang w:val="en-SG"/>
              </w:rPr>
            </w:pPr>
            <w:r w:rsidRPr="00196671">
              <w:rPr>
                <w:sz w:val="20"/>
                <w:lang w:val="en-SG"/>
              </w:rPr>
              <w:t>20161201 255pm</w:t>
            </w:r>
          </w:p>
        </w:tc>
      </w:tr>
      <w:tr w:rsidR="005D066A" w:rsidRPr="00196671" w:rsidTr="005D06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96671" w:rsidRPr="00196671" w:rsidRDefault="00196671" w:rsidP="002B521A">
            <w:pPr>
              <w:rPr>
                <w:sz w:val="20"/>
                <w:lang w:val="en-SG"/>
              </w:rPr>
            </w:pPr>
            <w:r w:rsidRPr="00196671">
              <w:rPr>
                <w:sz w:val="20"/>
                <w:lang w:val="en-SG"/>
              </w:rPr>
              <w:t>ORIT</w:t>
            </w:r>
          </w:p>
        </w:tc>
        <w:tc>
          <w:tcPr>
            <w:tcW w:w="992" w:type="dxa"/>
          </w:tcPr>
          <w:p w:rsidR="00196671" w:rsidRPr="00196671" w:rsidRDefault="00196671" w:rsidP="002B521A">
            <w:pPr>
              <w:cnfStyle w:val="000000010000" w:firstRow="0" w:lastRow="0" w:firstColumn="0" w:lastColumn="0" w:oddVBand="0" w:evenVBand="0" w:oddHBand="0" w:evenHBand="1" w:firstRowFirstColumn="0" w:firstRowLastColumn="0" w:lastRowFirstColumn="0" w:lastRowLastColumn="0"/>
              <w:rPr>
                <w:sz w:val="20"/>
                <w:lang w:val="en-SG"/>
              </w:rPr>
            </w:pPr>
            <w:r w:rsidRPr="00196671">
              <w:rPr>
                <w:sz w:val="20"/>
                <w:lang w:val="en-SG"/>
              </w:rPr>
              <w:t>2319</w:t>
            </w:r>
          </w:p>
        </w:tc>
        <w:tc>
          <w:tcPr>
            <w:tcW w:w="1134" w:type="dxa"/>
          </w:tcPr>
          <w:p w:rsidR="00196671" w:rsidRPr="00196671" w:rsidRDefault="00196671" w:rsidP="00C6131A">
            <w:pPr>
              <w:cnfStyle w:val="000000010000" w:firstRow="0" w:lastRow="0" w:firstColumn="0" w:lastColumn="0" w:oddVBand="0" w:evenVBand="0" w:oddHBand="0" w:evenHBand="1" w:firstRowFirstColumn="0" w:firstRowLastColumn="0" w:lastRowFirstColumn="0" w:lastRowLastColumn="0"/>
              <w:rPr>
                <w:sz w:val="20"/>
                <w:lang w:val="en-SG"/>
              </w:rPr>
            </w:pPr>
            <w:r w:rsidRPr="00196671">
              <w:rPr>
                <w:sz w:val="20"/>
                <w:lang w:val="en-SG"/>
              </w:rPr>
              <w:t>USD</w:t>
            </w:r>
          </w:p>
        </w:tc>
        <w:tc>
          <w:tcPr>
            <w:tcW w:w="993" w:type="dxa"/>
          </w:tcPr>
          <w:p w:rsidR="00196671" w:rsidRPr="00196671" w:rsidRDefault="00196671" w:rsidP="002B521A">
            <w:pPr>
              <w:cnfStyle w:val="000000010000" w:firstRow="0" w:lastRow="0" w:firstColumn="0" w:lastColumn="0" w:oddVBand="0" w:evenVBand="0" w:oddHBand="0" w:evenHBand="1" w:firstRowFirstColumn="0" w:firstRowLastColumn="0" w:lastRowFirstColumn="0" w:lastRowLastColumn="0"/>
              <w:rPr>
                <w:sz w:val="20"/>
                <w:lang w:val="en-SG"/>
              </w:rPr>
            </w:pPr>
          </w:p>
        </w:tc>
        <w:tc>
          <w:tcPr>
            <w:tcW w:w="1134" w:type="dxa"/>
          </w:tcPr>
          <w:p w:rsidR="00196671" w:rsidRPr="00196671" w:rsidRDefault="00196671" w:rsidP="002B521A">
            <w:pPr>
              <w:cnfStyle w:val="000000010000" w:firstRow="0" w:lastRow="0" w:firstColumn="0" w:lastColumn="0" w:oddVBand="0" w:evenVBand="0" w:oddHBand="0" w:evenHBand="1" w:firstRowFirstColumn="0" w:firstRowLastColumn="0" w:lastRowFirstColumn="0" w:lastRowLastColumn="0"/>
              <w:rPr>
                <w:sz w:val="20"/>
                <w:lang w:val="en-SG"/>
              </w:rPr>
            </w:pPr>
            <w:r w:rsidRPr="00196671">
              <w:rPr>
                <w:sz w:val="20"/>
                <w:lang w:val="en-SG"/>
              </w:rPr>
              <w:t>ITRG_HQ</w:t>
            </w:r>
          </w:p>
        </w:tc>
        <w:tc>
          <w:tcPr>
            <w:tcW w:w="1134" w:type="dxa"/>
          </w:tcPr>
          <w:p w:rsidR="00196671" w:rsidRPr="00196671" w:rsidRDefault="00196671" w:rsidP="002B521A">
            <w:pPr>
              <w:cnfStyle w:val="000000010000" w:firstRow="0" w:lastRow="0" w:firstColumn="0" w:lastColumn="0" w:oddVBand="0" w:evenVBand="0" w:oddHBand="0" w:evenHBand="1" w:firstRowFirstColumn="0" w:firstRowLastColumn="0" w:lastRowFirstColumn="0" w:lastRowLastColumn="0"/>
              <w:rPr>
                <w:sz w:val="20"/>
                <w:lang w:val="en-SG"/>
              </w:rPr>
            </w:pPr>
            <w:r w:rsidRPr="00196671">
              <w:rPr>
                <w:sz w:val="20"/>
                <w:lang w:val="en-SG"/>
              </w:rPr>
              <w:t>ITRG_CT</w:t>
            </w:r>
          </w:p>
        </w:tc>
        <w:tc>
          <w:tcPr>
            <w:tcW w:w="708" w:type="dxa"/>
          </w:tcPr>
          <w:p w:rsidR="00196671" w:rsidRPr="00196671" w:rsidRDefault="00196671" w:rsidP="002B521A">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Y</w:t>
            </w:r>
          </w:p>
        </w:tc>
        <w:tc>
          <w:tcPr>
            <w:tcW w:w="1134" w:type="dxa"/>
          </w:tcPr>
          <w:p w:rsidR="00196671" w:rsidRPr="00196671" w:rsidRDefault="00196671" w:rsidP="002B521A">
            <w:pPr>
              <w:cnfStyle w:val="000000010000" w:firstRow="0" w:lastRow="0" w:firstColumn="0" w:lastColumn="0" w:oddVBand="0" w:evenVBand="0" w:oddHBand="0" w:evenHBand="1" w:firstRowFirstColumn="0" w:firstRowLastColumn="0" w:lastRowFirstColumn="0" w:lastRowLastColumn="0"/>
              <w:rPr>
                <w:sz w:val="20"/>
                <w:lang w:val="en-SG"/>
              </w:rPr>
            </w:pPr>
            <w:r w:rsidRPr="00196671">
              <w:rPr>
                <w:sz w:val="20"/>
                <w:lang w:val="en-SG"/>
              </w:rPr>
              <w:t>Err, Code not exists</w:t>
            </w:r>
          </w:p>
        </w:tc>
        <w:tc>
          <w:tcPr>
            <w:tcW w:w="1196" w:type="dxa"/>
          </w:tcPr>
          <w:p w:rsidR="00196671" w:rsidRPr="00196671" w:rsidRDefault="00196671" w:rsidP="002B521A">
            <w:pPr>
              <w:cnfStyle w:val="000000010000" w:firstRow="0" w:lastRow="0" w:firstColumn="0" w:lastColumn="0" w:oddVBand="0" w:evenVBand="0" w:oddHBand="0" w:evenHBand="1" w:firstRowFirstColumn="0" w:firstRowLastColumn="0" w:lastRowFirstColumn="0" w:lastRowLastColumn="0"/>
              <w:rPr>
                <w:sz w:val="20"/>
                <w:lang w:val="en-SG"/>
              </w:rPr>
            </w:pPr>
            <w:r w:rsidRPr="00196671">
              <w:rPr>
                <w:sz w:val="20"/>
                <w:lang w:val="en-SG"/>
              </w:rPr>
              <w:t>20161201 255pm</w:t>
            </w:r>
          </w:p>
        </w:tc>
      </w:tr>
      <w:tr w:rsidR="00290ECB" w:rsidRPr="00196671" w:rsidTr="005D0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290ECB" w:rsidRPr="00196671" w:rsidRDefault="00290ECB">
            <w:pPr>
              <w:rPr>
                <w:sz w:val="20"/>
                <w:lang w:val="en-SG"/>
              </w:rPr>
            </w:pPr>
            <w:r>
              <w:rPr>
                <w:sz w:val="20"/>
                <w:lang w:val="en-SG"/>
              </w:rPr>
              <w:t>OITB</w:t>
            </w:r>
          </w:p>
        </w:tc>
        <w:tc>
          <w:tcPr>
            <w:tcW w:w="992" w:type="dxa"/>
          </w:tcPr>
          <w:p w:rsidR="00290ECB" w:rsidRPr="00196671" w:rsidRDefault="00290ECB">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4817</w:t>
            </w:r>
          </w:p>
        </w:tc>
        <w:tc>
          <w:tcPr>
            <w:tcW w:w="1134" w:type="dxa"/>
          </w:tcPr>
          <w:p w:rsidR="00290ECB" w:rsidRPr="00196671" w:rsidRDefault="00290ECB">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119</w:t>
            </w:r>
          </w:p>
        </w:tc>
        <w:tc>
          <w:tcPr>
            <w:tcW w:w="993" w:type="dxa"/>
          </w:tcPr>
          <w:p w:rsidR="00290ECB" w:rsidRPr="00196671" w:rsidRDefault="00290ECB">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Online</w:t>
            </w:r>
          </w:p>
        </w:tc>
        <w:tc>
          <w:tcPr>
            <w:tcW w:w="1134" w:type="dxa"/>
          </w:tcPr>
          <w:p w:rsidR="00290ECB" w:rsidRPr="00196671" w:rsidRDefault="00290ECB" w:rsidP="002B521A">
            <w:pPr>
              <w:cnfStyle w:val="000000100000" w:firstRow="0" w:lastRow="0" w:firstColumn="0" w:lastColumn="0" w:oddVBand="0" w:evenVBand="0" w:oddHBand="1" w:evenHBand="0" w:firstRowFirstColumn="0" w:firstRowLastColumn="0" w:lastRowFirstColumn="0" w:lastRowLastColumn="0"/>
              <w:rPr>
                <w:sz w:val="20"/>
                <w:lang w:val="en-SG"/>
              </w:rPr>
            </w:pPr>
            <w:r w:rsidRPr="00196671">
              <w:rPr>
                <w:sz w:val="20"/>
                <w:lang w:val="en-SG"/>
              </w:rPr>
              <w:t>ITRG_HQ</w:t>
            </w:r>
          </w:p>
        </w:tc>
        <w:tc>
          <w:tcPr>
            <w:tcW w:w="1134" w:type="dxa"/>
          </w:tcPr>
          <w:p w:rsidR="00290ECB" w:rsidRPr="00196671" w:rsidRDefault="00290ECB" w:rsidP="002B521A">
            <w:pPr>
              <w:cnfStyle w:val="000000100000" w:firstRow="0" w:lastRow="0" w:firstColumn="0" w:lastColumn="0" w:oddVBand="0" w:evenVBand="0" w:oddHBand="1" w:evenHBand="0" w:firstRowFirstColumn="0" w:firstRowLastColumn="0" w:lastRowFirstColumn="0" w:lastRowLastColumn="0"/>
              <w:rPr>
                <w:sz w:val="20"/>
                <w:lang w:val="en-SG"/>
              </w:rPr>
            </w:pPr>
            <w:r w:rsidRPr="00196671">
              <w:rPr>
                <w:sz w:val="20"/>
                <w:lang w:val="en-SG"/>
              </w:rPr>
              <w:t>ITRG_CT</w:t>
            </w:r>
          </w:p>
        </w:tc>
        <w:tc>
          <w:tcPr>
            <w:tcW w:w="708" w:type="dxa"/>
          </w:tcPr>
          <w:p w:rsidR="00290ECB" w:rsidRPr="00196671" w:rsidRDefault="00290ECB" w:rsidP="002B521A">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N</w:t>
            </w:r>
          </w:p>
        </w:tc>
        <w:tc>
          <w:tcPr>
            <w:tcW w:w="1134" w:type="dxa"/>
          </w:tcPr>
          <w:p w:rsidR="00290ECB" w:rsidRPr="00196671" w:rsidRDefault="00290ECB">
            <w:pPr>
              <w:cnfStyle w:val="000000100000" w:firstRow="0" w:lastRow="0" w:firstColumn="0" w:lastColumn="0" w:oddVBand="0" w:evenVBand="0" w:oddHBand="1" w:evenHBand="0" w:firstRowFirstColumn="0" w:firstRowLastColumn="0" w:lastRowFirstColumn="0" w:lastRowLastColumn="0"/>
              <w:rPr>
                <w:sz w:val="20"/>
                <w:lang w:val="en-SG"/>
              </w:rPr>
            </w:pPr>
          </w:p>
        </w:tc>
        <w:tc>
          <w:tcPr>
            <w:tcW w:w="1196" w:type="dxa"/>
          </w:tcPr>
          <w:p w:rsidR="00290ECB" w:rsidRPr="00196671" w:rsidRDefault="00290ECB">
            <w:pPr>
              <w:cnfStyle w:val="000000100000" w:firstRow="0" w:lastRow="0" w:firstColumn="0" w:lastColumn="0" w:oddVBand="0" w:evenVBand="0" w:oddHBand="1" w:evenHBand="0" w:firstRowFirstColumn="0" w:firstRowLastColumn="0" w:lastRowFirstColumn="0" w:lastRowLastColumn="0"/>
              <w:rPr>
                <w:sz w:val="20"/>
                <w:lang w:val="en-SG"/>
              </w:rPr>
            </w:pPr>
          </w:p>
        </w:tc>
      </w:tr>
    </w:tbl>
    <w:p w:rsidR="00E741AF" w:rsidRDefault="00E741AF">
      <w:pPr>
        <w:rPr>
          <w:lang w:val="en-SG"/>
        </w:rPr>
      </w:pPr>
    </w:p>
    <w:p w:rsidR="00E741AF" w:rsidRDefault="00E741AF">
      <w:pPr>
        <w:rPr>
          <w:lang w:val="en-SG"/>
        </w:rPr>
      </w:pPr>
    </w:p>
    <w:p w:rsidR="00E76840" w:rsidRDefault="00AE3E5B">
      <w:pPr>
        <w:rPr>
          <w:lang w:val="en-SG"/>
        </w:rPr>
      </w:pPr>
      <w:r>
        <w:rPr>
          <w:lang w:val="en-SG"/>
        </w:rPr>
        <w:t xml:space="preserve">User can rectify the error in target </w:t>
      </w:r>
      <w:proofErr w:type="spellStart"/>
      <w:r>
        <w:rPr>
          <w:lang w:val="en-SG"/>
        </w:rPr>
        <w:t>db</w:t>
      </w:r>
      <w:proofErr w:type="spellEnd"/>
      <w:r>
        <w:rPr>
          <w:lang w:val="en-SG"/>
        </w:rPr>
        <w:t xml:space="preserve"> and click “Start Replication” to retry again</w:t>
      </w:r>
      <w:r w:rsidR="00BC467C">
        <w:rPr>
          <w:lang w:val="en-SG"/>
        </w:rPr>
        <w:t xml:space="preserve"> for the failed records</w:t>
      </w:r>
      <w:r>
        <w:rPr>
          <w:lang w:val="en-SG"/>
        </w:rPr>
        <w:t>.</w:t>
      </w:r>
    </w:p>
    <w:p w:rsidR="0043509B" w:rsidRDefault="0043509B">
      <w:r>
        <w:object w:dxaOrig="10680" w:dyaOrig="2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10.05pt" o:ole="">
            <v:imagedata r:id="rId13" o:title=""/>
          </v:shape>
          <o:OLEObject Type="Embed" ProgID="Visio.Drawing.15" ShapeID="_x0000_i1025" DrawAspect="Content" ObjectID="_1545550195" r:id="rId14"/>
        </w:object>
      </w:r>
    </w:p>
    <w:p w:rsidR="0043509B" w:rsidRDefault="0043509B">
      <w:pPr>
        <w:rPr>
          <w:lang w:val="en-SG"/>
        </w:rPr>
      </w:pPr>
      <w:r>
        <w:t>User Process Flow for Replication</w:t>
      </w:r>
    </w:p>
    <w:p w:rsidR="00E741AF" w:rsidRDefault="00E741AF">
      <w:pPr>
        <w:rPr>
          <w:caps/>
          <w:color w:val="632423" w:themeColor="accent2" w:themeShade="80"/>
          <w:spacing w:val="20"/>
          <w:sz w:val="28"/>
          <w:szCs w:val="28"/>
          <w:lang w:val="en-SG"/>
        </w:rPr>
      </w:pPr>
      <w:r>
        <w:rPr>
          <w:lang w:val="en-SG"/>
        </w:rPr>
        <w:br w:type="page"/>
      </w:r>
    </w:p>
    <w:p w:rsidR="00B14340" w:rsidRDefault="00624B2F" w:rsidP="00624B2F">
      <w:pPr>
        <w:pStyle w:val="Heading1"/>
        <w:rPr>
          <w:lang w:val="en-SG"/>
        </w:rPr>
      </w:pPr>
      <w:r>
        <w:rPr>
          <w:lang w:val="en-SG"/>
        </w:rPr>
        <w:lastRenderedPageBreak/>
        <w:t>replication setup – Financials</w:t>
      </w:r>
    </w:p>
    <w:p w:rsidR="00AE7621" w:rsidRDefault="00D81757" w:rsidP="00624B2F">
      <w:pPr>
        <w:rPr>
          <w:lang w:val="en-SG"/>
        </w:rPr>
      </w:pPr>
      <w:r>
        <w:rPr>
          <w:noProof/>
          <w:lang w:val="en-SG" w:eastAsia="en-SG"/>
        </w:rPr>
        <w:drawing>
          <wp:inline distT="0" distB="0" distL="0" distR="0" wp14:anchorId="4E4EAA76" wp14:editId="61E01CFE">
            <wp:extent cx="5731510" cy="4430286"/>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430286"/>
                    </a:xfrm>
                    <a:prstGeom prst="rect">
                      <a:avLst/>
                    </a:prstGeom>
                  </pic:spPr>
                </pic:pic>
              </a:graphicData>
            </a:graphic>
          </wp:inline>
        </w:drawing>
      </w:r>
    </w:p>
    <w:p w:rsidR="00AE7621" w:rsidRDefault="00AE7621" w:rsidP="00AE7621">
      <w:pPr>
        <w:pStyle w:val="ListParagraph"/>
        <w:numPr>
          <w:ilvl w:val="0"/>
          <w:numId w:val="4"/>
        </w:numPr>
        <w:rPr>
          <w:lang w:val="en-SG"/>
        </w:rPr>
      </w:pPr>
      <w:r>
        <w:rPr>
          <w:lang w:val="en-SG"/>
        </w:rPr>
        <w:t>Currency Code and Chart of Accounts can be replicated or updated if already exists.</w:t>
      </w:r>
    </w:p>
    <w:p w:rsidR="00E741AF" w:rsidRDefault="00E741AF" w:rsidP="00AE7621">
      <w:pPr>
        <w:pStyle w:val="ListParagraph"/>
        <w:numPr>
          <w:ilvl w:val="0"/>
          <w:numId w:val="4"/>
        </w:numPr>
        <w:rPr>
          <w:lang w:val="en-SG"/>
        </w:rPr>
      </w:pPr>
      <w:r>
        <w:rPr>
          <w:lang w:val="en-SG"/>
        </w:rPr>
        <w:t>GL accounts in the exclusion list will not be replicated.</w:t>
      </w:r>
    </w:p>
    <w:p w:rsidR="00AE7621" w:rsidRDefault="00AE7621" w:rsidP="00AE7621">
      <w:pPr>
        <w:pStyle w:val="ListParagraph"/>
        <w:numPr>
          <w:ilvl w:val="0"/>
          <w:numId w:val="4"/>
        </w:numPr>
        <w:rPr>
          <w:lang w:val="en-SG"/>
        </w:rPr>
      </w:pPr>
      <w:r>
        <w:rPr>
          <w:lang w:val="en-SG"/>
        </w:rPr>
        <w:t>Posting Period can be replicated if the starting date of the next fiscal period in the target entity is the same as the source entity.</w:t>
      </w:r>
    </w:p>
    <w:p w:rsidR="00AE7621" w:rsidRPr="00AE7621" w:rsidRDefault="00AE7621" w:rsidP="00AE7621">
      <w:pPr>
        <w:pStyle w:val="ListParagraph"/>
        <w:numPr>
          <w:ilvl w:val="0"/>
          <w:numId w:val="4"/>
        </w:numPr>
        <w:rPr>
          <w:lang w:val="en-SG"/>
        </w:rPr>
      </w:pPr>
      <w:r w:rsidRPr="00AE7621">
        <w:rPr>
          <w:lang w:val="en-SG"/>
        </w:rPr>
        <w:t>The exchange rates can be replicated from the source to the target entity if the following conditions apply:</w:t>
      </w:r>
      <w:r w:rsidR="00E741AF">
        <w:rPr>
          <w:lang w:val="en-SG"/>
        </w:rPr>
        <w:br/>
      </w:r>
    </w:p>
    <w:p w:rsidR="00AE7621" w:rsidRDefault="00AE7621" w:rsidP="00AE7621">
      <w:pPr>
        <w:pStyle w:val="ListParagraph"/>
        <w:numPr>
          <w:ilvl w:val="0"/>
          <w:numId w:val="3"/>
        </w:numPr>
        <w:rPr>
          <w:lang w:val="en-SG"/>
        </w:rPr>
      </w:pPr>
      <w:r w:rsidRPr="003B4CDC">
        <w:rPr>
          <w:lang w:val="en-SG"/>
        </w:rPr>
        <w:t>The currency code (e.g. USD, GB</w:t>
      </w:r>
      <w:r>
        <w:rPr>
          <w:lang w:val="en-SG"/>
        </w:rPr>
        <w:t>P) exists in both source and target entities.</w:t>
      </w:r>
    </w:p>
    <w:p w:rsidR="00AE7621" w:rsidRDefault="00AE7621" w:rsidP="00AE7621">
      <w:pPr>
        <w:pStyle w:val="ListParagraph"/>
        <w:numPr>
          <w:ilvl w:val="0"/>
          <w:numId w:val="3"/>
        </w:numPr>
        <w:rPr>
          <w:lang w:val="en-SG"/>
        </w:rPr>
      </w:pPr>
      <w:r>
        <w:rPr>
          <w:lang w:val="en-SG"/>
        </w:rPr>
        <w:t>The local and system currency of the source entity is the same as the local and system currency of the target entity.</w:t>
      </w:r>
    </w:p>
    <w:p w:rsidR="00AE7621" w:rsidRPr="003B4CDC" w:rsidRDefault="00AE7621" w:rsidP="00AE7621">
      <w:pPr>
        <w:pStyle w:val="ListParagraph"/>
        <w:numPr>
          <w:ilvl w:val="0"/>
          <w:numId w:val="3"/>
        </w:numPr>
        <w:rPr>
          <w:lang w:val="en-SG"/>
        </w:rPr>
      </w:pPr>
      <w:r>
        <w:rPr>
          <w:lang w:val="en-SG"/>
        </w:rPr>
        <w:t xml:space="preserve">The exchange rate representation in local terms (indirect or direct) must be the same in both source and target entities. </w:t>
      </w:r>
      <w:r w:rsidR="00E741AF">
        <w:rPr>
          <w:lang w:val="en-SG"/>
        </w:rPr>
        <w:br/>
      </w:r>
    </w:p>
    <w:p w:rsidR="00AE7621" w:rsidRDefault="00E741AF" w:rsidP="00AE7621">
      <w:pPr>
        <w:pStyle w:val="ListParagraph"/>
        <w:numPr>
          <w:ilvl w:val="0"/>
          <w:numId w:val="4"/>
        </w:numPr>
        <w:rPr>
          <w:lang w:val="en-SG"/>
        </w:rPr>
      </w:pPr>
      <w:r>
        <w:rPr>
          <w:lang w:val="en-SG"/>
        </w:rPr>
        <w:t xml:space="preserve">If the dimension level (1 to 5) is activated in both the source and target entities, new profit </w:t>
      </w:r>
      <w:proofErr w:type="spellStart"/>
      <w:r>
        <w:rPr>
          <w:lang w:val="en-SG"/>
        </w:rPr>
        <w:t>centers</w:t>
      </w:r>
      <w:proofErr w:type="spellEnd"/>
      <w:r>
        <w:rPr>
          <w:lang w:val="en-SG"/>
        </w:rPr>
        <w:t xml:space="preserve"> can be replicated. Changes in the profit </w:t>
      </w:r>
      <w:proofErr w:type="spellStart"/>
      <w:r>
        <w:rPr>
          <w:lang w:val="en-SG"/>
        </w:rPr>
        <w:t>centers</w:t>
      </w:r>
      <w:proofErr w:type="spellEnd"/>
      <w:r>
        <w:rPr>
          <w:lang w:val="en-SG"/>
        </w:rPr>
        <w:t xml:space="preserve"> such as effective dates will not be replicated.</w:t>
      </w:r>
    </w:p>
    <w:p w:rsidR="0069287F" w:rsidRDefault="0069287F">
      <w:pPr>
        <w:rPr>
          <w:lang w:val="en-SG"/>
        </w:rPr>
      </w:pPr>
      <w:r>
        <w:rPr>
          <w:lang w:val="en-SG"/>
        </w:rPr>
        <w:br w:type="page"/>
      </w:r>
    </w:p>
    <w:p w:rsidR="00E741AF" w:rsidRDefault="0069287F" w:rsidP="0069287F">
      <w:pPr>
        <w:pStyle w:val="Heading1"/>
        <w:rPr>
          <w:lang w:val="en-SG"/>
        </w:rPr>
      </w:pPr>
      <w:r>
        <w:rPr>
          <w:lang w:val="en-SG"/>
        </w:rPr>
        <w:lastRenderedPageBreak/>
        <w:t>Replication setup – business partners</w:t>
      </w:r>
    </w:p>
    <w:p w:rsidR="0069287F" w:rsidRDefault="0069287F" w:rsidP="0069287F">
      <w:pPr>
        <w:rPr>
          <w:lang w:val="en-SG"/>
        </w:rPr>
      </w:pPr>
      <w:r>
        <w:rPr>
          <w:noProof/>
          <w:lang w:val="en-SG" w:eastAsia="en-SG"/>
        </w:rPr>
        <w:drawing>
          <wp:inline distT="0" distB="0" distL="0" distR="0" wp14:anchorId="2F606012" wp14:editId="1F526590">
            <wp:extent cx="5553075" cy="42692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50615" cy="4267332"/>
                    </a:xfrm>
                    <a:prstGeom prst="rect">
                      <a:avLst/>
                    </a:prstGeom>
                  </pic:spPr>
                </pic:pic>
              </a:graphicData>
            </a:graphic>
          </wp:inline>
        </w:drawing>
      </w:r>
    </w:p>
    <w:p w:rsidR="0069287F" w:rsidRDefault="0069287F" w:rsidP="0069287F">
      <w:pPr>
        <w:pStyle w:val="ListParagraph"/>
        <w:numPr>
          <w:ilvl w:val="0"/>
          <w:numId w:val="4"/>
        </w:numPr>
        <w:rPr>
          <w:lang w:val="en-SG"/>
        </w:rPr>
      </w:pPr>
      <w:r>
        <w:rPr>
          <w:lang w:val="en-SG"/>
        </w:rPr>
        <w:t xml:space="preserve">Customers and Vendors will be managed by unique Business Partner (BP) groups. </w:t>
      </w:r>
    </w:p>
    <w:p w:rsidR="0069287F" w:rsidRDefault="00D8470D" w:rsidP="0069287F">
      <w:pPr>
        <w:pStyle w:val="ListParagraph"/>
        <w:numPr>
          <w:ilvl w:val="0"/>
          <w:numId w:val="4"/>
        </w:numPr>
        <w:rPr>
          <w:lang w:val="en-SG"/>
        </w:rPr>
      </w:pPr>
      <w:r>
        <w:rPr>
          <w:lang w:val="en-SG"/>
        </w:rPr>
        <w:t xml:space="preserve">Customers and Vendors grouped under the </w:t>
      </w:r>
      <w:r w:rsidR="0069287F" w:rsidRPr="00D8470D">
        <w:rPr>
          <w:b/>
          <w:u w:val="single"/>
          <w:lang w:val="en-SG"/>
        </w:rPr>
        <w:t xml:space="preserve">BP Groups </w:t>
      </w:r>
      <w:r w:rsidRPr="00D8470D">
        <w:rPr>
          <w:b/>
          <w:u w:val="single"/>
          <w:lang w:val="en-SG"/>
        </w:rPr>
        <w:t>in the Exclusion list</w:t>
      </w:r>
      <w:r>
        <w:rPr>
          <w:lang w:val="en-SG"/>
        </w:rPr>
        <w:t xml:space="preserve"> will not be replicated.</w:t>
      </w:r>
    </w:p>
    <w:p w:rsidR="00D8470D" w:rsidRDefault="00D8470D" w:rsidP="0069287F">
      <w:pPr>
        <w:pStyle w:val="ListParagraph"/>
        <w:numPr>
          <w:ilvl w:val="0"/>
          <w:numId w:val="4"/>
        </w:numPr>
        <w:rPr>
          <w:lang w:val="en-SG"/>
        </w:rPr>
      </w:pPr>
      <w:r>
        <w:rPr>
          <w:lang w:val="en-SG"/>
        </w:rPr>
        <w:t>By default, activation and deactivation of the Customers and Vendors will not be replicated unless “Replicate Activation and Deactivation of Business partners” is ticked.</w:t>
      </w:r>
    </w:p>
    <w:p w:rsidR="00D8470D" w:rsidRDefault="00D8470D" w:rsidP="0069287F">
      <w:pPr>
        <w:pStyle w:val="ListParagraph"/>
        <w:numPr>
          <w:ilvl w:val="0"/>
          <w:numId w:val="4"/>
        </w:numPr>
        <w:rPr>
          <w:lang w:val="en-SG"/>
        </w:rPr>
      </w:pPr>
      <w:r>
        <w:rPr>
          <w:lang w:val="en-SG"/>
        </w:rPr>
        <w:t>Users need to choose whether replication of customers, vendors, leads and payment terms is required.</w:t>
      </w:r>
      <w:r>
        <w:rPr>
          <w:lang w:val="en-SG"/>
        </w:rPr>
        <w:br/>
      </w:r>
    </w:p>
    <w:p w:rsidR="00D8470D" w:rsidRDefault="00D8470D" w:rsidP="0069287F">
      <w:pPr>
        <w:pStyle w:val="ListParagraph"/>
        <w:numPr>
          <w:ilvl w:val="0"/>
          <w:numId w:val="4"/>
        </w:numPr>
        <w:rPr>
          <w:b/>
          <w:u w:val="single"/>
          <w:lang w:val="en-SG"/>
        </w:rPr>
      </w:pPr>
      <w:r>
        <w:rPr>
          <w:b/>
          <w:u w:val="single"/>
          <w:lang w:val="en-SG"/>
        </w:rPr>
        <w:t xml:space="preserve">Assumptions &amp; </w:t>
      </w:r>
      <w:r w:rsidRPr="00D8470D">
        <w:rPr>
          <w:b/>
          <w:u w:val="single"/>
          <w:lang w:val="en-SG"/>
        </w:rPr>
        <w:t>Error Handling</w:t>
      </w:r>
    </w:p>
    <w:p w:rsidR="00D8470D" w:rsidRPr="00D8470D" w:rsidRDefault="00D8470D" w:rsidP="00D8470D">
      <w:pPr>
        <w:pStyle w:val="ListParagraph"/>
        <w:numPr>
          <w:ilvl w:val="1"/>
          <w:numId w:val="4"/>
        </w:numPr>
        <w:rPr>
          <w:b/>
          <w:u w:val="single"/>
          <w:lang w:val="en-SG"/>
        </w:rPr>
      </w:pPr>
      <w:r>
        <w:rPr>
          <w:lang w:val="en-SG"/>
        </w:rPr>
        <w:t xml:space="preserve">The customer and vendor code in the target entity should be the same as the source entity. </w:t>
      </w:r>
      <w:r>
        <w:rPr>
          <w:lang w:val="en-SG"/>
        </w:rPr>
        <w:br/>
      </w:r>
    </w:p>
    <w:p w:rsidR="00D8470D" w:rsidRPr="00D8470D" w:rsidRDefault="00D8470D" w:rsidP="00D8470D">
      <w:pPr>
        <w:pStyle w:val="ListParagraph"/>
        <w:numPr>
          <w:ilvl w:val="1"/>
          <w:numId w:val="4"/>
        </w:numPr>
        <w:rPr>
          <w:b/>
          <w:u w:val="single"/>
          <w:lang w:val="en-SG"/>
        </w:rPr>
      </w:pPr>
      <w:r>
        <w:rPr>
          <w:lang w:val="en-SG"/>
        </w:rPr>
        <w:t>Users should not manually create in the target entities or when they manually create, they should choose a standard format that will not conflict with the BP codes to be replicated.</w:t>
      </w:r>
      <w:r>
        <w:rPr>
          <w:lang w:val="en-SG"/>
        </w:rPr>
        <w:br/>
      </w:r>
    </w:p>
    <w:p w:rsidR="00D8470D" w:rsidRPr="00727B3E" w:rsidRDefault="00D8470D" w:rsidP="00D8470D">
      <w:pPr>
        <w:pStyle w:val="ListParagraph"/>
        <w:numPr>
          <w:ilvl w:val="1"/>
          <w:numId w:val="4"/>
        </w:numPr>
        <w:rPr>
          <w:b/>
          <w:u w:val="single"/>
          <w:lang w:val="en-SG"/>
        </w:rPr>
      </w:pPr>
      <w:r>
        <w:rPr>
          <w:lang w:val="en-SG"/>
        </w:rPr>
        <w:t>In the event that BP code already exists in the target entity and cannot be amended due to existing transactions, users will need to amend the BP code in the source entity.</w:t>
      </w:r>
      <w:r w:rsidR="00727B3E">
        <w:rPr>
          <w:lang w:val="en-SG"/>
        </w:rPr>
        <w:br/>
      </w:r>
    </w:p>
    <w:p w:rsidR="00D81757" w:rsidRPr="00D81757" w:rsidRDefault="00727B3E" w:rsidP="00D81757">
      <w:pPr>
        <w:pStyle w:val="ListParagraph"/>
        <w:numPr>
          <w:ilvl w:val="1"/>
          <w:numId w:val="4"/>
        </w:numPr>
        <w:rPr>
          <w:b/>
          <w:u w:val="single"/>
          <w:lang w:val="en-SG"/>
        </w:rPr>
      </w:pPr>
      <w:r>
        <w:rPr>
          <w:lang w:val="en-SG"/>
        </w:rPr>
        <w:t>Users should only start transacting using the new BP code when the intended replication is successful across all target entities.</w:t>
      </w:r>
    </w:p>
    <w:p w:rsidR="00D81757" w:rsidRDefault="00D81757" w:rsidP="00D81757">
      <w:pPr>
        <w:pStyle w:val="Heading1"/>
        <w:rPr>
          <w:lang w:val="en-SG"/>
        </w:rPr>
      </w:pPr>
      <w:r>
        <w:rPr>
          <w:lang w:val="en-SG"/>
        </w:rPr>
        <w:lastRenderedPageBreak/>
        <w:t>Replication setup – item master</w:t>
      </w:r>
    </w:p>
    <w:p w:rsidR="00D81757" w:rsidRDefault="00D81757" w:rsidP="00D81757">
      <w:pPr>
        <w:rPr>
          <w:lang w:val="en-SG"/>
        </w:rPr>
      </w:pPr>
      <w:r>
        <w:rPr>
          <w:noProof/>
          <w:lang w:val="en-SG" w:eastAsia="en-SG"/>
        </w:rPr>
        <w:drawing>
          <wp:inline distT="0" distB="0" distL="0" distR="0" wp14:anchorId="2CB61B1D" wp14:editId="613AFA67">
            <wp:extent cx="5541968" cy="4287328"/>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41947" cy="4287312"/>
                    </a:xfrm>
                    <a:prstGeom prst="rect">
                      <a:avLst/>
                    </a:prstGeom>
                  </pic:spPr>
                </pic:pic>
              </a:graphicData>
            </a:graphic>
          </wp:inline>
        </w:drawing>
      </w:r>
    </w:p>
    <w:p w:rsidR="00E7196A" w:rsidRDefault="00E7196A" w:rsidP="00E7196A">
      <w:pPr>
        <w:pStyle w:val="ListParagraph"/>
        <w:numPr>
          <w:ilvl w:val="0"/>
          <w:numId w:val="4"/>
        </w:numPr>
        <w:rPr>
          <w:lang w:val="en-SG"/>
        </w:rPr>
      </w:pPr>
      <w:r>
        <w:rPr>
          <w:lang w:val="en-SG"/>
        </w:rPr>
        <w:t xml:space="preserve">Item master data will be managed by unique Item groups. </w:t>
      </w:r>
    </w:p>
    <w:p w:rsidR="00E7196A" w:rsidRDefault="00E7196A" w:rsidP="00E7196A">
      <w:pPr>
        <w:pStyle w:val="ListParagraph"/>
        <w:numPr>
          <w:ilvl w:val="0"/>
          <w:numId w:val="4"/>
        </w:numPr>
        <w:rPr>
          <w:lang w:val="en-SG"/>
        </w:rPr>
      </w:pPr>
      <w:r>
        <w:rPr>
          <w:lang w:val="en-SG"/>
        </w:rPr>
        <w:t xml:space="preserve">Items grouped under the </w:t>
      </w:r>
      <w:r>
        <w:rPr>
          <w:b/>
          <w:u w:val="single"/>
          <w:lang w:val="en-SG"/>
        </w:rPr>
        <w:t>Item</w:t>
      </w:r>
      <w:r w:rsidRPr="00D8470D">
        <w:rPr>
          <w:b/>
          <w:u w:val="single"/>
          <w:lang w:val="en-SG"/>
        </w:rPr>
        <w:t xml:space="preserve"> Groups in the Exclusion list</w:t>
      </w:r>
      <w:r>
        <w:rPr>
          <w:lang w:val="en-SG"/>
        </w:rPr>
        <w:t xml:space="preserve"> will not be replicated.</w:t>
      </w:r>
    </w:p>
    <w:p w:rsidR="00E7196A" w:rsidRDefault="00E7196A" w:rsidP="00E7196A">
      <w:pPr>
        <w:pStyle w:val="ListParagraph"/>
        <w:numPr>
          <w:ilvl w:val="0"/>
          <w:numId w:val="4"/>
        </w:numPr>
        <w:rPr>
          <w:lang w:val="en-SG"/>
        </w:rPr>
      </w:pPr>
      <w:r>
        <w:rPr>
          <w:lang w:val="en-SG"/>
        </w:rPr>
        <w:t>By default, activation and deactivation of the Items will not be replicated unless “Replicate Activation and Deactivation of Items” is ticked.</w:t>
      </w:r>
      <w:r>
        <w:rPr>
          <w:lang w:val="en-SG"/>
        </w:rPr>
        <w:br/>
      </w:r>
    </w:p>
    <w:p w:rsidR="00E7196A" w:rsidRDefault="00E7196A" w:rsidP="00E7196A">
      <w:pPr>
        <w:pStyle w:val="ListParagraph"/>
        <w:numPr>
          <w:ilvl w:val="0"/>
          <w:numId w:val="4"/>
        </w:numPr>
        <w:rPr>
          <w:lang w:val="en-SG"/>
        </w:rPr>
      </w:pPr>
      <w:r>
        <w:rPr>
          <w:lang w:val="en-SG"/>
        </w:rPr>
        <w:t>By default, item groups will not be replicated unless the “Replicate Item Group” is ticked.</w:t>
      </w:r>
      <w:r>
        <w:rPr>
          <w:lang w:val="en-SG"/>
        </w:rPr>
        <w:br/>
        <w:t>** Item Group Name will be the key instead of Item Group Code.</w:t>
      </w:r>
      <w:r>
        <w:rPr>
          <w:lang w:val="en-SG"/>
        </w:rPr>
        <w:br/>
        <w:t>Hence users must not overwrite and amend the item group name without understanding the impact of the changes.</w:t>
      </w:r>
      <w:r>
        <w:rPr>
          <w:lang w:val="en-SG"/>
        </w:rPr>
        <w:br/>
      </w:r>
    </w:p>
    <w:p w:rsidR="00E7196A" w:rsidRDefault="00E7196A" w:rsidP="00E7196A">
      <w:pPr>
        <w:pStyle w:val="ListParagraph"/>
        <w:numPr>
          <w:ilvl w:val="0"/>
          <w:numId w:val="4"/>
        </w:numPr>
        <w:rPr>
          <w:lang w:val="en-SG"/>
        </w:rPr>
      </w:pPr>
      <w:r>
        <w:rPr>
          <w:lang w:val="en-SG"/>
        </w:rPr>
        <w:t>Every item can be assigned a default vendor. By default, the default vendor for each item will not be replicated unless the “Replicate Default Vendor” is ticked.</w:t>
      </w:r>
      <w:r>
        <w:rPr>
          <w:lang w:val="en-SG"/>
        </w:rPr>
        <w:br/>
      </w:r>
    </w:p>
    <w:p w:rsidR="00E7196A" w:rsidRDefault="00E7196A" w:rsidP="00E7196A">
      <w:pPr>
        <w:pStyle w:val="ListParagraph"/>
        <w:numPr>
          <w:ilvl w:val="0"/>
          <w:numId w:val="4"/>
        </w:numPr>
        <w:rPr>
          <w:lang w:val="en-SG"/>
        </w:rPr>
      </w:pPr>
      <w:r>
        <w:rPr>
          <w:lang w:val="en-SG"/>
        </w:rPr>
        <w:t>Warehouse</w:t>
      </w:r>
      <w:r w:rsidR="00A803A2">
        <w:rPr>
          <w:lang w:val="en-SG"/>
        </w:rPr>
        <w:t xml:space="preserve"> (outlet)</w:t>
      </w:r>
      <w:r>
        <w:rPr>
          <w:lang w:val="en-SG"/>
        </w:rPr>
        <w:t xml:space="preserve"> will not be replicated because warehouse</w:t>
      </w:r>
      <w:r w:rsidR="00A803A2">
        <w:rPr>
          <w:lang w:val="en-SG"/>
        </w:rPr>
        <w:t xml:space="preserve"> (outlet)</w:t>
      </w:r>
      <w:r>
        <w:rPr>
          <w:lang w:val="en-SG"/>
        </w:rPr>
        <w:t xml:space="preserve"> code must be unique across the ITRG landscape.</w:t>
      </w:r>
      <w:r>
        <w:rPr>
          <w:lang w:val="en-SG"/>
        </w:rPr>
        <w:br/>
      </w:r>
    </w:p>
    <w:p w:rsidR="00E7196A" w:rsidRPr="00944550" w:rsidRDefault="00E7196A" w:rsidP="00E7196A">
      <w:pPr>
        <w:pStyle w:val="ListParagraph"/>
        <w:numPr>
          <w:ilvl w:val="0"/>
          <w:numId w:val="4"/>
        </w:numPr>
        <w:rPr>
          <w:highlight w:val="yellow"/>
          <w:lang w:val="en-SG"/>
        </w:rPr>
      </w:pPr>
      <w:r w:rsidRPr="00B54B01">
        <w:rPr>
          <w:highlight w:val="yellow"/>
          <w:lang w:val="en-SG"/>
        </w:rPr>
        <w:t xml:space="preserve">Some common stock locations </w:t>
      </w:r>
      <w:r w:rsidR="00B54B01">
        <w:rPr>
          <w:highlight w:val="yellow"/>
          <w:lang w:val="en-SG"/>
        </w:rPr>
        <w:t xml:space="preserve">(bin location) </w:t>
      </w:r>
      <w:r w:rsidRPr="00B54B01">
        <w:rPr>
          <w:highlight w:val="yellow"/>
          <w:lang w:val="en-SG"/>
        </w:rPr>
        <w:t>within each warehouse</w:t>
      </w:r>
      <w:r w:rsidR="000E3B25" w:rsidRPr="00B54B01">
        <w:rPr>
          <w:highlight w:val="yellow"/>
          <w:lang w:val="en-SG"/>
        </w:rPr>
        <w:t xml:space="preserve"> (outlet)</w:t>
      </w:r>
      <w:r w:rsidRPr="00B54B01">
        <w:rPr>
          <w:highlight w:val="yellow"/>
          <w:lang w:val="en-SG"/>
        </w:rPr>
        <w:t xml:space="preserve"> can be replicated, for example </w:t>
      </w:r>
      <w:r w:rsidRPr="00944550">
        <w:rPr>
          <w:dstrike/>
          <w:highlight w:val="yellow"/>
          <w:lang w:val="en-SG"/>
        </w:rPr>
        <w:t>“TRANSFER”</w:t>
      </w:r>
      <w:r w:rsidR="00944550" w:rsidRPr="00944550">
        <w:rPr>
          <w:dstrike/>
          <w:highlight w:val="yellow"/>
          <w:lang w:val="en-SG"/>
        </w:rPr>
        <w:t>,</w:t>
      </w:r>
      <w:r w:rsidR="00944550">
        <w:rPr>
          <w:highlight w:val="yellow"/>
          <w:lang w:val="en-SG"/>
        </w:rPr>
        <w:t xml:space="preserve"> “NON-FOOD”</w:t>
      </w:r>
      <w:r w:rsidRPr="00B54B01">
        <w:rPr>
          <w:highlight w:val="yellow"/>
          <w:lang w:val="en-SG"/>
        </w:rPr>
        <w:t xml:space="preserve"> and “STORE”.</w:t>
      </w:r>
      <w:r w:rsidR="00B54B01">
        <w:rPr>
          <w:highlight w:val="yellow"/>
          <w:lang w:val="en-SG"/>
        </w:rPr>
        <w:t xml:space="preserve"> </w:t>
      </w:r>
      <w:r w:rsidR="00B54B01">
        <w:rPr>
          <w:lang w:val="en-SG"/>
        </w:rPr>
        <w:t xml:space="preserve">By default, the bin locations will not be replicated to every warehouse unless the “Replicate Bin Locations” is ticked. </w:t>
      </w:r>
      <w:r w:rsidR="00024B21">
        <w:rPr>
          <w:lang w:val="en-SG"/>
        </w:rPr>
        <w:t>Bin locations in the inclusion list will be replicated.</w:t>
      </w:r>
      <w:r w:rsidR="00944550">
        <w:rPr>
          <w:lang w:val="en-SG"/>
        </w:rPr>
        <w:br/>
      </w:r>
    </w:p>
    <w:p w:rsidR="00B37E7F" w:rsidRDefault="00B37E7F" w:rsidP="00B37E7F">
      <w:pPr>
        <w:pStyle w:val="ListParagraph"/>
        <w:numPr>
          <w:ilvl w:val="0"/>
          <w:numId w:val="4"/>
        </w:numPr>
        <w:rPr>
          <w:lang w:val="en-SG"/>
        </w:rPr>
      </w:pPr>
      <w:r>
        <w:rPr>
          <w:lang w:val="en-SG"/>
        </w:rPr>
        <w:lastRenderedPageBreak/>
        <w:t xml:space="preserve">By default, Recipes (Build of Material – BOM) will not be replicated unless the “Replicate BOM” is ticked. Recipes grouped under the </w:t>
      </w:r>
      <w:r>
        <w:rPr>
          <w:b/>
          <w:u w:val="single"/>
          <w:lang w:val="en-SG"/>
        </w:rPr>
        <w:t>Item</w:t>
      </w:r>
      <w:r w:rsidRPr="00D8470D">
        <w:rPr>
          <w:b/>
          <w:u w:val="single"/>
          <w:lang w:val="en-SG"/>
        </w:rPr>
        <w:t xml:space="preserve"> Groups in the Exclusion list</w:t>
      </w:r>
      <w:r>
        <w:rPr>
          <w:lang w:val="en-SG"/>
        </w:rPr>
        <w:t xml:space="preserve"> will not be replicated.</w:t>
      </w:r>
    </w:p>
    <w:p w:rsidR="002C5CD9" w:rsidRDefault="002C5CD9" w:rsidP="002C5CD9">
      <w:pPr>
        <w:pStyle w:val="ListParagraph"/>
        <w:rPr>
          <w:lang w:val="en-SG"/>
        </w:rPr>
      </w:pPr>
    </w:p>
    <w:p w:rsidR="00944550" w:rsidRDefault="002C5CD9" w:rsidP="00E7196A">
      <w:pPr>
        <w:pStyle w:val="ListParagraph"/>
        <w:numPr>
          <w:ilvl w:val="0"/>
          <w:numId w:val="4"/>
        </w:numPr>
        <w:rPr>
          <w:lang w:val="en-SG"/>
        </w:rPr>
      </w:pPr>
      <w:r>
        <w:rPr>
          <w:lang w:val="en-SG"/>
        </w:rPr>
        <w:t>By default, Price Lists (standard SAP price lists) will not be replicated unless the “Replicate Price Lists” is ticked.</w:t>
      </w:r>
      <w:r>
        <w:rPr>
          <w:lang w:val="en-SG"/>
        </w:rPr>
        <w:br/>
      </w:r>
    </w:p>
    <w:p w:rsidR="002C5CD9" w:rsidRPr="002C5CD9" w:rsidRDefault="002C5CD9" w:rsidP="002C5CD9">
      <w:pPr>
        <w:pStyle w:val="ListParagraph"/>
        <w:rPr>
          <w:lang w:val="en-SG"/>
        </w:rPr>
      </w:pPr>
    </w:p>
    <w:p w:rsidR="002C5CD9" w:rsidRDefault="002C5CD9" w:rsidP="002C5CD9">
      <w:pPr>
        <w:pStyle w:val="ListParagraph"/>
        <w:numPr>
          <w:ilvl w:val="0"/>
          <w:numId w:val="4"/>
        </w:numPr>
        <w:rPr>
          <w:lang w:val="en-SG"/>
        </w:rPr>
      </w:pPr>
      <w:r>
        <w:rPr>
          <w:lang w:val="en-SG"/>
        </w:rPr>
        <w:t>By default, Price Lists (</w:t>
      </w:r>
      <w:proofErr w:type="spellStart"/>
      <w:r>
        <w:rPr>
          <w:lang w:val="en-SG"/>
        </w:rPr>
        <w:t>OutletManager</w:t>
      </w:r>
      <w:proofErr w:type="spellEnd"/>
      <w:r>
        <w:rPr>
          <w:lang w:val="en-SG"/>
        </w:rPr>
        <w:t xml:space="preserve"> Customized Price Lists by Business Partner by </w:t>
      </w:r>
      <w:proofErr w:type="spellStart"/>
      <w:r>
        <w:rPr>
          <w:lang w:val="en-SG"/>
        </w:rPr>
        <w:t>UoM</w:t>
      </w:r>
      <w:proofErr w:type="spellEnd"/>
      <w:r>
        <w:rPr>
          <w:lang w:val="en-SG"/>
        </w:rPr>
        <w:t xml:space="preserve">) will not be replicated unless the “Replicate by Business Partner by </w:t>
      </w:r>
      <w:proofErr w:type="spellStart"/>
      <w:r>
        <w:rPr>
          <w:lang w:val="en-SG"/>
        </w:rPr>
        <w:t>UoM</w:t>
      </w:r>
      <w:proofErr w:type="spellEnd"/>
      <w:r>
        <w:rPr>
          <w:lang w:val="en-SG"/>
        </w:rPr>
        <w:t>” is ticked.</w:t>
      </w:r>
      <w:r>
        <w:rPr>
          <w:lang w:val="en-SG"/>
        </w:rPr>
        <w:br/>
      </w:r>
    </w:p>
    <w:p w:rsidR="00AD5B43" w:rsidRPr="00AD5B43" w:rsidRDefault="00AD5B43" w:rsidP="00AD5B43">
      <w:pPr>
        <w:pStyle w:val="ListParagraph"/>
        <w:rPr>
          <w:lang w:val="en-SG"/>
        </w:rPr>
      </w:pPr>
    </w:p>
    <w:p w:rsidR="00AD5B43" w:rsidRDefault="00AD5B43" w:rsidP="00AD5B43">
      <w:pPr>
        <w:rPr>
          <w:lang w:val="en-SG"/>
        </w:rPr>
      </w:pPr>
      <w:proofErr w:type="spellStart"/>
      <w:r>
        <w:rPr>
          <w:lang w:val="en-SG"/>
        </w:rPr>
        <w:t>O</w:t>
      </w:r>
      <w:r w:rsidR="00D66430">
        <w:rPr>
          <w:lang w:val="en-SG"/>
        </w:rPr>
        <w:t>utletManager</w:t>
      </w:r>
      <w:proofErr w:type="spellEnd"/>
      <w:r w:rsidR="00D66430">
        <w:rPr>
          <w:lang w:val="en-SG"/>
        </w:rPr>
        <w:t xml:space="preserve"> Price List</w:t>
      </w:r>
      <w:r>
        <w:rPr>
          <w:lang w:val="en-SG"/>
        </w:rPr>
        <w:t xml:space="preserve"> by BP by </w:t>
      </w:r>
      <w:proofErr w:type="spellStart"/>
      <w:r>
        <w:rPr>
          <w:lang w:val="en-SG"/>
        </w:rPr>
        <w:t>UoM</w:t>
      </w:r>
      <w:proofErr w:type="spellEnd"/>
    </w:p>
    <w:tbl>
      <w:tblPr>
        <w:tblStyle w:val="LightGrid-Accent1"/>
        <w:tblW w:w="0" w:type="auto"/>
        <w:tblInd w:w="-176" w:type="dxa"/>
        <w:tblLayout w:type="fixed"/>
        <w:tblLook w:val="04A0" w:firstRow="1" w:lastRow="0" w:firstColumn="1" w:lastColumn="0" w:noHBand="0" w:noVBand="1"/>
      </w:tblPr>
      <w:tblGrid>
        <w:gridCol w:w="993"/>
        <w:gridCol w:w="855"/>
        <w:gridCol w:w="1052"/>
        <w:gridCol w:w="924"/>
        <w:gridCol w:w="1052"/>
        <w:gridCol w:w="1052"/>
        <w:gridCol w:w="665"/>
        <w:gridCol w:w="665"/>
        <w:gridCol w:w="1052"/>
        <w:gridCol w:w="1108"/>
      </w:tblGrid>
      <w:tr w:rsidR="00D66430" w:rsidRPr="00AD5B43" w:rsidTr="00F53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D66430" w:rsidRPr="00AD5B43" w:rsidRDefault="00D66430" w:rsidP="002B521A">
            <w:pPr>
              <w:rPr>
                <w:sz w:val="16"/>
                <w:lang w:val="en-SG"/>
              </w:rPr>
            </w:pPr>
            <w:r w:rsidRPr="00AD5B43">
              <w:rPr>
                <w:sz w:val="16"/>
                <w:lang w:val="en-SG"/>
              </w:rPr>
              <w:t>Vendor Code</w:t>
            </w:r>
          </w:p>
        </w:tc>
        <w:tc>
          <w:tcPr>
            <w:tcW w:w="855" w:type="dxa"/>
          </w:tcPr>
          <w:p w:rsidR="00D66430" w:rsidRDefault="00D66430" w:rsidP="002B521A">
            <w:pPr>
              <w:cnfStyle w:val="100000000000" w:firstRow="1" w:lastRow="0" w:firstColumn="0" w:lastColumn="0" w:oddVBand="0" w:evenVBand="0" w:oddHBand="0" w:evenHBand="0" w:firstRowFirstColumn="0" w:firstRowLastColumn="0" w:lastRowFirstColumn="0" w:lastRowLastColumn="0"/>
              <w:rPr>
                <w:sz w:val="16"/>
                <w:lang w:val="en-SG"/>
              </w:rPr>
            </w:pPr>
            <w:r>
              <w:rPr>
                <w:sz w:val="16"/>
                <w:lang w:val="en-SG"/>
              </w:rPr>
              <w:t>Item</w:t>
            </w:r>
          </w:p>
          <w:p w:rsidR="00D66430" w:rsidRPr="00AD5B43" w:rsidRDefault="00D66430" w:rsidP="002B521A">
            <w:pPr>
              <w:cnfStyle w:val="100000000000" w:firstRow="1" w:lastRow="0" w:firstColumn="0" w:lastColumn="0" w:oddVBand="0" w:evenVBand="0" w:oddHBand="0" w:evenHBand="0" w:firstRowFirstColumn="0" w:firstRowLastColumn="0" w:lastRowFirstColumn="0" w:lastRowLastColumn="0"/>
              <w:rPr>
                <w:sz w:val="16"/>
                <w:lang w:val="en-SG"/>
              </w:rPr>
            </w:pPr>
            <w:r>
              <w:rPr>
                <w:sz w:val="16"/>
                <w:lang w:val="en-SG"/>
              </w:rPr>
              <w:t>Code</w:t>
            </w:r>
          </w:p>
        </w:tc>
        <w:tc>
          <w:tcPr>
            <w:tcW w:w="1052" w:type="dxa"/>
          </w:tcPr>
          <w:p w:rsidR="00D66430" w:rsidRPr="00AD5B43" w:rsidRDefault="00D66430" w:rsidP="002B521A">
            <w:pPr>
              <w:cnfStyle w:val="100000000000" w:firstRow="1" w:lastRow="0" w:firstColumn="0" w:lastColumn="0" w:oddVBand="0" w:evenVBand="0" w:oddHBand="0" w:evenHBand="0" w:firstRowFirstColumn="0" w:firstRowLastColumn="0" w:lastRowFirstColumn="0" w:lastRowLastColumn="0"/>
              <w:rPr>
                <w:sz w:val="16"/>
                <w:lang w:val="en-SG"/>
              </w:rPr>
            </w:pPr>
            <w:r>
              <w:rPr>
                <w:sz w:val="16"/>
                <w:lang w:val="en-SG"/>
              </w:rPr>
              <w:t>Name</w:t>
            </w:r>
          </w:p>
        </w:tc>
        <w:tc>
          <w:tcPr>
            <w:tcW w:w="924" w:type="dxa"/>
          </w:tcPr>
          <w:p w:rsidR="00D66430" w:rsidRPr="00AD5B43" w:rsidRDefault="00D66430" w:rsidP="002B521A">
            <w:pPr>
              <w:cnfStyle w:val="100000000000" w:firstRow="1" w:lastRow="0" w:firstColumn="0" w:lastColumn="0" w:oddVBand="0" w:evenVBand="0" w:oddHBand="0" w:evenHBand="0" w:firstRowFirstColumn="0" w:firstRowLastColumn="0" w:lastRowFirstColumn="0" w:lastRowLastColumn="0"/>
              <w:rPr>
                <w:sz w:val="16"/>
                <w:lang w:val="en-SG"/>
              </w:rPr>
            </w:pPr>
            <w:r>
              <w:rPr>
                <w:sz w:val="16"/>
                <w:lang w:val="en-SG"/>
              </w:rPr>
              <w:t xml:space="preserve">Package </w:t>
            </w:r>
            <w:proofErr w:type="spellStart"/>
            <w:r>
              <w:rPr>
                <w:sz w:val="16"/>
                <w:lang w:val="en-SG"/>
              </w:rPr>
              <w:t>UoM</w:t>
            </w:r>
            <w:proofErr w:type="spellEnd"/>
          </w:p>
        </w:tc>
        <w:tc>
          <w:tcPr>
            <w:tcW w:w="1052" w:type="dxa"/>
          </w:tcPr>
          <w:p w:rsidR="00D66430" w:rsidRDefault="00D66430" w:rsidP="002B521A">
            <w:pPr>
              <w:cnfStyle w:val="100000000000" w:firstRow="1" w:lastRow="0" w:firstColumn="0" w:lastColumn="0" w:oddVBand="0" w:evenVBand="0" w:oddHBand="0" w:evenHBand="0" w:firstRowFirstColumn="0" w:firstRowLastColumn="0" w:lastRowFirstColumn="0" w:lastRowLastColumn="0"/>
              <w:rPr>
                <w:sz w:val="16"/>
                <w:lang w:val="en-SG"/>
              </w:rPr>
            </w:pPr>
            <w:r>
              <w:rPr>
                <w:sz w:val="16"/>
                <w:lang w:val="en-SG"/>
              </w:rPr>
              <w:t>Inventory</w:t>
            </w:r>
          </w:p>
          <w:p w:rsidR="00D66430" w:rsidRPr="00AD5B43" w:rsidRDefault="00D66430" w:rsidP="002B521A">
            <w:pPr>
              <w:cnfStyle w:val="100000000000" w:firstRow="1" w:lastRow="0" w:firstColumn="0" w:lastColumn="0" w:oddVBand="0" w:evenVBand="0" w:oddHBand="0" w:evenHBand="0" w:firstRowFirstColumn="0" w:firstRowLastColumn="0" w:lastRowFirstColumn="0" w:lastRowLastColumn="0"/>
              <w:rPr>
                <w:sz w:val="16"/>
                <w:lang w:val="en-SG"/>
              </w:rPr>
            </w:pPr>
            <w:r>
              <w:rPr>
                <w:sz w:val="16"/>
                <w:lang w:val="en-SG"/>
              </w:rPr>
              <w:t>Conversion</w:t>
            </w:r>
          </w:p>
        </w:tc>
        <w:tc>
          <w:tcPr>
            <w:tcW w:w="1052" w:type="dxa"/>
          </w:tcPr>
          <w:p w:rsidR="00D66430" w:rsidRDefault="00D66430" w:rsidP="002B521A">
            <w:pPr>
              <w:cnfStyle w:val="100000000000" w:firstRow="1" w:lastRow="0" w:firstColumn="0" w:lastColumn="0" w:oddVBand="0" w:evenVBand="0" w:oddHBand="0" w:evenHBand="0" w:firstRowFirstColumn="0" w:firstRowLastColumn="0" w:lastRowFirstColumn="0" w:lastRowLastColumn="0"/>
              <w:rPr>
                <w:sz w:val="16"/>
                <w:lang w:val="en-SG"/>
              </w:rPr>
            </w:pPr>
            <w:r>
              <w:rPr>
                <w:sz w:val="16"/>
                <w:lang w:val="en-SG"/>
              </w:rPr>
              <w:t>Inventory</w:t>
            </w:r>
          </w:p>
          <w:p w:rsidR="00D66430" w:rsidRPr="00AD5B43" w:rsidRDefault="00D66430" w:rsidP="002B521A">
            <w:pPr>
              <w:cnfStyle w:val="100000000000" w:firstRow="1" w:lastRow="0" w:firstColumn="0" w:lastColumn="0" w:oddVBand="0" w:evenVBand="0" w:oddHBand="0" w:evenHBand="0" w:firstRowFirstColumn="0" w:firstRowLastColumn="0" w:lastRowFirstColumn="0" w:lastRowLastColumn="0"/>
              <w:rPr>
                <w:sz w:val="16"/>
                <w:lang w:val="en-SG"/>
              </w:rPr>
            </w:pPr>
            <w:proofErr w:type="spellStart"/>
            <w:r>
              <w:rPr>
                <w:sz w:val="16"/>
                <w:lang w:val="en-SG"/>
              </w:rPr>
              <w:t>UoM</w:t>
            </w:r>
            <w:proofErr w:type="spellEnd"/>
          </w:p>
        </w:tc>
        <w:tc>
          <w:tcPr>
            <w:tcW w:w="665" w:type="dxa"/>
          </w:tcPr>
          <w:p w:rsidR="00D66430" w:rsidRDefault="00D66430" w:rsidP="002B521A">
            <w:pPr>
              <w:cnfStyle w:val="100000000000" w:firstRow="1" w:lastRow="0" w:firstColumn="0" w:lastColumn="0" w:oddVBand="0" w:evenVBand="0" w:oddHBand="0" w:evenHBand="0" w:firstRowFirstColumn="0" w:firstRowLastColumn="0" w:lastRowFirstColumn="0" w:lastRowLastColumn="0"/>
              <w:rPr>
                <w:sz w:val="16"/>
                <w:lang w:val="en-SG"/>
              </w:rPr>
            </w:pPr>
            <w:r>
              <w:rPr>
                <w:sz w:val="16"/>
                <w:lang w:val="en-SG"/>
              </w:rPr>
              <w:t>Currency</w:t>
            </w:r>
          </w:p>
        </w:tc>
        <w:tc>
          <w:tcPr>
            <w:tcW w:w="665" w:type="dxa"/>
          </w:tcPr>
          <w:p w:rsidR="00D66430" w:rsidRPr="00AD5B43" w:rsidRDefault="00D66430" w:rsidP="002B521A">
            <w:pPr>
              <w:cnfStyle w:val="100000000000" w:firstRow="1" w:lastRow="0" w:firstColumn="0" w:lastColumn="0" w:oddVBand="0" w:evenVBand="0" w:oddHBand="0" w:evenHBand="0" w:firstRowFirstColumn="0" w:firstRowLastColumn="0" w:lastRowFirstColumn="0" w:lastRowLastColumn="0"/>
              <w:rPr>
                <w:sz w:val="16"/>
                <w:lang w:val="en-SG"/>
              </w:rPr>
            </w:pPr>
            <w:r>
              <w:rPr>
                <w:sz w:val="16"/>
                <w:lang w:val="en-SG"/>
              </w:rPr>
              <w:t>Price</w:t>
            </w:r>
          </w:p>
        </w:tc>
        <w:tc>
          <w:tcPr>
            <w:tcW w:w="1052" w:type="dxa"/>
          </w:tcPr>
          <w:p w:rsidR="00D66430" w:rsidRPr="00AD5B43" w:rsidRDefault="00D66430" w:rsidP="002B521A">
            <w:pPr>
              <w:cnfStyle w:val="100000000000" w:firstRow="1" w:lastRow="0" w:firstColumn="0" w:lastColumn="0" w:oddVBand="0" w:evenVBand="0" w:oddHBand="0" w:evenHBand="0" w:firstRowFirstColumn="0" w:firstRowLastColumn="0" w:lastRowFirstColumn="0" w:lastRowLastColumn="0"/>
              <w:rPr>
                <w:sz w:val="16"/>
                <w:lang w:val="en-SG"/>
              </w:rPr>
            </w:pPr>
            <w:r>
              <w:rPr>
                <w:sz w:val="16"/>
                <w:lang w:val="en-SG"/>
              </w:rPr>
              <w:t>Effective from</w:t>
            </w:r>
          </w:p>
        </w:tc>
        <w:tc>
          <w:tcPr>
            <w:tcW w:w="1108" w:type="dxa"/>
          </w:tcPr>
          <w:p w:rsidR="00D66430" w:rsidRPr="00AD5B43" w:rsidRDefault="00D66430" w:rsidP="002B521A">
            <w:pPr>
              <w:cnfStyle w:val="100000000000" w:firstRow="1" w:lastRow="0" w:firstColumn="0" w:lastColumn="0" w:oddVBand="0" w:evenVBand="0" w:oddHBand="0" w:evenHBand="0" w:firstRowFirstColumn="0" w:firstRowLastColumn="0" w:lastRowFirstColumn="0" w:lastRowLastColumn="0"/>
              <w:rPr>
                <w:sz w:val="16"/>
                <w:lang w:val="en-SG"/>
              </w:rPr>
            </w:pPr>
            <w:r>
              <w:rPr>
                <w:sz w:val="16"/>
                <w:lang w:val="en-SG"/>
              </w:rPr>
              <w:t>Effective until</w:t>
            </w:r>
          </w:p>
        </w:tc>
      </w:tr>
      <w:tr w:rsidR="00D66430" w:rsidRPr="00AD5B43" w:rsidTr="00F53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D66430" w:rsidRPr="00AD5B43" w:rsidRDefault="00D66430" w:rsidP="002B521A">
            <w:pPr>
              <w:rPr>
                <w:sz w:val="16"/>
                <w:lang w:val="en-SG"/>
              </w:rPr>
            </w:pPr>
            <w:r>
              <w:rPr>
                <w:sz w:val="16"/>
                <w:lang w:val="en-SG"/>
              </w:rPr>
              <w:t>00000002</w:t>
            </w:r>
          </w:p>
        </w:tc>
        <w:tc>
          <w:tcPr>
            <w:tcW w:w="855" w:type="dxa"/>
          </w:tcPr>
          <w:p w:rsidR="00D66430" w:rsidRPr="00AD5B43" w:rsidRDefault="00D66430" w:rsidP="002B521A">
            <w:pPr>
              <w:cnfStyle w:val="000000100000" w:firstRow="0" w:lastRow="0" w:firstColumn="0" w:lastColumn="0" w:oddVBand="0" w:evenVBand="0" w:oddHBand="1" w:evenHBand="0" w:firstRowFirstColumn="0" w:firstRowLastColumn="0" w:lastRowFirstColumn="0" w:lastRowLastColumn="0"/>
              <w:rPr>
                <w:sz w:val="16"/>
                <w:lang w:val="en-SG"/>
              </w:rPr>
            </w:pPr>
            <w:r w:rsidRPr="00AD5B43">
              <w:rPr>
                <w:sz w:val="16"/>
                <w:lang w:val="en-SG"/>
              </w:rPr>
              <w:t>100023</w:t>
            </w:r>
          </w:p>
        </w:tc>
        <w:tc>
          <w:tcPr>
            <w:tcW w:w="1052" w:type="dxa"/>
          </w:tcPr>
          <w:p w:rsidR="00D66430" w:rsidRPr="00AD5B43" w:rsidRDefault="00D66430" w:rsidP="002B521A">
            <w:pPr>
              <w:cnfStyle w:val="000000100000" w:firstRow="0" w:lastRow="0" w:firstColumn="0" w:lastColumn="0" w:oddVBand="0" w:evenVBand="0" w:oddHBand="1" w:evenHBand="0" w:firstRowFirstColumn="0" w:firstRowLastColumn="0" w:lastRowFirstColumn="0" w:lastRowLastColumn="0"/>
              <w:rPr>
                <w:sz w:val="16"/>
                <w:lang w:val="en-SG"/>
              </w:rPr>
            </w:pPr>
            <w:r>
              <w:rPr>
                <w:sz w:val="16"/>
                <w:lang w:val="en-SG"/>
              </w:rPr>
              <w:t>Cheese</w:t>
            </w:r>
          </w:p>
        </w:tc>
        <w:tc>
          <w:tcPr>
            <w:tcW w:w="924" w:type="dxa"/>
          </w:tcPr>
          <w:p w:rsidR="00D66430" w:rsidRPr="00AD5B43" w:rsidRDefault="00D66430" w:rsidP="002B521A">
            <w:pPr>
              <w:cnfStyle w:val="000000100000" w:firstRow="0" w:lastRow="0" w:firstColumn="0" w:lastColumn="0" w:oddVBand="0" w:evenVBand="0" w:oddHBand="1" w:evenHBand="0" w:firstRowFirstColumn="0" w:firstRowLastColumn="0" w:lastRowFirstColumn="0" w:lastRowLastColumn="0"/>
              <w:rPr>
                <w:sz w:val="16"/>
                <w:lang w:val="en-SG"/>
              </w:rPr>
            </w:pPr>
            <w:r>
              <w:rPr>
                <w:sz w:val="16"/>
                <w:lang w:val="en-SG"/>
              </w:rPr>
              <w:t>250g</w:t>
            </w:r>
          </w:p>
        </w:tc>
        <w:tc>
          <w:tcPr>
            <w:tcW w:w="1052" w:type="dxa"/>
          </w:tcPr>
          <w:p w:rsidR="00D66430" w:rsidRPr="00AD5B43" w:rsidRDefault="00D66430" w:rsidP="002B521A">
            <w:pPr>
              <w:cnfStyle w:val="000000100000" w:firstRow="0" w:lastRow="0" w:firstColumn="0" w:lastColumn="0" w:oddVBand="0" w:evenVBand="0" w:oddHBand="1" w:evenHBand="0" w:firstRowFirstColumn="0" w:firstRowLastColumn="0" w:lastRowFirstColumn="0" w:lastRowLastColumn="0"/>
              <w:rPr>
                <w:sz w:val="16"/>
                <w:lang w:val="en-SG"/>
              </w:rPr>
            </w:pPr>
            <w:r>
              <w:rPr>
                <w:sz w:val="16"/>
                <w:lang w:val="en-SG"/>
              </w:rPr>
              <w:t>250</w:t>
            </w:r>
          </w:p>
        </w:tc>
        <w:tc>
          <w:tcPr>
            <w:tcW w:w="1052" w:type="dxa"/>
          </w:tcPr>
          <w:p w:rsidR="00D66430" w:rsidRPr="00AD5B43" w:rsidRDefault="009D4ED5" w:rsidP="002B521A">
            <w:pPr>
              <w:cnfStyle w:val="000000100000" w:firstRow="0" w:lastRow="0" w:firstColumn="0" w:lastColumn="0" w:oddVBand="0" w:evenVBand="0" w:oddHBand="1" w:evenHBand="0" w:firstRowFirstColumn="0" w:firstRowLastColumn="0" w:lastRowFirstColumn="0" w:lastRowLastColumn="0"/>
              <w:rPr>
                <w:sz w:val="16"/>
                <w:lang w:val="en-SG"/>
              </w:rPr>
            </w:pPr>
            <w:r>
              <w:rPr>
                <w:sz w:val="16"/>
                <w:lang w:val="en-SG"/>
              </w:rPr>
              <w:t>G</w:t>
            </w:r>
          </w:p>
        </w:tc>
        <w:tc>
          <w:tcPr>
            <w:tcW w:w="665" w:type="dxa"/>
          </w:tcPr>
          <w:p w:rsidR="00D66430" w:rsidRDefault="00D66430" w:rsidP="002B521A">
            <w:pPr>
              <w:cnfStyle w:val="000000100000" w:firstRow="0" w:lastRow="0" w:firstColumn="0" w:lastColumn="0" w:oddVBand="0" w:evenVBand="0" w:oddHBand="1" w:evenHBand="0" w:firstRowFirstColumn="0" w:firstRowLastColumn="0" w:lastRowFirstColumn="0" w:lastRowLastColumn="0"/>
              <w:rPr>
                <w:sz w:val="16"/>
                <w:lang w:val="en-SG"/>
              </w:rPr>
            </w:pPr>
            <w:r>
              <w:rPr>
                <w:sz w:val="16"/>
                <w:lang w:val="en-SG"/>
              </w:rPr>
              <w:t>SGD</w:t>
            </w:r>
          </w:p>
        </w:tc>
        <w:tc>
          <w:tcPr>
            <w:tcW w:w="665" w:type="dxa"/>
          </w:tcPr>
          <w:p w:rsidR="00D66430" w:rsidRPr="00AD5B43" w:rsidRDefault="00D66430" w:rsidP="002B521A">
            <w:pPr>
              <w:cnfStyle w:val="000000100000" w:firstRow="0" w:lastRow="0" w:firstColumn="0" w:lastColumn="0" w:oddVBand="0" w:evenVBand="0" w:oddHBand="1" w:evenHBand="0" w:firstRowFirstColumn="0" w:firstRowLastColumn="0" w:lastRowFirstColumn="0" w:lastRowLastColumn="0"/>
              <w:rPr>
                <w:sz w:val="16"/>
                <w:lang w:val="en-SG"/>
              </w:rPr>
            </w:pPr>
            <w:r>
              <w:rPr>
                <w:sz w:val="16"/>
                <w:lang w:val="en-SG"/>
              </w:rPr>
              <w:t>$2.50</w:t>
            </w:r>
          </w:p>
        </w:tc>
        <w:tc>
          <w:tcPr>
            <w:tcW w:w="1052" w:type="dxa"/>
          </w:tcPr>
          <w:p w:rsidR="00D66430" w:rsidRPr="00AD5B43" w:rsidRDefault="00D66430" w:rsidP="002B521A">
            <w:pPr>
              <w:cnfStyle w:val="000000100000" w:firstRow="0" w:lastRow="0" w:firstColumn="0" w:lastColumn="0" w:oddVBand="0" w:evenVBand="0" w:oddHBand="1" w:evenHBand="0" w:firstRowFirstColumn="0" w:firstRowLastColumn="0" w:lastRowFirstColumn="0" w:lastRowLastColumn="0"/>
              <w:rPr>
                <w:sz w:val="16"/>
                <w:lang w:val="en-SG"/>
              </w:rPr>
            </w:pPr>
            <w:r>
              <w:rPr>
                <w:sz w:val="16"/>
                <w:lang w:val="en-SG"/>
              </w:rPr>
              <w:t>1.12.16</w:t>
            </w:r>
          </w:p>
        </w:tc>
        <w:tc>
          <w:tcPr>
            <w:tcW w:w="1108" w:type="dxa"/>
          </w:tcPr>
          <w:p w:rsidR="00D66430" w:rsidRPr="00AD5B43" w:rsidRDefault="00D66430" w:rsidP="002B521A">
            <w:pPr>
              <w:cnfStyle w:val="000000100000" w:firstRow="0" w:lastRow="0" w:firstColumn="0" w:lastColumn="0" w:oddVBand="0" w:evenVBand="0" w:oddHBand="1" w:evenHBand="0" w:firstRowFirstColumn="0" w:firstRowLastColumn="0" w:lastRowFirstColumn="0" w:lastRowLastColumn="0"/>
              <w:rPr>
                <w:sz w:val="16"/>
                <w:lang w:val="en-SG"/>
              </w:rPr>
            </w:pPr>
          </w:p>
        </w:tc>
      </w:tr>
      <w:tr w:rsidR="00D66430" w:rsidRPr="00AD5B43" w:rsidTr="00F539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D66430" w:rsidRPr="00AD5B43" w:rsidRDefault="00D66430" w:rsidP="002B521A">
            <w:pPr>
              <w:rPr>
                <w:sz w:val="16"/>
                <w:lang w:val="en-SG"/>
              </w:rPr>
            </w:pPr>
            <w:r>
              <w:rPr>
                <w:sz w:val="16"/>
                <w:lang w:val="en-SG"/>
              </w:rPr>
              <w:t>00000002</w:t>
            </w:r>
          </w:p>
        </w:tc>
        <w:tc>
          <w:tcPr>
            <w:tcW w:w="855" w:type="dxa"/>
          </w:tcPr>
          <w:p w:rsidR="00D66430" w:rsidRPr="00AD5B43" w:rsidRDefault="00D66430" w:rsidP="002B521A">
            <w:pPr>
              <w:cnfStyle w:val="000000010000" w:firstRow="0" w:lastRow="0" w:firstColumn="0" w:lastColumn="0" w:oddVBand="0" w:evenVBand="0" w:oddHBand="0" w:evenHBand="1" w:firstRowFirstColumn="0" w:firstRowLastColumn="0" w:lastRowFirstColumn="0" w:lastRowLastColumn="0"/>
              <w:rPr>
                <w:sz w:val="16"/>
                <w:lang w:val="en-SG"/>
              </w:rPr>
            </w:pPr>
            <w:r w:rsidRPr="00AD5B43">
              <w:rPr>
                <w:sz w:val="16"/>
                <w:lang w:val="en-SG"/>
              </w:rPr>
              <w:t>100023</w:t>
            </w:r>
          </w:p>
        </w:tc>
        <w:tc>
          <w:tcPr>
            <w:tcW w:w="1052" w:type="dxa"/>
          </w:tcPr>
          <w:p w:rsidR="00D66430" w:rsidRPr="00AD5B43" w:rsidRDefault="00D66430" w:rsidP="002B521A">
            <w:pPr>
              <w:cnfStyle w:val="000000010000" w:firstRow="0" w:lastRow="0" w:firstColumn="0" w:lastColumn="0" w:oddVBand="0" w:evenVBand="0" w:oddHBand="0" w:evenHBand="1" w:firstRowFirstColumn="0" w:firstRowLastColumn="0" w:lastRowFirstColumn="0" w:lastRowLastColumn="0"/>
              <w:rPr>
                <w:sz w:val="16"/>
                <w:lang w:val="en-SG"/>
              </w:rPr>
            </w:pPr>
            <w:r w:rsidRPr="00AD5B43">
              <w:rPr>
                <w:sz w:val="16"/>
                <w:lang w:val="en-SG"/>
              </w:rPr>
              <w:t>Cheese</w:t>
            </w:r>
          </w:p>
        </w:tc>
        <w:tc>
          <w:tcPr>
            <w:tcW w:w="924" w:type="dxa"/>
          </w:tcPr>
          <w:p w:rsidR="00D66430" w:rsidRPr="00AD5B43" w:rsidRDefault="00D66430" w:rsidP="002B521A">
            <w:pPr>
              <w:cnfStyle w:val="000000010000" w:firstRow="0" w:lastRow="0" w:firstColumn="0" w:lastColumn="0" w:oddVBand="0" w:evenVBand="0" w:oddHBand="0" w:evenHBand="1" w:firstRowFirstColumn="0" w:firstRowLastColumn="0" w:lastRowFirstColumn="0" w:lastRowLastColumn="0"/>
              <w:rPr>
                <w:sz w:val="16"/>
                <w:lang w:val="en-SG"/>
              </w:rPr>
            </w:pPr>
            <w:r>
              <w:rPr>
                <w:sz w:val="16"/>
                <w:lang w:val="en-SG"/>
              </w:rPr>
              <w:t>500g</w:t>
            </w:r>
          </w:p>
        </w:tc>
        <w:tc>
          <w:tcPr>
            <w:tcW w:w="1052" w:type="dxa"/>
          </w:tcPr>
          <w:p w:rsidR="00D66430" w:rsidRPr="00AD5B43" w:rsidRDefault="00D66430" w:rsidP="002B521A">
            <w:pPr>
              <w:cnfStyle w:val="000000010000" w:firstRow="0" w:lastRow="0" w:firstColumn="0" w:lastColumn="0" w:oddVBand="0" w:evenVBand="0" w:oddHBand="0" w:evenHBand="1" w:firstRowFirstColumn="0" w:firstRowLastColumn="0" w:lastRowFirstColumn="0" w:lastRowLastColumn="0"/>
              <w:rPr>
                <w:sz w:val="16"/>
                <w:lang w:val="en-SG"/>
              </w:rPr>
            </w:pPr>
            <w:r>
              <w:rPr>
                <w:sz w:val="16"/>
                <w:lang w:val="en-SG"/>
              </w:rPr>
              <w:t>500</w:t>
            </w:r>
          </w:p>
        </w:tc>
        <w:tc>
          <w:tcPr>
            <w:tcW w:w="1052" w:type="dxa"/>
          </w:tcPr>
          <w:p w:rsidR="00D66430" w:rsidRPr="00AD5B43" w:rsidRDefault="009D4ED5" w:rsidP="002B521A">
            <w:pPr>
              <w:cnfStyle w:val="000000010000" w:firstRow="0" w:lastRow="0" w:firstColumn="0" w:lastColumn="0" w:oddVBand="0" w:evenVBand="0" w:oddHBand="0" w:evenHBand="1" w:firstRowFirstColumn="0" w:firstRowLastColumn="0" w:lastRowFirstColumn="0" w:lastRowLastColumn="0"/>
              <w:rPr>
                <w:sz w:val="16"/>
                <w:lang w:val="en-SG"/>
              </w:rPr>
            </w:pPr>
            <w:r>
              <w:rPr>
                <w:sz w:val="16"/>
                <w:lang w:val="en-SG"/>
              </w:rPr>
              <w:t>G</w:t>
            </w:r>
          </w:p>
        </w:tc>
        <w:tc>
          <w:tcPr>
            <w:tcW w:w="665" w:type="dxa"/>
          </w:tcPr>
          <w:p w:rsidR="00D66430" w:rsidRDefault="00D66430" w:rsidP="002B521A">
            <w:pPr>
              <w:cnfStyle w:val="000000010000" w:firstRow="0" w:lastRow="0" w:firstColumn="0" w:lastColumn="0" w:oddVBand="0" w:evenVBand="0" w:oddHBand="0" w:evenHBand="1" w:firstRowFirstColumn="0" w:firstRowLastColumn="0" w:lastRowFirstColumn="0" w:lastRowLastColumn="0"/>
              <w:rPr>
                <w:sz w:val="16"/>
                <w:lang w:val="en-SG"/>
              </w:rPr>
            </w:pPr>
            <w:r>
              <w:rPr>
                <w:sz w:val="16"/>
                <w:lang w:val="en-SG"/>
              </w:rPr>
              <w:t>SGD</w:t>
            </w:r>
          </w:p>
        </w:tc>
        <w:tc>
          <w:tcPr>
            <w:tcW w:w="665" w:type="dxa"/>
          </w:tcPr>
          <w:p w:rsidR="00D66430" w:rsidRPr="00AD5B43" w:rsidRDefault="00D66430" w:rsidP="002B521A">
            <w:pPr>
              <w:cnfStyle w:val="000000010000" w:firstRow="0" w:lastRow="0" w:firstColumn="0" w:lastColumn="0" w:oddVBand="0" w:evenVBand="0" w:oddHBand="0" w:evenHBand="1" w:firstRowFirstColumn="0" w:firstRowLastColumn="0" w:lastRowFirstColumn="0" w:lastRowLastColumn="0"/>
              <w:rPr>
                <w:sz w:val="16"/>
                <w:lang w:val="en-SG"/>
              </w:rPr>
            </w:pPr>
            <w:r>
              <w:rPr>
                <w:sz w:val="16"/>
                <w:lang w:val="en-SG"/>
              </w:rPr>
              <w:t>$4</w:t>
            </w:r>
          </w:p>
        </w:tc>
        <w:tc>
          <w:tcPr>
            <w:tcW w:w="1052" w:type="dxa"/>
          </w:tcPr>
          <w:p w:rsidR="00D66430" w:rsidRPr="00AD5B43" w:rsidRDefault="00D66430" w:rsidP="002B521A">
            <w:pPr>
              <w:cnfStyle w:val="000000010000" w:firstRow="0" w:lastRow="0" w:firstColumn="0" w:lastColumn="0" w:oddVBand="0" w:evenVBand="0" w:oddHBand="0" w:evenHBand="1" w:firstRowFirstColumn="0" w:firstRowLastColumn="0" w:lastRowFirstColumn="0" w:lastRowLastColumn="0"/>
              <w:rPr>
                <w:sz w:val="16"/>
                <w:lang w:val="en-SG"/>
              </w:rPr>
            </w:pPr>
            <w:r>
              <w:rPr>
                <w:sz w:val="16"/>
                <w:lang w:val="en-SG"/>
              </w:rPr>
              <w:t>1.12.16</w:t>
            </w:r>
          </w:p>
        </w:tc>
        <w:tc>
          <w:tcPr>
            <w:tcW w:w="1108" w:type="dxa"/>
          </w:tcPr>
          <w:p w:rsidR="00D66430" w:rsidRPr="00AD5B43" w:rsidRDefault="00D66430" w:rsidP="002B521A">
            <w:pPr>
              <w:cnfStyle w:val="000000010000" w:firstRow="0" w:lastRow="0" w:firstColumn="0" w:lastColumn="0" w:oddVBand="0" w:evenVBand="0" w:oddHBand="0" w:evenHBand="1" w:firstRowFirstColumn="0" w:firstRowLastColumn="0" w:lastRowFirstColumn="0" w:lastRowLastColumn="0"/>
              <w:rPr>
                <w:sz w:val="16"/>
                <w:lang w:val="en-SG"/>
              </w:rPr>
            </w:pPr>
          </w:p>
        </w:tc>
      </w:tr>
      <w:tr w:rsidR="00D66430" w:rsidRPr="00AD5B43" w:rsidTr="00F53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D66430" w:rsidRPr="00AD5B43" w:rsidRDefault="00D66430" w:rsidP="002B521A">
            <w:pPr>
              <w:rPr>
                <w:sz w:val="16"/>
                <w:lang w:val="en-SG"/>
              </w:rPr>
            </w:pPr>
            <w:r>
              <w:rPr>
                <w:sz w:val="16"/>
                <w:lang w:val="en-SG"/>
              </w:rPr>
              <w:t>00000002</w:t>
            </w:r>
          </w:p>
        </w:tc>
        <w:tc>
          <w:tcPr>
            <w:tcW w:w="855" w:type="dxa"/>
          </w:tcPr>
          <w:p w:rsidR="00D66430" w:rsidRPr="00AD5B43" w:rsidRDefault="00D66430" w:rsidP="002B521A">
            <w:pPr>
              <w:cnfStyle w:val="000000100000" w:firstRow="0" w:lastRow="0" w:firstColumn="0" w:lastColumn="0" w:oddVBand="0" w:evenVBand="0" w:oddHBand="1" w:evenHBand="0" w:firstRowFirstColumn="0" w:firstRowLastColumn="0" w:lastRowFirstColumn="0" w:lastRowLastColumn="0"/>
              <w:rPr>
                <w:sz w:val="16"/>
                <w:lang w:val="en-SG"/>
              </w:rPr>
            </w:pPr>
            <w:r w:rsidRPr="00AD5B43">
              <w:rPr>
                <w:sz w:val="16"/>
                <w:lang w:val="en-SG"/>
              </w:rPr>
              <w:t>100023</w:t>
            </w:r>
          </w:p>
        </w:tc>
        <w:tc>
          <w:tcPr>
            <w:tcW w:w="1052" w:type="dxa"/>
          </w:tcPr>
          <w:p w:rsidR="00D66430" w:rsidRPr="00AD5B43" w:rsidRDefault="00D66430" w:rsidP="002B521A">
            <w:pPr>
              <w:cnfStyle w:val="000000100000" w:firstRow="0" w:lastRow="0" w:firstColumn="0" w:lastColumn="0" w:oddVBand="0" w:evenVBand="0" w:oddHBand="1" w:evenHBand="0" w:firstRowFirstColumn="0" w:firstRowLastColumn="0" w:lastRowFirstColumn="0" w:lastRowLastColumn="0"/>
              <w:rPr>
                <w:sz w:val="16"/>
                <w:lang w:val="en-SG"/>
              </w:rPr>
            </w:pPr>
            <w:r w:rsidRPr="00AD5B43">
              <w:rPr>
                <w:sz w:val="16"/>
                <w:lang w:val="en-SG"/>
              </w:rPr>
              <w:t>Cheese</w:t>
            </w:r>
          </w:p>
        </w:tc>
        <w:tc>
          <w:tcPr>
            <w:tcW w:w="924" w:type="dxa"/>
          </w:tcPr>
          <w:p w:rsidR="00D66430" w:rsidRPr="00AD5B43" w:rsidRDefault="00D66430" w:rsidP="002B521A">
            <w:pPr>
              <w:cnfStyle w:val="000000100000" w:firstRow="0" w:lastRow="0" w:firstColumn="0" w:lastColumn="0" w:oddVBand="0" w:evenVBand="0" w:oddHBand="1" w:evenHBand="0" w:firstRowFirstColumn="0" w:firstRowLastColumn="0" w:lastRowFirstColumn="0" w:lastRowLastColumn="0"/>
              <w:rPr>
                <w:sz w:val="16"/>
                <w:lang w:val="en-SG"/>
              </w:rPr>
            </w:pPr>
            <w:r>
              <w:rPr>
                <w:sz w:val="16"/>
                <w:lang w:val="en-SG"/>
              </w:rPr>
              <w:t>CTN x 500g</w:t>
            </w:r>
          </w:p>
        </w:tc>
        <w:tc>
          <w:tcPr>
            <w:tcW w:w="1052" w:type="dxa"/>
          </w:tcPr>
          <w:p w:rsidR="00D66430" w:rsidRPr="00AD5B43" w:rsidRDefault="00D66430" w:rsidP="002B521A">
            <w:pPr>
              <w:cnfStyle w:val="000000100000" w:firstRow="0" w:lastRow="0" w:firstColumn="0" w:lastColumn="0" w:oddVBand="0" w:evenVBand="0" w:oddHBand="1" w:evenHBand="0" w:firstRowFirstColumn="0" w:firstRowLastColumn="0" w:lastRowFirstColumn="0" w:lastRowLastColumn="0"/>
              <w:rPr>
                <w:sz w:val="16"/>
                <w:lang w:val="en-SG"/>
              </w:rPr>
            </w:pPr>
            <w:r>
              <w:rPr>
                <w:sz w:val="16"/>
                <w:lang w:val="en-SG"/>
              </w:rPr>
              <w:t>6000</w:t>
            </w:r>
          </w:p>
        </w:tc>
        <w:tc>
          <w:tcPr>
            <w:tcW w:w="1052" w:type="dxa"/>
          </w:tcPr>
          <w:p w:rsidR="00D66430" w:rsidRPr="00AD5B43" w:rsidRDefault="009D4ED5" w:rsidP="002B521A">
            <w:pPr>
              <w:cnfStyle w:val="000000100000" w:firstRow="0" w:lastRow="0" w:firstColumn="0" w:lastColumn="0" w:oddVBand="0" w:evenVBand="0" w:oddHBand="1" w:evenHBand="0" w:firstRowFirstColumn="0" w:firstRowLastColumn="0" w:lastRowFirstColumn="0" w:lastRowLastColumn="0"/>
              <w:rPr>
                <w:sz w:val="16"/>
                <w:lang w:val="en-SG"/>
              </w:rPr>
            </w:pPr>
            <w:r>
              <w:rPr>
                <w:sz w:val="16"/>
                <w:lang w:val="en-SG"/>
              </w:rPr>
              <w:t>G</w:t>
            </w:r>
          </w:p>
        </w:tc>
        <w:tc>
          <w:tcPr>
            <w:tcW w:w="665" w:type="dxa"/>
          </w:tcPr>
          <w:p w:rsidR="00D66430" w:rsidRDefault="00D66430" w:rsidP="002B521A">
            <w:pPr>
              <w:cnfStyle w:val="000000100000" w:firstRow="0" w:lastRow="0" w:firstColumn="0" w:lastColumn="0" w:oddVBand="0" w:evenVBand="0" w:oddHBand="1" w:evenHBand="0" w:firstRowFirstColumn="0" w:firstRowLastColumn="0" w:lastRowFirstColumn="0" w:lastRowLastColumn="0"/>
              <w:rPr>
                <w:sz w:val="16"/>
                <w:lang w:val="en-SG"/>
              </w:rPr>
            </w:pPr>
            <w:r>
              <w:rPr>
                <w:sz w:val="16"/>
                <w:lang w:val="en-SG"/>
              </w:rPr>
              <w:t>SGD</w:t>
            </w:r>
          </w:p>
        </w:tc>
        <w:tc>
          <w:tcPr>
            <w:tcW w:w="665" w:type="dxa"/>
          </w:tcPr>
          <w:p w:rsidR="00D66430" w:rsidRPr="00AD5B43" w:rsidRDefault="00D66430" w:rsidP="002B521A">
            <w:pPr>
              <w:cnfStyle w:val="000000100000" w:firstRow="0" w:lastRow="0" w:firstColumn="0" w:lastColumn="0" w:oddVBand="0" w:evenVBand="0" w:oddHBand="1" w:evenHBand="0" w:firstRowFirstColumn="0" w:firstRowLastColumn="0" w:lastRowFirstColumn="0" w:lastRowLastColumn="0"/>
              <w:rPr>
                <w:sz w:val="16"/>
                <w:lang w:val="en-SG"/>
              </w:rPr>
            </w:pPr>
            <w:r>
              <w:rPr>
                <w:sz w:val="16"/>
                <w:lang w:val="en-SG"/>
              </w:rPr>
              <w:t>$45</w:t>
            </w:r>
          </w:p>
        </w:tc>
        <w:tc>
          <w:tcPr>
            <w:tcW w:w="1052" w:type="dxa"/>
          </w:tcPr>
          <w:p w:rsidR="00D66430" w:rsidRPr="00AD5B43" w:rsidRDefault="00D66430" w:rsidP="002B521A">
            <w:pPr>
              <w:cnfStyle w:val="000000100000" w:firstRow="0" w:lastRow="0" w:firstColumn="0" w:lastColumn="0" w:oddVBand="0" w:evenVBand="0" w:oddHBand="1" w:evenHBand="0" w:firstRowFirstColumn="0" w:firstRowLastColumn="0" w:lastRowFirstColumn="0" w:lastRowLastColumn="0"/>
              <w:rPr>
                <w:sz w:val="16"/>
                <w:lang w:val="en-SG"/>
              </w:rPr>
            </w:pPr>
            <w:r>
              <w:rPr>
                <w:sz w:val="16"/>
                <w:lang w:val="en-SG"/>
              </w:rPr>
              <w:t>1.12.16</w:t>
            </w:r>
          </w:p>
        </w:tc>
        <w:tc>
          <w:tcPr>
            <w:tcW w:w="1108" w:type="dxa"/>
          </w:tcPr>
          <w:p w:rsidR="00D66430" w:rsidRPr="00AD5B43" w:rsidRDefault="00D66430" w:rsidP="002B521A">
            <w:pPr>
              <w:cnfStyle w:val="000000100000" w:firstRow="0" w:lastRow="0" w:firstColumn="0" w:lastColumn="0" w:oddVBand="0" w:evenVBand="0" w:oddHBand="1" w:evenHBand="0" w:firstRowFirstColumn="0" w:firstRowLastColumn="0" w:lastRowFirstColumn="0" w:lastRowLastColumn="0"/>
              <w:rPr>
                <w:sz w:val="16"/>
                <w:lang w:val="en-SG"/>
              </w:rPr>
            </w:pPr>
          </w:p>
        </w:tc>
      </w:tr>
    </w:tbl>
    <w:p w:rsidR="00AD5B43" w:rsidRDefault="00AD5B43" w:rsidP="00AD5B43">
      <w:pPr>
        <w:rPr>
          <w:lang w:val="en-SG"/>
        </w:rPr>
      </w:pPr>
    </w:p>
    <w:p w:rsidR="002C5CD9" w:rsidRDefault="00B13F4C" w:rsidP="00B13F4C">
      <w:pPr>
        <w:pStyle w:val="Heading1"/>
        <w:rPr>
          <w:lang w:val="en-SG"/>
        </w:rPr>
      </w:pPr>
      <w:r>
        <w:rPr>
          <w:lang w:val="en-SG"/>
        </w:rPr>
        <w:t>Replication – process</w:t>
      </w:r>
    </w:p>
    <w:p w:rsidR="00B13F4C" w:rsidRDefault="00B13F4C" w:rsidP="00B13F4C">
      <w:pPr>
        <w:rPr>
          <w:lang w:val="en-SG"/>
        </w:rPr>
      </w:pPr>
      <w:r>
        <w:object w:dxaOrig="10680" w:dyaOrig="2602">
          <v:shape id="_x0000_i1026" type="#_x0000_t75" style="width:451pt;height:110.05pt" o:ole="">
            <v:imagedata r:id="rId13" o:title=""/>
          </v:shape>
          <o:OLEObject Type="Embed" ProgID="Visio.Drawing.15" ShapeID="_x0000_i1026" DrawAspect="Content" ObjectID="_1545550196" r:id="rId15"/>
        </w:object>
      </w:r>
    </w:p>
    <w:p w:rsidR="00B13F4C" w:rsidRDefault="00B13F4C" w:rsidP="00B13F4C">
      <w:pPr>
        <w:rPr>
          <w:lang w:val="en-SG"/>
        </w:rPr>
      </w:pPr>
    </w:p>
    <w:p w:rsidR="00B13F4C" w:rsidRDefault="00B13F4C" w:rsidP="00B13F4C">
      <w:pPr>
        <w:pStyle w:val="ListParagraph"/>
        <w:numPr>
          <w:ilvl w:val="0"/>
          <w:numId w:val="5"/>
        </w:numPr>
        <w:rPr>
          <w:lang w:val="en-SG"/>
        </w:rPr>
      </w:pPr>
      <w:r w:rsidRPr="00B13F4C">
        <w:rPr>
          <w:lang w:val="en-SG"/>
        </w:rPr>
        <w:t xml:space="preserve">Users will first setup </w:t>
      </w:r>
      <w:r w:rsidRPr="00B13F4C">
        <w:rPr>
          <w:b/>
          <w:u w:val="single"/>
          <w:lang w:val="en-SG"/>
        </w:rPr>
        <w:t>IN</w:t>
      </w:r>
      <w:r w:rsidRPr="00B13F4C">
        <w:rPr>
          <w:lang w:val="en-SG"/>
        </w:rPr>
        <w:t xml:space="preserve"> the </w:t>
      </w:r>
      <w:r w:rsidRPr="00B13F4C">
        <w:rPr>
          <w:b/>
          <w:u w:val="single"/>
          <w:lang w:val="en-SG"/>
        </w:rPr>
        <w:t>target entities</w:t>
      </w:r>
      <w:r w:rsidRPr="00B13F4C">
        <w:rPr>
          <w:lang w:val="en-SG"/>
        </w:rPr>
        <w:t xml:space="preserve"> the source of the various masters and the replication criteria. </w:t>
      </w:r>
    </w:p>
    <w:p w:rsidR="00B13F4C" w:rsidRPr="00B13F4C" w:rsidRDefault="00B13F4C" w:rsidP="00B13F4C">
      <w:pPr>
        <w:pStyle w:val="ListParagraph"/>
        <w:numPr>
          <w:ilvl w:val="0"/>
          <w:numId w:val="5"/>
        </w:numPr>
        <w:rPr>
          <w:lang w:val="en-SG"/>
        </w:rPr>
      </w:pPr>
      <w:r>
        <w:rPr>
          <w:lang w:val="en-SG"/>
        </w:rPr>
        <w:t xml:space="preserve">Users will setup the master data </w:t>
      </w:r>
      <w:r>
        <w:rPr>
          <w:b/>
          <w:u w:val="single"/>
          <w:lang w:val="en-SG"/>
        </w:rPr>
        <w:t>IN the Source entity.</w:t>
      </w:r>
    </w:p>
    <w:p w:rsidR="00B13F4C" w:rsidRPr="00B13F4C" w:rsidRDefault="00B13F4C" w:rsidP="00B13F4C">
      <w:pPr>
        <w:pStyle w:val="ListParagraph"/>
        <w:numPr>
          <w:ilvl w:val="0"/>
          <w:numId w:val="5"/>
        </w:numPr>
        <w:rPr>
          <w:lang w:val="en-SG"/>
        </w:rPr>
      </w:pPr>
      <w:r>
        <w:rPr>
          <w:lang w:val="en-SG"/>
        </w:rPr>
        <w:t xml:space="preserve">User will trigger the replication process </w:t>
      </w:r>
      <w:r>
        <w:rPr>
          <w:b/>
          <w:u w:val="single"/>
          <w:lang w:val="en-SG"/>
        </w:rPr>
        <w:t>IN the Source entity.</w:t>
      </w:r>
    </w:p>
    <w:p w:rsidR="00B13F4C" w:rsidRPr="00B13F4C" w:rsidRDefault="00B13F4C" w:rsidP="00B13F4C">
      <w:pPr>
        <w:pStyle w:val="ListParagraph"/>
        <w:numPr>
          <w:ilvl w:val="0"/>
          <w:numId w:val="5"/>
        </w:numPr>
        <w:rPr>
          <w:lang w:val="en-SG"/>
        </w:rPr>
      </w:pPr>
      <w:r>
        <w:rPr>
          <w:lang w:val="en-SG"/>
        </w:rPr>
        <w:t xml:space="preserve">If there are any errors, users will need to rectify the errors in the target or source entity and retry again </w:t>
      </w:r>
      <w:r>
        <w:rPr>
          <w:b/>
          <w:u w:val="single"/>
          <w:lang w:val="en-SG"/>
        </w:rPr>
        <w:t>IN the Source entity.</w:t>
      </w:r>
    </w:p>
    <w:p w:rsidR="00B13F4C" w:rsidRPr="00B13F4C" w:rsidRDefault="00B13F4C" w:rsidP="00B13F4C">
      <w:pPr>
        <w:pStyle w:val="ListParagraph"/>
        <w:rPr>
          <w:lang w:val="en-SG"/>
        </w:rPr>
      </w:pPr>
    </w:p>
    <w:p w:rsidR="00B13F4C" w:rsidRDefault="00B13F4C" w:rsidP="00B13F4C">
      <w:pPr>
        <w:rPr>
          <w:lang w:val="en-SG"/>
        </w:rPr>
      </w:pPr>
      <w:r>
        <w:rPr>
          <w:lang w:val="en-SG"/>
        </w:rPr>
        <w:t>Integration DB Table</w:t>
      </w:r>
    </w:p>
    <w:tbl>
      <w:tblPr>
        <w:tblStyle w:val="LightGrid-Accent1"/>
        <w:tblW w:w="0" w:type="auto"/>
        <w:tblLayout w:type="fixed"/>
        <w:tblLook w:val="04A0" w:firstRow="1" w:lastRow="0" w:firstColumn="1" w:lastColumn="0" w:noHBand="0" w:noVBand="1"/>
      </w:tblPr>
      <w:tblGrid>
        <w:gridCol w:w="1857"/>
        <w:gridCol w:w="1476"/>
        <w:gridCol w:w="2089"/>
        <w:gridCol w:w="1829"/>
        <w:gridCol w:w="1829"/>
      </w:tblGrid>
      <w:tr w:rsidR="00FD4289" w:rsidRPr="00196671" w:rsidTr="00FD4289">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857" w:type="dxa"/>
          </w:tcPr>
          <w:p w:rsidR="00FD4289" w:rsidRPr="00196671" w:rsidRDefault="00FD4289" w:rsidP="002B521A">
            <w:pPr>
              <w:rPr>
                <w:sz w:val="20"/>
                <w:lang w:val="en-SG"/>
              </w:rPr>
            </w:pPr>
            <w:r>
              <w:rPr>
                <w:sz w:val="20"/>
                <w:lang w:val="en-SG"/>
              </w:rPr>
              <w:t>Type</w:t>
            </w:r>
          </w:p>
        </w:tc>
        <w:tc>
          <w:tcPr>
            <w:tcW w:w="1476" w:type="dxa"/>
          </w:tcPr>
          <w:p w:rsidR="00FD4289" w:rsidRPr="00196671" w:rsidRDefault="00FD4289" w:rsidP="002B521A">
            <w:pPr>
              <w:cnfStyle w:val="100000000000" w:firstRow="1" w:lastRow="0" w:firstColumn="0" w:lastColumn="0" w:oddVBand="0" w:evenVBand="0" w:oddHBand="0" w:evenHBand="0" w:firstRowFirstColumn="0" w:firstRowLastColumn="0" w:lastRowFirstColumn="0" w:lastRowLastColumn="0"/>
              <w:rPr>
                <w:sz w:val="20"/>
                <w:lang w:val="en-SG"/>
              </w:rPr>
            </w:pPr>
            <w:proofErr w:type="spellStart"/>
            <w:r w:rsidRPr="00196671">
              <w:rPr>
                <w:sz w:val="20"/>
                <w:lang w:val="en-SG"/>
              </w:rPr>
              <w:t>AuditID</w:t>
            </w:r>
            <w:proofErr w:type="spellEnd"/>
          </w:p>
        </w:tc>
        <w:tc>
          <w:tcPr>
            <w:tcW w:w="2089" w:type="dxa"/>
          </w:tcPr>
          <w:p w:rsidR="00FD4289" w:rsidRPr="00196671" w:rsidRDefault="00FD4289" w:rsidP="002B521A">
            <w:pPr>
              <w:cnfStyle w:val="100000000000" w:firstRow="1" w:lastRow="0" w:firstColumn="0" w:lastColumn="0" w:oddVBand="0" w:evenVBand="0" w:oddHBand="0" w:evenHBand="0" w:firstRowFirstColumn="0" w:firstRowLastColumn="0" w:lastRowFirstColumn="0" w:lastRowLastColumn="0"/>
              <w:rPr>
                <w:sz w:val="20"/>
                <w:lang w:val="en-SG"/>
              </w:rPr>
            </w:pPr>
            <w:r w:rsidRPr="00196671">
              <w:rPr>
                <w:sz w:val="20"/>
                <w:lang w:val="en-SG"/>
              </w:rPr>
              <w:t>Code</w:t>
            </w:r>
          </w:p>
        </w:tc>
        <w:tc>
          <w:tcPr>
            <w:tcW w:w="1829" w:type="dxa"/>
          </w:tcPr>
          <w:p w:rsidR="00FD4289" w:rsidRPr="00196671" w:rsidRDefault="00FD4289" w:rsidP="002B521A">
            <w:pPr>
              <w:cnfStyle w:val="100000000000" w:firstRow="1" w:lastRow="0" w:firstColumn="0" w:lastColumn="0" w:oddVBand="0" w:evenVBand="0" w:oddHBand="0" w:evenHBand="0" w:firstRowFirstColumn="0" w:firstRowLastColumn="0" w:lastRowFirstColumn="0" w:lastRowLastColumn="0"/>
              <w:rPr>
                <w:sz w:val="20"/>
                <w:lang w:val="en-SG"/>
              </w:rPr>
            </w:pPr>
          </w:p>
        </w:tc>
        <w:tc>
          <w:tcPr>
            <w:tcW w:w="1829" w:type="dxa"/>
          </w:tcPr>
          <w:p w:rsidR="00FD4289" w:rsidRPr="00196671" w:rsidRDefault="00FD4289" w:rsidP="002B521A">
            <w:pPr>
              <w:cnfStyle w:val="100000000000" w:firstRow="1" w:lastRow="0" w:firstColumn="0" w:lastColumn="0" w:oddVBand="0" w:evenVBand="0" w:oddHBand="0" w:evenHBand="0" w:firstRowFirstColumn="0" w:firstRowLastColumn="0" w:lastRowFirstColumn="0" w:lastRowLastColumn="0"/>
              <w:rPr>
                <w:sz w:val="20"/>
                <w:lang w:val="en-SG"/>
              </w:rPr>
            </w:pPr>
            <w:r w:rsidRPr="00196671">
              <w:rPr>
                <w:sz w:val="20"/>
                <w:lang w:val="en-SG"/>
              </w:rPr>
              <w:t>Name</w:t>
            </w:r>
          </w:p>
        </w:tc>
      </w:tr>
      <w:tr w:rsidR="00FD4289" w:rsidRPr="00196671" w:rsidTr="00FD4289">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857" w:type="dxa"/>
          </w:tcPr>
          <w:p w:rsidR="00FD4289" w:rsidRPr="00196671" w:rsidRDefault="00FD4289" w:rsidP="002B521A">
            <w:pPr>
              <w:rPr>
                <w:sz w:val="20"/>
                <w:lang w:val="en-SG"/>
              </w:rPr>
            </w:pPr>
            <w:proofErr w:type="spellStart"/>
            <w:r>
              <w:rPr>
                <w:sz w:val="20"/>
                <w:lang w:val="en-SG"/>
              </w:rPr>
              <w:t>BPMaster</w:t>
            </w:r>
            <w:proofErr w:type="spellEnd"/>
          </w:p>
        </w:tc>
        <w:tc>
          <w:tcPr>
            <w:tcW w:w="1476" w:type="dxa"/>
          </w:tcPr>
          <w:p w:rsidR="00FD4289" w:rsidRPr="00196671" w:rsidRDefault="00FD4289" w:rsidP="002B521A">
            <w:pPr>
              <w:cnfStyle w:val="000000100000" w:firstRow="0" w:lastRow="0" w:firstColumn="0" w:lastColumn="0" w:oddVBand="0" w:evenVBand="0" w:oddHBand="1" w:evenHBand="0" w:firstRowFirstColumn="0" w:firstRowLastColumn="0" w:lastRowFirstColumn="0" w:lastRowLastColumn="0"/>
              <w:rPr>
                <w:sz w:val="20"/>
                <w:lang w:val="en-SG"/>
              </w:rPr>
            </w:pPr>
            <w:r w:rsidRPr="00196671">
              <w:rPr>
                <w:sz w:val="20"/>
                <w:lang w:val="en-SG"/>
              </w:rPr>
              <w:t>100023</w:t>
            </w:r>
          </w:p>
        </w:tc>
        <w:tc>
          <w:tcPr>
            <w:tcW w:w="2089" w:type="dxa"/>
          </w:tcPr>
          <w:p w:rsidR="00FD4289" w:rsidRPr="00196671" w:rsidRDefault="00FD4289" w:rsidP="002B521A">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00000</w:t>
            </w:r>
            <w:r w:rsidRPr="00196671">
              <w:rPr>
                <w:sz w:val="20"/>
                <w:lang w:val="en-SG"/>
              </w:rPr>
              <w:t>001</w:t>
            </w:r>
          </w:p>
        </w:tc>
        <w:tc>
          <w:tcPr>
            <w:tcW w:w="1829" w:type="dxa"/>
          </w:tcPr>
          <w:p w:rsidR="00FD4289" w:rsidRPr="00196671" w:rsidRDefault="00FD4289" w:rsidP="002B521A">
            <w:pPr>
              <w:cnfStyle w:val="000000100000" w:firstRow="0" w:lastRow="0" w:firstColumn="0" w:lastColumn="0" w:oddVBand="0" w:evenVBand="0" w:oddHBand="1" w:evenHBand="0" w:firstRowFirstColumn="0" w:firstRowLastColumn="0" w:lastRowFirstColumn="0" w:lastRowLastColumn="0"/>
              <w:rPr>
                <w:sz w:val="20"/>
                <w:lang w:val="en-SG"/>
              </w:rPr>
            </w:pPr>
          </w:p>
        </w:tc>
        <w:tc>
          <w:tcPr>
            <w:tcW w:w="1829" w:type="dxa"/>
          </w:tcPr>
          <w:p w:rsidR="00FD4289" w:rsidRPr="00196671" w:rsidRDefault="00FD4289" w:rsidP="002B521A">
            <w:pPr>
              <w:cnfStyle w:val="000000100000" w:firstRow="0" w:lastRow="0" w:firstColumn="0" w:lastColumn="0" w:oddVBand="0" w:evenVBand="0" w:oddHBand="1" w:evenHBand="0" w:firstRowFirstColumn="0" w:firstRowLastColumn="0" w:lastRowFirstColumn="0" w:lastRowLastColumn="0"/>
              <w:rPr>
                <w:sz w:val="20"/>
                <w:lang w:val="en-SG"/>
              </w:rPr>
            </w:pPr>
            <w:r w:rsidRPr="00196671">
              <w:rPr>
                <w:sz w:val="20"/>
                <w:lang w:val="en-SG"/>
              </w:rPr>
              <w:t>Cheese</w:t>
            </w:r>
          </w:p>
        </w:tc>
      </w:tr>
      <w:tr w:rsidR="00FD4289" w:rsidRPr="00196671" w:rsidTr="00FD4289">
        <w:trPr>
          <w:cnfStyle w:val="000000010000" w:firstRow="0" w:lastRow="0" w:firstColumn="0" w:lastColumn="0" w:oddVBand="0" w:evenVBand="0" w:oddHBand="0" w:evenHBand="1"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857" w:type="dxa"/>
          </w:tcPr>
          <w:p w:rsidR="00FD4289" w:rsidRPr="00196671" w:rsidRDefault="00FD4289" w:rsidP="002B521A">
            <w:pPr>
              <w:rPr>
                <w:sz w:val="20"/>
                <w:lang w:val="en-SG"/>
              </w:rPr>
            </w:pPr>
            <w:r>
              <w:rPr>
                <w:sz w:val="20"/>
                <w:lang w:val="en-SG"/>
              </w:rPr>
              <w:t>Finance</w:t>
            </w:r>
          </w:p>
        </w:tc>
        <w:tc>
          <w:tcPr>
            <w:tcW w:w="1476" w:type="dxa"/>
          </w:tcPr>
          <w:p w:rsidR="00FD4289" w:rsidRPr="00196671" w:rsidRDefault="00FD4289" w:rsidP="002B521A">
            <w:pPr>
              <w:cnfStyle w:val="000000010000" w:firstRow="0" w:lastRow="0" w:firstColumn="0" w:lastColumn="0" w:oddVBand="0" w:evenVBand="0" w:oddHBand="0" w:evenHBand="1" w:firstRowFirstColumn="0" w:firstRowLastColumn="0" w:lastRowFirstColumn="0" w:lastRowLastColumn="0"/>
              <w:rPr>
                <w:sz w:val="20"/>
                <w:lang w:val="en-SG"/>
              </w:rPr>
            </w:pPr>
            <w:r w:rsidRPr="00196671">
              <w:rPr>
                <w:sz w:val="20"/>
                <w:lang w:val="en-SG"/>
              </w:rPr>
              <w:t>2319</w:t>
            </w:r>
          </w:p>
        </w:tc>
        <w:tc>
          <w:tcPr>
            <w:tcW w:w="2089" w:type="dxa"/>
          </w:tcPr>
          <w:p w:rsidR="00FD4289" w:rsidRPr="00196671" w:rsidRDefault="00FD4289" w:rsidP="002B521A">
            <w:pPr>
              <w:cnfStyle w:val="000000010000" w:firstRow="0" w:lastRow="0" w:firstColumn="0" w:lastColumn="0" w:oddVBand="0" w:evenVBand="0" w:oddHBand="0" w:evenHBand="1" w:firstRowFirstColumn="0" w:firstRowLastColumn="0" w:lastRowFirstColumn="0" w:lastRowLastColumn="0"/>
              <w:rPr>
                <w:sz w:val="20"/>
                <w:lang w:val="en-SG"/>
              </w:rPr>
            </w:pPr>
            <w:r w:rsidRPr="00196671">
              <w:rPr>
                <w:sz w:val="20"/>
                <w:lang w:val="en-SG"/>
              </w:rPr>
              <w:t>USD</w:t>
            </w:r>
          </w:p>
        </w:tc>
        <w:tc>
          <w:tcPr>
            <w:tcW w:w="1829" w:type="dxa"/>
          </w:tcPr>
          <w:p w:rsidR="00FD4289" w:rsidRPr="00196671" w:rsidRDefault="00FD4289" w:rsidP="002B521A">
            <w:pPr>
              <w:cnfStyle w:val="000000010000" w:firstRow="0" w:lastRow="0" w:firstColumn="0" w:lastColumn="0" w:oddVBand="0" w:evenVBand="0" w:oddHBand="0" w:evenHBand="1" w:firstRowFirstColumn="0" w:firstRowLastColumn="0" w:lastRowFirstColumn="0" w:lastRowLastColumn="0"/>
              <w:rPr>
                <w:sz w:val="20"/>
                <w:lang w:val="en-SG"/>
              </w:rPr>
            </w:pPr>
          </w:p>
        </w:tc>
        <w:tc>
          <w:tcPr>
            <w:tcW w:w="1829" w:type="dxa"/>
          </w:tcPr>
          <w:p w:rsidR="00FD4289" w:rsidRPr="00196671" w:rsidRDefault="00FD4289" w:rsidP="002B521A">
            <w:pPr>
              <w:cnfStyle w:val="000000010000" w:firstRow="0" w:lastRow="0" w:firstColumn="0" w:lastColumn="0" w:oddVBand="0" w:evenVBand="0" w:oddHBand="0" w:evenHBand="1" w:firstRowFirstColumn="0" w:firstRowLastColumn="0" w:lastRowFirstColumn="0" w:lastRowLastColumn="0"/>
              <w:rPr>
                <w:sz w:val="20"/>
                <w:lang w:val="en-SG"/>
              </w:rPr>
            </w:pPr>
          </w:p>
        </w:tc>
      </w:tr>
      <w:tr w:rsidR="00FD4289" w:rsidRPr="00196671" w:rsidTr="00FD4289">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857" w:type="dxa"/>
          </w:tcPr>
          <w:p w:rsidR="00FD4289" w:rsidRPr="00196671" w:rsidRDefault="00FD4289" w:rsidP="002B521A">
            <w:pPr>
              <w:rPr>
                <w:sz w:val="20"/>
                <w:lang w:val="en-SG"/>
              </w:rPr>
            </w:pPr>
            <w:proofErr w:type="spellStart"/>
            <w:r>
              <w:rPr>
                <w:sz w:val="20"/>
                <w:lang w:val="en-SG"/>
              </w:rPr>
              <w:t>ItemMaster</w:t>
            </w:r>
            <w:proofErr w:type="spellEnd"/>
          </w:p>
        </w:tc>
        <w:tc>
          <w:tcPr>
            <w:tcW w:w="1476" w:type="dxa"/>
          </w:tcPr>
          <w:p w:rsidR="00FD4289" w:rsidRPr="00196671" w:rsidRDefault="00FD4289" w:rsidP="002B521A">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4817</w:t>
            </w:r>
          </w:p>
        </w:tc>
        <w:tc>
          <w:tcPr>
            <w:tcW w:w="2089" w:type="dxa"/>
          </w:tcPr>
          <w:p w:rsidR="00FD4289" w:rsidRPr="00196671" w:rsidRDefault="00FD4289" w:rsidP="002B521A">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119</w:t>
            </w:r>
          </w:p>
        </w:tc>
        <w:tc>
          <w:tcPr>
            <w:tcW w:w="1829" w:type="dxa"/>
          </w:tcPr>
          <w:p w:rsidR="00FD4289" w:rsidRDefault="00FD4289" w:rsidP="002B521A">
            <w:pPr>
              <w:cnfStyle w:val="000000100000" w:firstRow="0" w:lastRow="0" w:firstColumn="0" w:lastColumn="0" w:oddVBand="0" w:evenVBand="0" w:oddHBand="1" w:evenHBand="0" w:firstRowFirstColumn="0" w:firstRowLastColumn="0" w:lastRowFirstColumn="0" w:lastRowLastColumn="0"/>
              <w:rPr>
                <w:sz w:val="20"/>
                <w:lang w:val="en-SG"/>
              </w:rPr>
            </w:pPr>
          </w:p>
        </w:tc>
        <w:tc>
          <w:tcPr>
            <w:tcW w:w="1829" w:type="dxa"/>
          </w:tcPr>
          <w:p w:rsidR="00FD4289" w:rsidRPr="00196671" w:rsidRDefault="00FD4289" w:rsidP="002B521A">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Online</w:t>
            </w:r>
          </w:p>
        </w:tc>
      </w:tr>
    </w:tbl>
    <w:p w:rsidR="00B13F4C" w:rsidRDefault="00B13F4C" w:rsidP="00B13F4C">
      <w:pPr>
        <w:rPr>
          <w:lang w:val="en-SG"/>
        </w:rPr>
      </w:pPr>
      <w:r>
        <w:rPr>
          <w:lang w:val="en-SG"/>
        </w:rPr>
        <w:lastRenderedPageBreak/>
        <w:t>Every time the user updates a master data in a SOURCE ENTITY, this will be updated into the INTEGRATION DB as a candidate for replication</w:t>
      </w:r>
      <w:r w:rsidR="0098292E">
        <w:rPr>
          <w:lang w:val="en-SG"/>
        </w:rPr>
        <w:t xml:space="preserve"> if it is not yet a candidate for replication</w:t>
      </w:r>
      <w:r>
        <w:rPr>
          <w:lang w:val="en-SG"/>
        </w:rPr>
        <w:t>.</w:t>
      </w:r>
    </w:p>
    <w:p w:rsidR="0098292E" w:rsidRDefault="0098292E" w:rsidP="00B13F4C">
      <w:pPr>
        <w:rPr>
          <w:lang w:val="en-SG"/>
        </w:rPr>
      </w:pPr>
      <w:r>
        <w:rPr>
          <w:lang w:val="en-SG"/>
        </w:rPr>
        <w:t>A candidate for replication is when a record with the following columns are blank exists.</w:t>
      </w:r>
    </w:p>
    <w:p w:rsidR="00B13F4C" w:rsidRDefault="00B13F4C" w:rsidP="00B13F4C">
      <w:pPr>
        <w:rPr>
          <w:lang w:val="en-SG"/>
        </w:rPr>
      </w:pPr>
      <w:r>
        <w:rPr>
          <w:lang w:val="en-SG"/>
        </w:rPr>
        <w:t>The following columns will be blank initially.</w:t>
      </w:r>
    </w:p>
    <w:tbl>
      <w:tblPr>
        <w:tblStyle w:val="LightGrid-Accent1"/>
        <w:tblW w:w="0" w:type="auto"/>
        <w:tblLayout w:type="fixed"/>
        <w:tblLook w:val="04A0" w:firstRow="1" w:lastRow="0" w:firstColumn="1" w:lastColumn="0" w:noHBand="0" w:noVBand="1"/>
      </w:tblPr>
      <w:tblGrid>
        <w:gridCol w:w="1134"/>
        <w:gridCol w:w="708"/>
        <w:gridCol w:w="1134"/>
        <w:gridCol w:w="1196"/>
      </w:tblGrid>
      <w:tr w:rsidR="00B13F4C" w:rsidRPr="00196671" w:rsidTr="002B5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B13F4C" w:rsidRPr="00196671" w:rsidRDefault="00B13F4C" w:rsidP="002B521A">
            <w:pPr>
              <w:rPr>
                <w:sz w:val="20"/>
                <w:lang w:val="en-SG"/>
              </w:rPr>
            </w:pPr>
            <w:proofErr w:type="spellStart"/>
            <w:r w:rsidRPr="00196671">
              <w:rPr>
                <w:sz w:val="20"/>
                <w:lang w:val="en-SG"/>
              </w:rPr>
              <w:t>TargetDB</w:t>
            </w:r>
            <w:proofErr w:type="spellEnd"/>
          </w:p>
        </w:tc>
        <w:tc>
          <w:tcPr>
            <w:tcW w:w="708" w:type="dxa"/>
          </w:tcPr>
          <w:p w:rsidR="00B13F4C" w:rsidRDefault="00B13F4C" w:rsidP="002B521A">
            <w:pPr>
              <w:cnfStyle w:val="100000000000" w:firstRow="1" w:lastRow="0" w:firstColumn="0" w:lastColumn="0" w:oddVBand="0" w:evenVBand="0" w:oddHBand="0" w:evenHBand="0" w:firstRowFirstColumn="0" w:firstRowLastColumn="0" w:lastRowFirstColumn="0" w:lastRowLastColumn="0"/>
              <w:rPr>
                <w:sz w:val="20"/>
                <w:lang w:val="en-SG"/>
              </w:rPr>
            </w:pPr>
            <w:r>
              <w:rPr>
                <w:sz w:val="20"/>
                <w:lang w:val="en-SG"/>
              </w:rPr>
              <w:t xml:space="preserve">Sync </w:t>
            </w:r>
          </w:p>
          <w:p w:rsidR="00B13F4C" w:rsidRPr="00196671" w:rsidRDefault="00B13F4C" w:rsidP="002B521A">
            <w:pPr>
              <w:cnfStyle w:val="100000000000" w:firstRow="1" w:lastRow="0" w:firstColumn="0" w:lastColumn="0" w:oddVBand="0" w:evenVBand="0" w:oddHBand="0" w:evenHBand="0" w:firstRowFirstColumn="0" w:firstRowLastColumn="0" w:lastRowFirstColumn="0" w:lastRowLastColumn="0"/>
              <w:rPr>
                <w:sz w:val="20"/>
                <w:lang w:val="en-SG"/>
              </w:rPr>
            </w:pPr>
            <w:r>
              <w:rPr>
                <w:sz w:val="20"/>
                <w:lang w:val="en-SG"/>
              </w:rPr>
              <w:t>Y/N</w:t>
            </w:r>
          </w:p>
        </w:tc>
        <w:tc>
          <w:tcPr>
            <w:tcW w:w="1134" w:type="dxa"/>
          </w:tcPr>
          <w:p w:rsidR="00B13F4C" w:rsidRPr="00196671" w:rsidRDefault="00B13F4C" w:rsidP="002B521A">
            <w:pPr>
              <w:cnfStyle w:val="100000000000" w:firstRow="1" w:lastRow="0" w:firstColumn="0" w:lastColumn="0" w:oddVBand="0" w:evenVBand="0" w:oddHBand="0" w:evenHBand="0" w:firstRowFirstColumn="0" w:firstRowLastColumn="0" w:lastRowFirstColumn="0" w:lastRowLastColumn="0"/>
              <w:rPr>
                <w:sz w:val="20"/>
                <w:lang w:val="en-SG"/>
              </w:rPr>
            </w:pPr>
            <w:r w:rsidRPr="00196671">
              <w:rPr>
                <w:sz w:val="20"/>
                <w:lang w:val="en-SG"/>
              </w:rPr>
              <w:t>Sync</w:t>
            </w:r>
          </w:p>
          <w:p w:rsidR="00B13F4C" w:rsidRPr="00196671" w:rsidRDefault="00B13F4C" w:rsidP="002B521A">
            <w:pPr>
              <w:cnfStyle w:val="100000000000" w:firstRow="1" w:lastRow="0" w:firstColumn="0" w:lastColumn="0" w:oddVBand="0" w:evenVBand="0" w:oddHBand="0" w:evenHBand="0" w:firstRowFirstColumn="0" w:firstRowLastColumn="0" w:lastRowFirstColumn="0" w:lastRowLastColumn="0"/>
              <w:rPr>
                <w:sz w:val="20"/>
                <w:lang w:val="en-SG"/>
              </w:rPr>
            </w:pPr>
            <w:r w:rsidRPr="00196671">
              <w:rPr>
                <w:sz w:val="20"/>
                <w:lang w:val="en-SG"/>
              </w:rPr>
              <w:t>Status</w:t>
            </w:r>
          </w:p>
        </w:tc>
        <w:tc>
          <w:tcPr>
            <w:tcW w:w="1196" w:type="dxa"/>
          </w:tcPr>
          <w:p w:rsidR="00B13F4C" w:rsidRPr="00196671" w:rsidRDefault="00B13F4C" w:rsidP="002B521A">
            <w:pPr>
              <w:cnfStyle w:val="100000000000" w:firstRow="1" w:lastRow="0" w:firstColumn="0" w:lastColumn="0" w:oddVBand="0" w:evenVBand="0" w:oddHBand="0" w:evenHBand="0" w:firstRowFirstColumn="0" w:firstRowLastColumn="0" w:lastRowFirstColumn="0" w:lastRowLastColumn="0"/>
              <w:rPr>
                <w:sz w:val="20"/>
                <w:lang w:val="en-SG"/>
              </w:rPr>
            </w:pPr>
            <w:r w:rsidRPr="00196671">
              <w:rPr>
                <w:sz w:val="20"/>
                <w:lang w:val="en-SG"/>
              </w:rPr>
              <w:t xml:space="preserve">Sync </w:t>
            </w:r>
            <w:proofErr w:type="spellStart"/>
            <w:r w:rsidRPr="00196671">
              <w:rPr>
                <w:sz w:val="20"/>
                <w:lang w:val="en-SG"/>
              </w:rPr>
              <w:t>DateTime</w:t>
            </w:r>
            <w:proofErr w:type="spellEnd"/>
          </w:p>
        </w:tc>
      </w:tr>
    </w:tbl>
    <w:p w:rsidR="00B13F4C" w:rsidRDefault="00B13F4C" w:rsidP="00B13F4C">
      <w:pPr>
        <w:rPr>
          <w:lang w:val="en-SG"/>
        </w:rPr>
      </w:pPr>
    </w:p>
    <w:p w:rsidR="00B13F4C" w:rsidRDefault="00B13F4C" w:rsidP="00B13F4C">
      <w:pPr>
        <w:rPr>
          <w:lang w:val="en-SG"/>
        </w:rPr>
      </w:pPr>
      <w:r>
        <w:rPr>
          <w:lang w:val="en-SG"/>
        </w:rPr>
        <w:t xml:space="preserve">When user triggers the “Replication Process” in the source DB, the program will check the criteria of various potential target DBs and update </w:t>
      </w:r>
      <w:r w:rsidR="0098292E">
        <w:rPr>
          <w:lang w:val="en-SG"/>
        </w:rPr>
        <w:t xml:space="preserve">the </w:t>
      </w:r>
      <w:proofErr w:type="spellStart"/>
      <w:r w:rsidR="0098292E">
        <w:rPr>
          <w:lang w:val="en-SG"/>
        </w:rPr>
        <w:t>TargetDB</w:t>
      </w:r>
      <w:proofErr w:type="spellEnd"/>
      <w:r w:rsidR="0098292E">
        <w:rPr>
          <w:lang w:val="en-SG"/>
        </w:rPr>
        <w:t xml:space="preserve"> and sync Y/N columns</w:t>
      </w:r>
      <w:r>
        <w:rPr>
          <w:lang w:val="en-SG"/>
        </w:rPr>
        <w:t>.</w:t>
      </w:r>
    </w:p>
    <w:p w:rsidR="0098292E" w:rsidRDefault="0098292E" w:rsidP="00B13F4C">
      <w:pPr>
        <w:rPr>
          <w:lang w:val="en-SG"/>
        </w:rPr>
      </w:pPr>
      <w:r>
        <w:rPr>
          <w:lang w:val="en-SG"/>
        </w:rPr>
        <w:t xml:space="preserve">If this candidate needs to be replicated into more than 1 </w:t>
      </w:r>
      <w:proofErr w:type="spellStart"/>
      <w:r>
        <w:rPr>
          <w:lang w:val="en-SG"/>
        </w:rPr>
        <w:t>targetDB</w:t>
      </w:r>
      <w:proofErr w:type="spellEnd"/>
      <w:r>
        <w:rPr>
          <w:lang w:val="en-SG"/>
        </w:rPr>
        <w:t>, more records will be created for each target DB.</w:t>
      </w:r>
    </w:p>
    <w:p w:rsidR="00B13F4C" w:rsidRDefault="0098292E" w:rsidP="00B13F4C">
      <w:pPr>
        <w:rPr>
          <w:lang w:val="en-SG"/>
        </w:rPr>
      </w:pPr>
      <w:r>
        <w:rPr>
          <w:lang w:val="en-SG"/>
        </w:rPr>
        <w:t xml:space="preserve">After the “Replication Process” completes, the replication process will update the sync status and sync </w:t>
      </w:r>
      <w:proofErr w:type="spellStart"/>
      <w:r>
        <w:rPr>
          <w:lang w:val="en-SG"/>
        </w:rPr>
        <w:t>datetime</w:t>
      </w:r>
      <w:proofErr w:type="spellEnd"/>
      <w:r>
        <w:rPr>
          <w:lang w:val="en-SG"/>
        </w:rPr>
        <w:t>.</w:t>
      </w:r>
    </w:p>
    <w:p w:rsidR="00B13F4C" w:rsidRDefault="00B13F4C" w:rsidP="00B13F4C">
      <w:pPr>
        <w:rPr>
          <w:lang w:val="en-SG"/>
        </w:rPr>
      </w:pPr>
    </w:p>
    <w:p w:rsidR="00A6604F" w:rsidRDefault="00A6604F" w:rsidP="00B13F4C">
      <w:pPr>
        <w:rPr>
          <w:lang w:val="en-SG"/>
        </w:rPr>
      </w:pPr>
      <w:r>
        <w:rPr>
          <w:lang w:val="en-SG"/>
        </w:rPr>
        <w:t>There will be no retry button. If users want to retry, users will need to update the source record and trigger the “Replication Process” again.</w:t>
      </w:r>
    </w:p>
    <w:p w:rsidR="009D4ED5" w:rsidRDefault="009D4ED5" w:rsidP="00B13F4C">
      <w:pPr>
        <w:rPr>
          <w:lang w:val="en-SG"/>
        </w:rPr>
      </w:pPr>
    </w:p>
    <w:p w:rsidR="009D4ED5" w:rsidRDefault="009D4ED5" w:rsidP="00B13F4C">
      <w:pPr>
        <w:rPr>
          <w:lang w:val="en-SG"/>
        </w:rPr>
      </w:pPr>
    </w:p>
    <w:p w:rsidR="009D4ED5" w:rsidRDefault="009D4ED5" w:rsidP="00B13F4C">
      <w:pPr>
        <w:rPr>
          <w:lang w:val="en-SG"/>
        </w:rPr>
      </w:pPr>
    </w:p>
    <w:p w:rsidR="009D4ED5" w:rsidRDefault="009D4ED5" w:rsidP="00B13F4C">
      <w:pPr>
        <w:rPr>
          <w:lang w:val="en-SG"/>
        </w:rPr>
      </w:pPr>
    </w:p>
    <w:p w:rsidR="009D4ED5" w:rsidRDefault="009D4ED5" w:rsidP="00B13F4C">
      <w:pPr>
        <w:rPr>
          <w:lang w:val="en-SG"/>
        </w:rPr>
      </w:pPr>
    </w:p>
    <w:sectPr w:rsidR="009D4ED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3A2" w:rsidRDefault="00E703A2" w:rsidP="004150BB">
      <w:pPr>
        <w:spacing w:after="0" w:line="240" w:lineRule="auto"/>
      </w:pPr>
      <w:r>
        <w:separator/>
      </w:r>
    </w:p>
  </w:endnote>
  <w:endnote w:type="continuationSeparator" w:id="0">
    <w:p w:rsidR="00E703A2" w:rsidRDefault="00E703A2" w:rsidP="00415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0BB" w:rsidRDefault="004150BB">
    <w:pPr>
      <w:pStyle w:val="Footer"/>
      <w:pBdr>
        <w:top w:val="thinThickSmallGap" w:sz="24" w:space="1" w:color="622423" w:themeColor="accent2" w:themeShade="7F"/>
      </w:pBdr>
    </w:pPr>
    <w:r>
      <w:t>ITRG Intercompany Replication – Scope of Work</w:t>
    </w:r>
    <w:r>
      <w:ptab w:relativeTo="margin" w:alignment="right" w:leader="none"/>
    </w:r>
    <w: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EB01E8">
      <w:rPr>
        <w:noProof/>
      </w:rPr>
      <w:t>1</w:t>
    </w:r>
    <w:r>
      <w:rPr>
        <w:noProof/>
      </w:rPr>
      <w:fldChar w:fldCharType="end"/>
    </w:r>
    <w:r>
      <w:rPr>
        <w:noProof/>
      </w:rPr>
      <w:t xml:space="preserve"> </w:t>
    </w:r>
  </w:p>
  <w:p w:rsidR="004150BB" w:rsidRDefault="004150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3A2" w:rsidRDefault="00E703A2" w:rsidP="004150BB">
      <w:pPr>
        <w:spacing w:after="0" w:line="240" w:lineRule="auto"/>
      </w:pPr>
      <w:r>
        <w:separator/>
      </w:r>
    </w:p>
  </w:footnote>
  <w:footnote w:type="continuationSeparator" w:id="0">
    <w:p w:rsidR="00E703A2" w:rsidRDefault="00E703A2" w:rsidP="004150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55AA"/>
    <w:multiLevelType w:val="hybridMultilevel"/>
    <w:tmpl w:val="168EAB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02919FF"/>
    <w:multiLevelType w:val="hybridMultilevel"/>
    <w:tmpl w:val="279A9EE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5B911855"/>
    <w:multiLevelType w:val="hybridMultilevel"/>
    <w:tmpl w:val="1CF8C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C6B3E5B"/>
    <w:multiLevelType w:val="hybridMultilevel"/>
    <w:tmpl w:val="BC242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901FF9"/>
    <w:multiLevelType w:val="hybridMultilevel"/>
    <w:tmpl w:val="AB78A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D0C"/>
    <w:rsid w:val="000103C8"/>
    <w:rsid w:val="00013DDD"/>
    <w:rsid w:val="000152DC"/>
    <w:rsid w:val="00024B21"/>
    <w:rsid w:val="0002599C"/>
    <w:rsid w:val="00025A37"/>
    <w:rsid w:val="000322F4"/>
    <w:rsid w:val="00076280"/>
    <w:rsid w:val="00085EA1"/>
    <w:rsid w:val="00094972"/>
    <w:rsid w:val="000A34CD"/>
    <w:rsid w:val="000A4A8C"/>
    <w:rsid w:val="000C76B4"/>
    <w:rsid w:val="000E3B25"/>
    <w:rsid w:val="00100FF1"/>
    <w:rsid w:val="00103271"/>
    <w:rsid w:val="00104CFF"/>
    <w:rsid w:val="00113E3A"/>
    <w:rsid w:val="00125D05"/>
    <w:rsid w:val="0013707B"/>
    <w:rsid w:val="00146AF2"/>
    <w:rsid w:val="00152730"/>
    <w:rsid w:val="001711F8"/>
    <w:rsid w:val="00172C97"/>
    <w:rsid w:val="001745A2"/>
    <w:rsid w:val="00183808"/>
    <w:rsid w:val="00195532"/>
    <w:rsid w:val="00196671"/>
    <w:rsid w:val="0019785A"/>
    <w:rsid w:val="001979DC"/>
    <w:rsid w:val="001A4D73"/>
    <w:rsid w:val="001A5737"/>
    <w:rsid w:val="001A7FEB"/>
    <w:rsid w:val="001B1B85"/>
    <w:rsid w:val="001B7E2A"/>
    <w:rsid w:val="001C1A2B"/>
    <w:rsid w:val="001C4875"/>
    <w:rsid w:val="001D232C"/>
    <w:rsid w:val="001D3DA7"/>
    <w:rsid w:val="001E0FC9"/>
    <w:rsid w:val="001F1315"/>
    <w:rsid w:val="001F24EA"/>
    <w:rsid w:val="001F7220"/>
    <w:rsid w:val="00200FAA"/>
    <w:rsid w:val="00202873"/>
    <w:rsid w:val="00203B6A"/>
    <w:rsid w:val="002206FF"/>
    <w:rsid w:val="00220E78"/>
    <w:rsid w:val="00225029"/>
    <w:rsid w:val="00230D98"/>
    <w:rsid w:val="00244235"/>
    <w:rsid w:val="002443D9"/>
    <w:rsid w:val="00252A3E"/>
    <w:rsid w:val="002635E2"/>
    <w:rsid w:val="00272ED9"/>
    <w:rsid w:val="002741B4"/>
    <w:rsid w:val="00276755"/>
    <w:rsid w:val="00276F9B"/>
    <w:rsid w:val="00277C7D"/>
    <w:rsid w:val="00281B95"/>
    <w:rsid w:val="002823B4"/>
    <w:rsid w:val="00282D99"/>
    <w:rsid w:val="002835ED"/>
    <w:rsid w:val="00290ECB"/>
    <w:rsid w:val="00296E17"/>
    <w:rsid w:val="002B1E1D"/>
    <w:rsid w:val="002B1EA2"/>
    <w:rsid w:val="002B4283"/>
    <w:rsid w:val="002B6ABF"/>
    <w:rsid w:val="002C0289"/>
    <w:rsid w:val="002C5CD9"/>
    <w:rsid w:val="002F25D1"/>
    <w:rsid w:val="002F3DA4"/>
    <w:rsid w:val="00310280"/>
    <w:rsid w:val="00312206"/>
    <w:rsid w:val="00316454"/>
    <w:rsid w:val="0032055C"/>
    <w:rsid w:val="003219AF"/>
    <w:rsid w:val="00330FD9"/>
    <w:rsid w:val="003329F5"/>
    <w:rsid w:val="003341FE"/>
    <w:rsid w:val="00344436"/>
    <w:rsid w:val="00347A17"/>
    <w:rsid w:val="00352021"/>
    <w:rsid w:val="00353506"/>
    <w:rsid w:val="003565CB"/>
    <w:rsid w:val="003631E9"/>
    <w:rsid w:val="00364F02"/>
    <w:rsid w:val="0037000E"/>
    <w:rsid w:val="003717E1"/>
    <w:rsid w:val="003778B7"/>
    <w:rsid w:val="003921FF"/>
    <w:rsid w:val="00392FC8"/>
    <w:rsid w:val="003975E1"/>
    <w:rsid w:val="003A1739"/>
    <w:rsid w:val="003A4434"/>
    <w:rsid w:val="003A672B"/>
    <w:rsid w:val="003B1A64"/>
    <w:rsid w:val="003B4CDC"/>
    <w:rsid w:val="003B77CA"/>
    <w:rsid w:val="003C282C"/>
    <w:rsid w:val="003C417A"/>
    <w:rsid w:val="003D19E8"/>
    <w:rsid w:val="003D289E"/>
    <w:rsid w:val="003D7921"/>
    <w:rsid w:val="003E0860"/>
    <w:rsid w:val="003E3D7B"/>
    <w:rsid w:val="003E60BB"/>
    <w:rsid w:val="003E69CB"/>
    <w:rsid w:val="003F62C0"/>
    <w:rsid w:val="00407BBD"/>
    <w:rsid w:val="004150BB"/>
    <w:rsid w:val="004155B5"/>
    <w:rsid w:val="00415DAF"/>
    <w:rsid w:val="004339A8"/>
    <w:rsid w:val="0043509B"/>
    <w:rsid w:val="004416FD"/>
    <w:rsid w:val="00442ED4"/>
    <w:rsid w:val="00456DAA"/>
    <w:rsid w:val="00462017"/>
    <w:rsid w:val="004631D2"/>
    <w:rsid w:val="004678BE"/>
    <w:rsid w:val="00470F81"/>
    <w:rsid w:val="00481339"/>
    <w:rsid w:val="0048753C"/>
    <w:rsid w:val="004904E7"/>
    <w:rsid w:val="004A12E6"/>
    <w:rsid w:val="004A13F0"/>
    <w:rsid w:val="004C7B77"/>
    <w:rsid w:val="00503FBB"/>
    <w:rsid w:val="00511F49"/>
    <w:rsid w:val="00522FE9"/>
    <w:rsid w:val="00530A92"/>
    <w:rsid w:val="0053372B"/>
    <w:rsid w:val="00540D9E"/>
    <w:rsid w:val="00544E69"/>
    <w:rsid w:val="00550617"/>
    <w:rsid w:val="005531D8"/>
    <w:rsid w:val="005742AD"/>
    <w:rsid w:val="00577391"/>
    <w:rsid w:val="005959A4"/>
    <w:rsid w:val="005C3A62"/>
    <w:rsid w:val="005C637E"/>
    <w:rsid w:val="005D066A"/>
    <w:rsid w:val="005E3486"/>
    <w:rsid w:val="005E55A5"/>
    <w:rsid w:val="005F060C"/>
    <w:rsid w:val="005F0B98"/>
    <w:rsid w:val="005F6F62"/>
    <w:rsid w:val="00605CAA"/>
    <w:rsid w:val="0061406E"/>
    <w:rsid w:val="00614618"/>
    <w:rsid w:val="00620435"/>
    <w:rsid w:val="00621731"/>
    <w:rsid w:val="006224EC"/>
    <w:rsid w:val="00624B2F"/>
    <w:rsid w:val="00633325"/>
    <w:rsid w:val="00636045"/>
    <w:rsid w:val="00645B2D"/>
    <w:rsid w:val="00653533"/>
    <w:rsid w:val="00653FDB"/>
    <w:rsid w:val="00663FBC"/>
    <w:rsid w:val="00672EB7"/>
    <w:rsid w:val="0067344D"/>
    <w:rsid w:val="00674004"/>
    <w:rsid w:val="00687A68"/>
    <w:rsid w:val="00690122"/>
    <w:rsid w:val="0069287F"/>
    <w:rsid w:val="006A0301"/>
    <w:rsid w:val="006C0F0B"/>
    <w:rsid w:val="006C2252"/>
    <w:rsid w:val="006D272E"/>
    <w:rsid w:val="00700D7F"/>
    <w:rsid w:val="007046B5"/>
    <w:rsid w:val="00704787"/>
    <w:rsid w:val="007062FB"/>
    <w:rsid w:val="007112BA"/>
    <w:rsid w:val="00726C6F"/>
    <w:rsid w:val="00727B3E"/>
    <w:rsid w:val="00730025"/>
    <w:rsid w:val="00741595"/>
    <w:rsid w:val="007552E7"/>
    <w:rsid w:val="007554DE"/>
    <w:rsid w:val="00760043"/>
    <w:rsid w:val="0076365E"/>
    <w:rsid w:val="007A2D7B"/>
    <w:rsid w:val="007A4392"/>
    <w:rsid w:val="007B033B"/>
    <w:rsid w:val="007B1A6D"/>
    <w:rsid w:val="007E5DD4"/>
    <w:rsid w:val="007E7C8A"/>
    <w:rsid w:val="007F03B2"/>
    <w:rsid w:val="007F24B4"/>
    <w:rsid w:val="007F4EB9"/>
    <w:rsid w:val="0080348C"/>
    <w:rsid w:val="00806399"/>
    <w:rsid w:val="00820DE1"/>
    <w:rsid w:val="00823E9D"/>
    <w:rsid w:val="00824A4E"/>
    <w:rsid w:val="00827CE4"/>
    <w:rsid w:val="00850DE8"/>
    <w:rsid w:val="00861A91"/>
    <w:rsid w:val="00861A9D"/>
    <w:rsid w:val="00876613"/>
    <w:rsid w:val="00877EB1"/>
    <w:rsid w:val="008920A5"/>
    <w:rsid w:val="008935C7"/>
    <w:rsid w:val="00893F1D"/>
    <w:rsid w:val="008A3214"/>
    <w:rsid w:val="008A7F86"/>
    <w:rsid w:val="008C60DC"/>
    <w:rsid w:val="008C6BBB"/>
    <w:rsid w:val="008D0A39"/>
    <w:rsid w:val="008D344B"/>
    <w:rsid w:val="008D7C8C"/>
    <w:rsid w:val="008E5D46"/>
    <w:rsid w:val="008F6500"/>
    <w:rsid w:val="00904BFA"/>
    <w:rsid w:val="00911E54"/>
    <w:rsid w:val="00915DF9"/>
    <w:rsid w:val="00923314"/>
    <w:rsid w:val="00923595"/>
    <w:rsid w:val="00927B39"/>
    <w:rsid w:val="00931385"/>
    <w:rsid w:val="00937FD8"/>
    <w:rsid w:val="009415C9"/>
    <w:rsid w:val="00944550"/>
    <w:rsid w:val="00945A00"/>
    <w:rsid w:val="009559E1"/>
    <w:rsid w:val="0095700F"/>
    <w:rsid w:val="00961376"/>
    <w:rsid w:val="009645B7"/>
    <w:rsid w:val="00966DE2"/>
    <w:rsid w:val="009723F1"/>
    <w:rsid w:val="00976671"/>
    <w:rsid w:val="0097723E"/>
    <w:rsid w:val="009774BD"/>
    <w:rsid w:val="00977FF9"/>
    <w:rsid w:val="0098292E"/>
    <w:rsid w:val="00990BB0"/>
    <w:rsid w:val="009951FC"/>
    <w:rsid w:val="009976ED"/>
    <w:rsid w:val="009A408F"/>
    <w:rsid w:val="009A46E7"/>
    <w:rsid w:val="009B08C4"/>
    <w:rsid w:val="009B1307"/>
    <w:rsid w:val="009B71DC"/>
    <w:rsid w:val="009C4D04"/>
    <w:rsid w:val="009C604B"/>
    <w:rsid w:val="009D0936"/>
    <w:rsid w:val="009D0E9D"/>
    <w:rsid w:val="009D1C27"/>
    <w:rsid w:val="009D4ED5"/>
    <w:rsid w:val="009E6829"/>
    <w:rsid w:val="009F2842"/>
    <w:rsid w:val="009F42A8"/>
    <w:rsid w:val="00A1094C"/>
    <w:rsid w:val="00A1192D"/>
    <w:rsid w:val="00A30D72"/>
    <w:rsid w:val="00A501F9"/>
    <w:rsid w:val="00A53F5E"/>
    <w:rsid w:val="00A623BD"/>
    <w:rsid w:val="00A62C85"/>
    <w:rsid w:val="00A63D02"/>
    <w:rsid w:val="00A64509"/>
    <w:rsid w:val="00A6555F"/>
    <w:rsid w:val="00A65DFE"/>
    <w:rsid w:val="00A6604F"/>
    <w:rsid w:val="00A720C4"/>
    <w:rsid w:val="00A803A2"/>
    <w:rsid w:val="00A83072"/>
    <w:rsid w:val="00A83343"/>
    <w:rsid w:val="00A835E4"/>
    <w:rsid w:val="00A9091D"/>
    <w:rsid w:val="00A909FE"/>
    <w:rsid w:val="00A94D06"/>
    <w:rsid w:val="00AA1A53"/>
    <w:rsid w:val="00AA6E33"/>
    <w:rsid w:val="00AA701A"/>
    <w:rsid w:val="00AA787C"/>
    <w:rsid w:val="00AB3F51"/>
    <w:rsid w:val="00AD3D0C"/>
    <w:rsid w:val="00AD4BD2"/>
    <w:rsid w:val="00AD5B43"/>
    <w:rsid w:val="00AE3E5B"/>
    <w:rsid w:val="00AE7621"/>
    <w:rsid w:val="00AE7A72"/>
    <w:rsid w:val="00AF3A56"/>
    <w:rsid w:val="00B12667"/>
    <w:rsid w:val="00B13F4C"/>
    <w:rsid w:val="00B14340"/>
    <w:rsid w:val="00B27C45"/>
    <w:rsid w:val="00B37E7F"/>
    <w:rsid w:val="00B409AF"/>
    <w:rsid w:val="00B40F91"/>
    <w:rsid w:val="00B523FC"/>
    <w:rsid w:val="00B526BD"/>
    <w:rsid w:val="00B548D7"/>
    <w:rsid w:val="00B54B01"/>
    <w:rsid w:val="00B62B8A"/>
    <w:rsid w:val="00B73021"/>
    <w:rsid w:val="00B9004F"/>
    <w:rsid w:val="00B90AD2"/>
    <w:rsid w:val="00B9539F"/>
    <w:rsid w:val="00BA553E"/>
    <w:rsid w:val="00BC1ACB"/>
    <w:rsid w:val="00BC467C"/>
    <w:rsid w:val="00BD2CA9"/>
    <w:rsid w:val="00BE701A"/>
    <w:rsid w:val="00C02FF4"/>
    <w:rsid w:val="00C0772E"/>
    <w:rsid w:val="00C14643"/>
    <w:rsid w:val="00C30CDF"/>
    <w:rsid w:val="00C31469"/>
    <w:rsid w:val="00C34416"/>
    <w:rsid w:val="00C368BB"/>
    <w:rsid w:val="00C3723C"/>
    <w:rsid w:val="00C4094F"/>
    <w:rsid w:val="00C45D60"/>
    <w:rsid w:val="00C46E73"/>
    <w:rsid w:val="00C51C06"/>
    <w:rsid w:val="00C51F08"/>
    <w:rsid w:val="00C6131A"/>
    <w:rsid w:val="00C613F6"/>
    <w:rsid w:val="00C63AF2"/>
    <w:rsid w:val="00C65E3D"/>
    <w:rsid w:val="00C67A74"/>
    <w:rsid w:val="00C865EC"/>
    <w:rsid w:val="00C96213"/>
    <w:rsid w:val="00C9648E"/>
    <w:rsid w:val="00CA0B12"/>
    <w:rsid w:val="00CA11D0"/>
    <w:rsid w:val="00CB5FDA"/>
    <w:rsid w:val="00CC1D2C"/>
    <w:rsid w:val="00CC25E1"/>
    <w:rsid w:val="00CC6654"/>
    <w:rsid w:val="00CC76D6"/>
    <w:rsid w:val="00CE3306"/>
    <w:rsid w:val="00CF099F"/>
    <w:rsid w:val="00CF12A6"/>
    <w:rsid w:val="00CF76B5"/>
    <w:rsid w:val="00D060F3"/>
    <w:rsid w:val="00D51171"/>
    <w:rsid w:val="00D56200"/>
    <w:rsid w:val="00D634F5"/>
    <w:rsid w:val="00D64DFE"/>
    <w:rsid w:val="00D66430"/>
    <w:rsid w:val="00D66764"/>
    <w:rsid w:val="00D66FE0"/>
    <w:rsid w:val="00D7273C"/>
    <w:rsid w:val="00D81757"/>
    <w:rsid w:val="00D8470D"/>
    <w:rsid w:val="00D85054"/>
    <w:rsid w:val="00D8749C"/>
    <w:rsid w:val="00DA2627"/>
    <w:rsid w:val="00DC38B5"/>
    <w:rsid w:val="00DC6D84"/>
    <w:rsid w:val="00DD0C3D"/>
    <w:rsid w:val="00DD78DB"/>
    <w:rsid w:val="00DE5D1A"/>
    <w:rsid w:val="00E00F36"/>
    <w:rsid w:val="00E042C4"/>
    <w:rsid w:val="00E0492F"/>
    <w:rsid w:val="00E06919"/>
    <w:rsid w:val="00E06B4C"/>
    <w:rsid w:val="00E24EF9"/>
    <w:rsid w:val="00E34D35"/>
    <w:rsid w:val="00E35B69"/>
    <w:rsid w:val="00E36DC6"/>
    <w:rsid w:val="00E37076"/>
    <w:rsid w:val="00E4315A"/>
    <w:rsid w:val="00E44455"/>
    <w:rsid w:val="00E46FE0"/>
    <w:rsid w:val="00E64EFE"/>
    <w:rsid w:val="00E65410"/>
    <w:rsid w:val="00E703A2"/>
    <w:rsid w:val="00E713F8"/>
    <w:rsid w:val="00E7196A"/>
    <w:rsid w:val="00E741AF"/>
    <w:rsid w:val="00E76840"/>
    <w:rsid w:val="00E775DD"/>
    <w:rsid w:val="00E836DD"/>
    <w:rsid w:val="00E91F20"/>
    <w:rsid w:val="00EA45C9"/>
    <w:rsid w:val="00EB01E8"/>
    <w:rsid w:val="00EC2229"/>
    <w:rsid w:val="00EC7DCD"/>
    <w:rsid w:val="00ED2EDB"/>
    <w:rsid w:val="00EE74B9"/>
    <w:rsid w:val="00EF5C83"/>
    <w:rsid w:val="00F02D02"/>
    <w:rsid w:val="00F07892"/>
    <w:rsid w:val="00F128AD"/>
    <w:rsid w:val="00F16398"/>
    <w:rsid w:val="00F24591"/>
    <w:rsid w:val="00F278B0"/>
    <w:rsid w:val="00F314A7"/>
    <w:rsid w:val="00F34996"/>
    <w:rsid w:val="00F46C43"/>
    <w:rsid w:val="00F50DB8"/>
    <w:rsid w:val="00F539E7"/>
    <w:rsid w:val="00F5476B"/>
    <w:rsid w:val="00F56A84"/>
    <w:rsid w:val="00F63F61"/>
    <w:rsid w:val="00F725B6"/>
    <w:rsid w:val="00F72B38"/>
    <w:rsid w:val="00F82C86"/>
    <w:rsid w:val="00F90DBE"/>
    <w:rsid w:val="00F966D2"/>
    <w:rsid w:val="00F97508"/>
    <w:rsid w:val="00FA2F91"/>
    <w:rsid w:val="00FB3696"/>
    <w:rsid w:val="00FC1440"/>
    <w:rsid w:val="00FC629A"/>
    <w:rsid w:val="00FC67BB"/>
    <w:rsid w:val="00FD1ED9"/>
    <w:rsid w:val="00FD4271"/>
    <w:rsid w:val="00FD4289"/>
    <w:rsid w:val="00FE0394"/>
    <w:rsid w:val="00FE0BD4"/>
    <w:rsid w:val="00FE30F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GB"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D0C"/>
  </w:style>
  <w:style w:type="paragraph" w:styleId="Heading1">
    <w:name w:val="heading 1"/>
    <w:basedOn w:val="Normal"/>
    <w:next w:val="Normal"/>
    <w:link w:val="Heading1Char"/>
    <w:uiPriority w:val="9"/>
    <w:qFormat/>
    <w:rsid w:val="00AD3D0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AD3D0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AD3D0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AD3D0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AD3D0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AD3D0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AD3D0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AD3D0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D3D0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D0C"/>
    <w:rPr>
      <w:caps/>
      <w:color w:val="632423" w:themeColor="accent2" w:themeShade="80"/>
      <w:spacing w:val="20"/>
      <w:sz w:val="28"/>
      <w:szCs w:val="28"/>
    </w:rPr>
  </w:style>
  <w:style w:type="paragraph" w:styleId="Title">
    <w:name w:val="Title"/>
    <w:basedOn w:val="Normal"/>
    <w:next w:val="Normal"/>
    <w:link w:val="TitleChar"/>
    <w:uiPriority w:val="10"/>
    <w:qFormat/>
    <w:rsid w:val="00AD3D0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AD3D0C"/>
    <w:rPr>
      <w:caps/>
      <w:color w:val="632423" w:themeColor="accent2" w:themeShade="80"/>
      <w:spacing w:val="50"/>
      <w:sz w:val="44"/>
      <w:szCs w:val="44"/>
    </w:rPr>
  </w:style>
  <w:style w:type="paragraph" w:styleId="Subtitle">
    <w:name w:val="Subtitle"/>
    <w:basedOn w:val="Normal"/>
    <w:next w:val="Normal"/>
    <w:link w:val="SubtitleChar"/>
    <w:uiPriority w:val="11"/>
    <w:qFormat/>
    <w:rsid w:val="00AD3D0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D3D0C"/>
    <w:rPr>
      <w:caps/>
      <w:spacing w:val="20"/>
      <w:sz w:val="18"/>
      <w:szCs w:val="18"/>
    </w:rPr>
  </w:style>
  <w:style w:type="character" w:styleId="SubtleEmphasis">
    <w:name w:val="Subtle Emphasis"/>
    <w:uiPriority w:val="19"/>
    <w:qFormat/>
    <w:rsid w:val="00AD3D0C"/>
    <w:rPr>
      <w:i/>
      <w:iCs/>
    </w:rPr>
  </w:style>
  <w:style w:type="character" w:customStyle="1" w:styleId="Heading2Char">
    <w:name w:val="Heading 2 Char"/>
    <w:basedOn w:val="DefaultParagraphFont"/>
    <w:link w:val="Heading2"/>
    <w:uiPriority w:val="9"/>
    <w:semiHidden/>
    <w:rsid w:val="00AD3D0C"/>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AD3D0C"/>
    <w:rPr>
      <w:caps/>
      <w:color w:val="622423" w:themeColor="accent2" w:themeShade="7F"/>
      <w:sz w:val="24"/>
      <w:szCs w:val="24"/>
    </w:rPr>
  </w:style>
  <w:style w:type="character" w:customStyle="1" w:styleId="Heading4Char">
    <w:name w:val="Heading 4 Char"/>
    <w:basedOn w:val="DefaultParagraphFont"/>
    <w:link w:val="Heading4"/>
    <w:uiPriority w:val="9"/>
    <w:semiHidden/>
    <w:rsid w:val="00AD3D0C"/>
    <w:rPr>
      <w:caps/>
      <w:color w:val="622423" w:themeColor="accent2" w:themeShade="7F"/>
      <w:spacing w:val="10"/>
    </w:rPr>
  </w:style>
  <w:style w:type="character" w:customStyle="1" w:styleId="Heading5Char">
    <w:name w:val="Heading 5 Char"/>
    <w:basedOn w:val="DefaultParagraphFont"/>
    <w:link w:val="Heading5"/>
    <w:uiPriority w:val="9"/>
    <w:semiHidden/>
    <w:rsid w:val="00AD3D0C"/>
    <w:rPr>
      <w:caps/>
      <w:color w:val="622423" w:themeColor="accent2" w:themeShade="7F"/>
      <w:spacing w:val="10"/>
    </w:rPr>
  </w:style>
  <w:style w:type="character" w:customStyle="1" w:styleId="Heading6Char">
    <w:name w:val="Heading 6 Char"/>
    <w:basedOn w:val="DefaultParagraphFont"/>
    <w:link w:val="Heading6"/>
    <w:uiPriority w:val="9"/>
    <w:semiHidden/>
    <w:rsid w:val="00AD3D0C"/>
    <w:rPr>
      <w:caps/>
      <w:color w:val="943634" w:themeColor="accent2" w:themeShade="BF"/>
      <w:spacing w:val="10"/>
    </w:rPr>
  </w:style>
  <w:style w:type="character" w:customStyle="1" w:styleId="Heading7Char">
    <w:name w:val="Heading 7 Char"/>
    <w:basedOn w:val="DefaultParagraphFont"/>
    <w:link w:val="Heading7"/>
    <w:uiPriority w:val="9"/>
    <w:semiHidden/>
    <w:rsid w:val="00AD3D0C"/>
    <w:rPr>
      <w:i/>
      <w:iCs/>
      <w:caps/>
      <w:color w:val="943634" w:themeColor="accent2" w:themeShade="BF"/>
      <w:spacing w:val="10"/>
    </w:rPr>
  </w:style>
  <w:style w:type="character" w:customStyle="1" w:styleId="Heading8Char">
    <w:name w:val="Heading 8 Char"/>
    <w:basedOn w:val="DefaultParagraphFont"/>
    <w:link w:val="Heading8"/>
    <w:uiPriority w:val="9"/>
    <w:semiHidden/>
    <w:rsid w:val="00AD3D0C"/>
    <w:rPr>
      <w:caps/>
      <w:spacing w:val="10"/>
      <w:sz w:val="20"/>
      <w:szCs w:val="20"/>
    </w:rPr>
  </w:style>
  <w:style w:type="character" w:customStyle="1" w:styleId="Heading9Char">
    <w:name w:val="Heading 9 Char"/>
    <w:basedOn w:val="DefaultParagraphFont"/>
    <w:link w:val="Heading9"/>
    <w:uiPriority w:val="9"/>
    <w:semiHidden/>
    <w:rsid w:val="00AD3D0C"/>
    <w:rPr>
      <w:i/>
      <w:iCs/>
      <w:caps/>
      <w:spacing w:val="10"/>
      <w:sz w:val="20"/>
      <w:szCs w:val="20"/>
    </w:rPr>
  </w:style>
  <w:style w:type="paragraph" w:styleId="Caption">
    <w:name w:val="caption"/>
    <w:basedOn w:val="Normal"/>
    <w:next w:val="Normal"/>
    <w:uiPriority w:val="35"/>
    <w:semiHidden/>
    <w:unhideWhenUsed/>
    <w:qFormat/>
    <w:rsid w:val="00AD3D0C"/>
    <w:rPr>
      <w:caps/>
      <w:spacing w:val="10"/>
      <w:sz w:val="18"/>
      <w:szCs w:val="18"/>
    </w:rPr>
  </w:style>
  <w:style w:type="character" w:styleId="Strong">
    <w:name w:val="Strong"/>
    <w:uiPriority w:val="22"/>
    <w:qFormat/>
    <w:rsid w:val="00AD3D0C"/>
    <w:rPr>
      <w:b/>
      <w:bCs/>
      <w:color w:val="943634" w:themeColor="accent2" w:themeShade="BF"/>
      <w:spacing w:val="5"/>
    </w:rPr>
  </w:style>
  <w:style w:type="character" w:styleId="Emphasis">
    <w:name w:val="Emphasis"/>
    <w:uiPriority w:val="20"/>
    <w:qFormat/>
    <w:rsid w:val="00AD3D0C"/>
    <w:rPr>
      <w:caps/>
      <w:spacing w:val="5"/>
      <w:sz w:val="20"/>
      <w:szCs w:val="20"/>
    </w:rPr>
  </w:style>
  <w:style w:type="paragraph" w:styleId="NoSpacing">
    <w:name w:val="No Spacing"/>
    <w:basedOn w:val="Normal"/>
    <w:link w:val="NoSpacingChar"/>
    <w:uiPriority w:val="1"/>
    <w:qFormat/>
    <w:rsid w:val="00AD3D0C"/>
    <w:pPr>
      <w:spacing w:after="0" w:line="240" w:lineRule="auto"/>
    </w:pPr>
  </w:style>
  <w:style w:type="character" w:customStyle="1" w:styleId="NoSpacingChar">
    <w:name w:val="No Spacing Char"/>
    <w:basedOn w:val="DefaultParagraphFont"/>
    <w:link w:val="NoSpacing"/>
    <w:uiPriority w:val="1"/>
    <w:rsid w:val="00AD3D0C"/>
  </w:style>
  <w:style w:type="paragraph" w:styleId="ListParagraph">
    <w:name w:val="List Paragraph"/>
    <w:basedOn w:val="Normal"/>
    <w:uiPriority w:val="34"/>
    <w:qFormat/>
    <w:rsid w:val="00AD3D0C"/>
    <w:pPr>
      <w:ind w:left="720"/>
      <w:contextualSpacing/>
    </w:pPr>
  </w:style>
  <w:style w:type="paragraph" w:styleId="Quote">
    <w:name w:val="Quote"/>
    <w:basedOn w:val="Normal"/>
    <w:next w:val="Normal"/>
    <w:link w:val="QuoteChar"/>
    <w:uiPriority w:val="29"/>
    <w:qFormat/>
    <w:rsid w:val="00AD3D0C"/>
    <w:rPr>
      <w:i/>
      <w:iCs/>
    </w:rPr>
  </w:style>
  <w:style w:type="character" w:customStyle="1" w:styleId="QuoteChar">
    <w:name w:val="Quote Char"/>
    <w:basedOn w:val="DefaultParagraphFont"/>
    <w:link w:val="Quote"/>
    <w:uiPriority w:val="29"/>
    <w:rsid w:val="00AD3D0C"/>
    <w:rPr>
      <w:i/>
      <w:iCs/>
    </w:rPr>
  </w:style>
  <w:style w:type="paragraph" w:styleId="IntenseQuote">
    <w:name w:val="Intense Quote"/>
    <w:basedOn w:val="Normal"/>
    <w:next w:val="Normal"/>
    <w:link w:val="IntenseQuoteChar"/>
    <w:uiPriority w:val="30"/>
    <w:qFormat/>
    <w:rsid w:val="00AD3D0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AD3D0C"/>
    <w:rPr>
      <w:caps/>
      <w:color w:val="622423" w:themeColor="accent2" w:themeShade="7F"/>
      <w:spacing w:val="5"/>
      <w:sz w:val="20"/>
      <w:szCs w:val="20"/>
    </w:rPr>
  </w:style>
  <w:style w:type="character" w:styleId="IntenseEmphasis">
    <w:name w:val="Intense Emphasis"/>
    <w:uiPriority w:val="21"/>
    <w:qFormat/>
    <w:rsid w:val="00AD3D0C"/>
    <w:rPr>
      <w:i/>
      <w:iCs/>
      <w:caps/>
      <w:spacing w:val="10"/>
      <w:sz w:val="20"/>
      <w:szCs w:val="20"/>
    </w:rPr>
  </w:style>
  <w:style w:type="character" w:styleId="SubtleReference">
    <w:name w:val="Subtle Reference"/>
    <w:basedOn w:val="DefaultParagraphFont"/>
    <w:uiPriority w:val="31"/>
    <w:qFormat/>
    <w:rsid w:val="00AD3D0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AD3D0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AD3D0C"/>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AD3D0C"/>
    <w:pPr>
      <w:outlineLvl w:val="9"/>
    </w:pPr>
    <w:rPr>
      <w:lang w:bidi="en-US"/>
    </w:rPr>
  </w:style>
  <w:style w:type="paragraph" w:styleId="NormalWeb">
    <w:name w:val="Normal (Web)"/>
    <w:basedOn w:val="Normal"/>
    <w:uiPriority w:val="99"/>
    <w:unhideWhenUsed/>
    <w:rsid w:val="00A6555F"/>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styleId="BalloonText">
    <w:name w:val="Balloon Text"/>
    <w:basedOn w:val="Normal"/>
    <w:link w:val="BalloonTextChar"/>
    <w:uiPriority w:val="99"/>
    <w:semiHidden/>
    <w:unhideWhenUsed/>
    <w:rsid w:val="00E44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455"/>
    <w:rPr>
      <w:rFonts w:ascii="Tahoma" w:hAnsi="Tahoma" w:cs="Tahoma"/>
      <w:sz w:val="16"/>
      <w:szCs w:val="16"/>
    </w:rPr>
  </w:style>
  <w:style w:type="table" w:styleId="TableGrid">
    <w:name w:val="Table Grid"/>
    <w:basedOn w:val="TableNormal"/>
    <w:uiPriority w:val="59"/>
    <w:rsid w:val="00C61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C613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415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0BB"/>
  </w:style>
  <w:style w:type="paragraph" w:styleId="Footer">
    <w:name w:val="footer"/>
    <w:basedOn w:val="Normal"/>
    <w:link w:val="FooterChar"/>
    <w:uiPriority w:val="99"/>
    <w:unhideWhenUsed/>
    <w:rsid w:val="00415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0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D0C"/>
  </w:style>
  <w:style w:type="paragraph" w:styleId="Heading1">
    <w:name w:val="heading 1"/>
    <w:basedOn w:val="Normal"/>
    <w:next w:val="Normal"/>
    <w:link w:val="Heading1Char"/>
    <w:uiPriority w:val="9"/>
    <w:qFormat/>
    <w:rsid w:val="00AD3D0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AD3D0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AD3D0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AD3D0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AD3D0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AD3D0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AD3D0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AD3D0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D3D0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D0C"/>
    <w:rPr>
      <w:caps/>
      <w:color w:val="632423" w:themeColor="accent2" w:themeShade="80"/>
      <w:spacing w:val="20"/>
      <w:sz w:val="28"/>
      <w:szCs w:val="28"/>
    </w:rPr>
  </w:style>
  <w:style w:type="paragraph" w:styleId="Title">
    <w:name w:val="Title"/>
    <w:basedOn w:val="Normal"/>
    <w:next w:val="Normal"/>
    <w:link w:val="TitleChar"/>
    <w:uiPriority w:val="10"/>
    <w:qFormat/>
    <w:rsid w:val="00AD3D0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AD3D0C"/>
    <w:rPr>
      <w:caps/>
      <w:color w:val="632423" w:themeColor="accent2" w:themeShade="80"/>
      <w:spacing w:val="50"/>
      <w:sz w:val="44"/>
      <w:szCs w:val="44"/>
    </w:rPr>
  </w:style>
  <w:style w:type="paragraph" w:styleId="Subtitle">
    <w:name w:val="Subtitle"/>
    <w:basedOn w:val="Normal"/>
    <w:next w:val="Normal"/>
    <w:link w:val="SubtitleChar"/>
    <w:uiPriority w:val="11"/>
    <w:qFormat/>
    <w:rsid w:val="00AD3D0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D3D0C"/>
    <w:rPr>
      <w:caps/>
      <w:spacing w:val="20"/>
      <w:sz w:val="18"/>
      <w:szCs w:val="18"/>
    </w:rPr>
  </w:style>
  <w:style w:type="character" w:styleId="SubtleEmphasis">
    <w:name w:val="Subtle Emphasis"/>
    <w:uiPriority w:val="19"/>
    <w:qFormat/>
    <w:rsid w:val="00AD3D0C"/>
    <w:rPr>
      <w:i/>
      <w:iCs/>
    </w:rPr>
  </w:style>
  <w:style w:type="character" w:customStyle="1" w:styleId="Heading2Char">
    <w:name w:val="Heading 2 Char"/>
    <w:basedOn w:val="DefaultParagraphFont"/>
    <w:link w:val="Heading2"/>
    <w:uiPriority w:val="9"/>
    <w:semiHidden/>
    <w:rsid w:val="00AD3D0C"/>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AD3D0C"/>
    <w:rPr>
      <w:caps/>
      <w:color w:val="622423" w:themeColor="accent2" w:themeShade="7F"/>
      <w:sz w:val="24"/>
      <w:szCs w:val="24"/>
    </w:rPr>
  </w:style>
  <w:style w:type="character" w:customStyle="1" w:styleId="Heading4Char">
    <w:name w:val="Heading 4 Char"/>
    <w:basedOn w:val="DefaultParagraphFont"/>
    <w:link w:val="Heading4"/>
    <w:uiPriority w:val="9"/>
    <w:semiHidden/>
    <w:rsid w:val="00AD3D0C"/>
    <w:rPr>
      <w:caps/>
      <w:color w:val="622423" w:themeColor="accent2" w:themeShade="7F"/>
      <w:spacing w:val="10"/>
    </w:rPr>
  </w:style>
  <w:style w:type="character" w:customStyle="1" w:styleId="Heading5Char">
    <w:name w:val="Heading 5 Char"/>
    <w:basedOn w:val="DefaultParagraphFont"/>
    <w:link w:val="Heading5"/>
    <w:uiPriority w:val="9"/>
    <w:semiHidden/>
    <w:rsid w:val="00AD3D0C"/>
    <w:rPr>
      <w:caps/>
      <w:color w:val="622423" w:themeColor="accent2" w:themeShade="7F"/>
      <w:spacing w:val="10"/>
    </w:rPr>
  </w:style>
  <w:style w:type="character" w:customStyle="1" w:styleId="Heading6Char">
    <w:name w:val="Heading 6 Char"/>
    <w:basedOn w:val="DefaultParagraphFont"/>
    <w:link w:val="Heading6"/>
    <w:uiPriority w:val="9"/>
    <w:semiHidden/>
    <w:rsid w:val="00AD3D0C"/>
    <w:rPr>
      <w:caps/>
      <w:color w:val="943634" w:themeColor="accent2" w:themeShade="BF"/>
      <w:spacing w:val="10"/>
    </w:rPr>
  </w:style>
  <w:style w:type="character" w:customStyle="1" w:styleId="Heading7Char">
    <w:name w:val="Heading 7 Char"/>
    <w:basedOn w:val="DefaultParagraphFont"/>
    <w:link w:val="Heading7"/>
    <w:uiPriority w:val="9"/>
    <w:semiHidden/>
    <w:rsid w:val="00AD3D0C"/>
    <w:rPr>
      <w:i/>
      <w:iCs/>
      <w:caps/>
      <w:color w:val="943634" w:themeColor="accent2" w:themeShade="BF"/>
      <w:spacing w:val="10"/>
    </w:rPr>
  </w:style>
  <w:style w:type="character" w:customStyle="1" w:styleId="Heading8Char">
    <w:name w:val="Heading 8 Char"/>
    <w:basedOn w:val="DefaultParagraphFont"/>
    <w:link w:val="Heading8"/>
    <w:uiPriority w:val="9"/>
    <w:semiHidden/>
    <w:rsid w:val="00AD3D0C"/>
    <w:rPr>
      <w:caps/>
      <w:spacing w:val="10"/>
      <w:sz w:val="20"/>
      <w:szCs w:val="20"/>
    </w:rPr>
  </w:style>
  <w:style w:type="character" w:customStyle="1" w:styleId="Heading9Char">
    <w:name w:val="Heading 9 Char"/>
    <w:basedOn w:val="DefaultParagraphFont"/>
    <w:link w:val="Heading9"/>
    <w:uiPriority w:val="9"/>
    <w:semiHidden/>
    <w:rsid w:val="00AD3D0C"/>
    <w:rPr>
      <w:i/>
      <w:iCs/>
      <w:caps/>
      <w:spacing w:val="10"/>
      <w:sz w:val="20"/>
      <w:szCs w:val="20"/>
    </w:rPr>
  </w:style>
  <w:style w:type="paragraph" w:styleId="Caption">
    <w:name w:val="caption"/>
    <w:basedOn w:val="Normal"/>
    <w:next w:val="Normal"/>
    <w:uiPriority w:val="35"/>
    <w:semiHidden/>
    <w:unhideWhenUsed/>
    <w:qFormat/>
    <w:rsid w:val="00AD3D0C"/>
    <w:rPr>
      <w:caps/>
      <w:spacing w:val="10"/>
      <w:sz w:val="18"/>
      <w:szCs w:val="18"/>
    </w:rPr>
  </w:style>
  <w:style w:type="character" w:styleId="Strong">
    <w:name w:val="Strong"/>
    <w:uiPriority w:val="22"/>
    <w:qFormat/>
    <w:rsid w:val="00AD3D0C"/>
    <w:rPr>
      <w:b/>
      <w:bCs/>
      <w:color w:val="943634" w:themeColor="accent2" w:themeShade="BF"/>
      <w:spacing w:val="5"/>
    </w:rPr>
  </w:style>
  <w:style w:type="character" w:styleId="Emphasis">
    <w:name w:val="Emphasis"/>
    <w:uiPriority w:val="20"/>
    <w:qFormat/>
    <w:rsid w:val="00AD3D0C"/>
    <w:rPr>
      <w:caps/>
      <w:spacing w:val="5"/>
      <w:sz w:val="20"/>
      <w:szCs w:val="20"/>
    </w:rPr>
  </w:style>
  <w:style w:type="paragraph" w:styleId="NoSpacing">
    <w:name w:val="No Spacing"/>
    <w:basedOn w:val="Normal"/>
    <w:link w:val="NoSpacingChar"/>
    <w:uiPriority w:val="1"/>
    <w:qFormat/>
    <w:rsid w:val="00AD3D0C"/>
    <w:pPr>
      <w:spacing w:after="0" w:line="240" w:lineRule="auto"/>
    </w:pPr>
  </w:style>
  <w:style w:type="character" w:customStyle="1" w:styleId="NoSpacingChar">
    <w:name w:val="No Spacing Char"/>
    <w:basedOn w:val="DefaultParagraphFont"/>
    <w:link w:val="NoSpacing"/>
    <w:uiPriority w:val="1"/>
    <w:rsid w:val="00AD3D0C"/>
  </w:style>
  <w:style w:type="paragraph" w:styleId="ListParagraph">
    <w:name w:val="List Paragraph"/>
    <w:basedOn w:val="Normal"/>
    <w:uiPriority w:val="34"/>
    <w:qFormat/>
    <w:rsid w:val="00AD3D0C"/>
    <w:pPr>
      <w:ind w:left="720"/>
      <w:contextualSpacing/>
    </w:pPr>
  </w:style>
  <w:style w:type="paragraph" w:styleId="Quote">
    <w:name w:val="Quote"/>
    <w:basedOn w:val="Normal"/>
    <w:next w:val="Normal"/>
    <w:link w:val="QuoteChar"/>
    <w:uiPriority w:val="29"/>
    <w:qFormat/>
    <w:rsid w:val="00AD3D0C"/>
    <w:rPr>
      <w:i/>
      <w:iCs/>
    </w:rPr>
  </w:style>
  <w:style w:type="character" w:customStyle="1" w:styleId="QuoteChar">
    <w:name w:val="Quote Char"/>
    <w:basedOn w:val="DefaultParagraphFont"/>
    <w:link w:val="Quote"/>
    <w:uiPriority w:val="29"/>
    <w:rsid w:val="00AD3D0C"/>
    <w:rPr>
      <w:i/>
      <w:iCs/>
    </w:rPr>
  </w:style>
  <w:style w:type="paragraph" w:styleId="IntenseQuote">
    <w:name w:val="Intense Quote"/>
    <w:basedOn w:val="Normal"/>
    <w:next w:val="Normal"/>
    <w:link w:val="IntenseQuoteChar"/>
    <w:uiPriority w:val="30"/>
    <w:qFormat/>
    <w:rsid w:val="00AD3D0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AD3D0C"/>
    <w:rPr>
      <w:caps/>
      <w:color w:val="622423" w:themeColor="accent2" w:themeShade="7F"/>
      <w:spacing w:val="5"/>
      <w:sz w:val="20"/>
      <w:szCs w:val="20"/>
    </w:rPr>
  </w:style>
  <w:style w:type="character" w:styleId="IntenseEmphasis">
    <w:name w:val="Intense Emphasis"/>
    <w:uiPriority w:val="21"/>
    <w:qFormat/>
    <w:rsid w:val="00AD3D0C"/>
    <w:rPr>
      <w:i/>
      <w:iCs/>
      <w:caps/>
      <w:spacing w:val="10"/>
      <w:sz w:val="20"/>
      <w:szCs w:val="20"/>
    </w:rPr>
  </w:style>
  <w:style w:type="character" w:styleId="SubtleReference">
    <w:name w:val="Subtle Reference"/>
    <w:basedOn w:val="DefaultParagraphFont"/>
    <w:uiPriority w:val="31"/>
    <w:qFormat/>
    <w:rsid w:val="00AD3D0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AD3D0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AD3D0C"/>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AD3D0C"/>
    <w:pPr>
      <w:outlineLvl w:val="9"/>
    </w:pPr>
    <w:rPr>
      <w:lang w:bidi="en-US"/>
    </w:rPr>
  </w:style>
  <w:style w:type="paragraph" w:styleId="NormalWeb">
    <w:name w:val="Normal (Web)"/>
    <w:basedOn w:val="Normal"/>
    <w:uiPriority w:val="99"/>
    <w:unhideWhenUsed/>
    <w:rsid w:val="00A6555F"/>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styleId="BalloonText">
    <w:name w:val="Balloon Text"/>
    <w:basedOn w:val="Normal"/>
    <w:link w:val="BalloonTextChar"/>
    <w:uiPriority w:val="99"/>
    <w:semiHidden/>
    <w:unhideWhenUsed/>
    <w:rsid w:val="00E44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455"/>
    <w:rPr>
      <w:rFonts w:ascii="Tahoma" w:hAnsi="Tahoma" w:cs="Tahoma"/>
      <w:sz w:val="16"/>
      <w:szCs w:val="16"/>
    </w:rPr>
  </w:style>
  <w:style w:type="table" w:styleId="TableGrid">
    <w:name w:val="Table Grid"/>
    <w:basedOn w:val="TableNormal"/>
    <w:uiPriority w:val="59"/>
    <w:rsid w:val="00C61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C613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415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0BB"/>
  </w:style>
  <w:style w:type="paragraph" w:styleId="Footer">
    <w:name w:val="footer"/>
    <w:basedOn w:val="Normal"/>
    <w:link w:val="FooterChar"/>
    <w:uiPriority w:val="99"/>
    <w:unhideWhenUsed/>
    <w:rsid w:val="00415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8870E-E087-43BA-A6CE-99BFA876F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Yinhui</dc:creator>
  <cp:lastModifiedBy>Prathmesh Pai</cp:lastModifiedBy>
  <cp:revision>5</cp:revision>
  <dcterms:created xsi:type="dcterms:W3CDTF">2016-12-28T01:37:00Z</dcterms:created>
  <dcterms:modified xsi:type="dcterms:W3CDTF">2017-01-10T05:13:00Z</dcterms:modified>
</cp:coreProperties>
</file>