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zh-CN"/>
        </w:rPr>
        <w:id w:val="-17276799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93A95" w:rsidRDefault="00E93A9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28C3762" wp14:editId="78357B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6D0A41D" wp14:editId="7D34BDA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5DB18C" wp14:editId="047132F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5BBC408" wp14:editId="0F5C2C2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alias w:val="Title"/>
            <w:id w:val="14700071"/>
            <w:placeholder>
              <w:docPart w:val="8D1444E2BC9D44CEA6CBF36861D58E8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93A95" w:rsidRDefault="00E93A95" w:rsidP="00E93A9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E93A95"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 xml:space="preserve">FSD for Tia &amp; </w:t>
              </w:r>
              <w:proofErr w:type="spellStart"/>
              <w:r w:rsidRPr="00E93A95"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Noordin</w:t>
              </w:r>
              <w:proofErr w:type="spellEnd"/>
              <w:r w:rsidRPr="00E93A95"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 xml:space="preserve"> Mobile App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93A95" w:rsidRDefault="00E93A95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Phase 1 </w:t>
              </w:r>
              <w:r w:rsidR="00C12C5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LOAN</w:t>
              </w:r>
              <w:r w:rsidR="00C12C5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, Delta Change from SPA</w:t>
              </w:r>
            </w:p>
          </w:sdtContent>
        </w:sdt>
        <w:p w:rsidR="00E93A95" w:rsidRDefault="00E93A9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93A95" w:rsidRDefault="00E93A9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8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E93A95" w:rsidRDefault="00141CFB">
              <w:pPr>
                <w:pStyle w:val="NoSpacing"/>
              </w:pPr>
              <w:r>
                <w:t>8/18/2015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93A95" w:rsidRDefault="00E4566C">
              <w:pPr>
                <w:pStyle w:val="NoSpacing"/>
              </w:pPr>
              <w:r>
                <w:t xml:space="preserve">Abeo International </w:t>
              </w:r>
              <w:proofErr w:type="spellStart"/>
              <w:r>
                <w:t>Pte</w:t>
              </w:r>
              <w:proofErr w:type="spellEnd"/>
              <w:r>
                <w:t xml:space="preserve"> Ltd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E93A95" w:rsidRDefault="00E93A95">
              <w:pPr>
                <w:pStyle w:val="NoSpacing"/>
              </w:pPr>
              <w:r>
                <w:rPr>
                  <w:lang w:val="en-GB"/>
                </w:rPr>
                <w:t>Yinhui</w:t>
              </w:r>
            </w:p>
          </w:sdtContent>
        </w:sdt>
        <w:p w:rsidR="00E93A95" w:rsidRDefault="00141CFB">
          <w:r>
            <w:t>Version 2</w:t>
          </w:r>
          <w:r w:rsidR="00E4566C">
            <w:t>.0</w:t>
          </w:r>
        </w:p>
        <w:p w:rsidR="00E93A95" w:rsidRDefault="00E93A9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72B70" w:rsidRDefault="00472B70" w:rsidP="00472B70">
      <w:pPr>
        <w:pStyle w:val="Heading2"/>
        <w:rPr>
          <w:lang w:val="en-SG"/>
        </w:rPr>
      </w:pPr>
      <w:bookmarkStart w:id="1" w:name="_Toc426921242"/>
      <w:r>
        <w:rPr>
          <w:lang w:val="en-SG"/>
        </w:rPr>
        <w:lastRenderedPageBreak/>
        <w:t>Objective of Mobile App</w:t>
      </w:r>
      <w:bookmarkEnd w:id="1"/>
    </w:p>
    <w:p w:rsidR="00472B70" w:rsidRDefault="00472B70" w:rsidP="00472B70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The main objectives of the mobile apps are as follows: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the IC to operate completely on the tablets and NOT access SAP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mask the entire ERPs from rivals with Mobile apps as front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Easy of usage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Impress clients with the efficiency of handling cases.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exercise control over IC</w:t>
      </w:r>
    </w:p>
    <w:p w:rsidR="00472B70" w:rsidRDefault="00472B70" w:rsidP="00472B70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easy access for managers and lawyers to oversee the entire operation</w:t>
      </w:r>
    </w:p>
    <w:p w:rsidR="00472B70" w:rsidRPr="00E50D43" w:rsidRDefault="00472B70" w:rsidP="00472B70"/>
    <w:p w:rsidR="00472B70" w:rsidRDefault="00472B70" w:rsidP="00472B70">
      <w:pPr>
        <w:rPr>
          <w:lang w:val="en-SG"/>
        </w:rPr>
      </w:pPr>
    </w:p>
    <w:p w:rsidR="00472B70" w:rsidRDefault="00472B70" w:rsidP="00472B70">
      <w:pPr>
        <w:pStyle w:val="Heading2"/>
        <w:rPr>
          <w:lang w:val="en-SG"/>
        </w:rPr>
      </w:pPr>
      <w:bookmarkStart w:id="2" w:name="_Toc426921243"/>
      <w:r>
        <w:rPr>
          <w:lang w:val="en-SG"/>
        </w:rPr>
        <w:t>Expected Authorized Scope of Users of Mobile App</w:t>
      </w:r>
      <w:bookmarkEnd w:id="2"/>
    </w:p>
    <w:p w:rsidR="00472B70" w:rsidRDefault="00472B70" w:rsidP="00472B70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Lawyers and managers see all of the case details and listing</w:t>
      </w:r>
    </w:p>
    <w:p w:rsidR="00472B70" w:rsidRDefault="00472B70" w:rsidP="00472B70">
      <w:pPr>
        <w:pStyle w:val="NormalWeb"/>
        <w:numPr>
          <w:ilvl w:val="0"/>
          <w:numId w:val="2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IC see partial and limited to their own cases handled</w:t>
      </w:r>
    </w:p>
    <w:p w:rsidR="00472B70" w:rsidRDefault="00472B70" w:rsidP="00145049"/>
    <w:p w:rsidR="00472B70" w:rsidRDefault="00472B70" w:rsidP="00145049"/>
    <w:p w:rsidR="00472B70" w:rsidRDefault="00472B70">
      <w:r>
        <w:br w:type="page"/>
      </w:r>
    </w:p>
    <w:p w:rsidR="00472B70" w:rsidRDefault="00472B70" w:rsidP="00472B70">
      <w:pPr>
        <w:pStyle w:val="Heading2"/>
        <w:rPr>
          <w:lang w:val="en-SG"/>
        </w:rPr>
      </w:pPr>
      <w:bookmarkStart w:id="3" w:name="_Toc426921244"/>
      <w:r>
        <w:rPr>
          <w:lang w:val="en-SG"/>
        </w:rPr>
        <w:lastRenderedPageBreak/>
        <w:t>Login Screen</w:t>
      </w:r>
      <w:bookmarkEnd w:id="3"/>
    </w:p>
    <w:p w:rsidR="00145049" w:rsidRDefault="00145049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70" w:rsidRDefault="00472B70" w:rsidP="00472B70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Enter User Name and Password. Click Submit to Login.</w:t>
      </w:r>
    </w:p>
    <w:p w:rsidR="00472B70" w:rsidRPr="00472B70" w:rsidRDefault="00472B70" w:rsidP="00472B70">
      <w:pPr>
        <w:pStyle w:val="ListParagraph"/>
        <w:numPr>
          <w:ilvl w:val="0"/>
          <w:numId w:val="3"/>
        </w:numPr>
        <w:rPr>
          <w:lang w:val="en-SG"/>
        </w:rPr>
      </w:pPr>
      <w:r w:rsidRPr="00472B70">
        <w:rPr>
          <w:lang w:val="en-SG"/>
        </w:rPr>
        <w:t>After login, direct to Dashboard.</w:t>
      </w:r>
      <w:r w:rsidRPr="00472B70">
        <w:rPr>
          <w:lang w:val="en-SG"/>
        </w:rPr>
        <w:br/>
      </w:r>
    </w:p>
    <w:p w:rsidR="005C7C13" w:rsidRDefault="005C7C13" w:rsidP="005C7C13">
      <w:pPr>
        <w:pStyle w:val="Heading1"/>
        <w:rPr>
          <w:lang w:val="en-SG"/>
        </w:rPr>
      </w:pPr>
      <w:bookmarkStart w:id="4" w:name="_Toc426921245"/>
      <w:r>
        <w:rPr>
          <w:lang w:val="en-SG"/>
        </w:rPr>
        <w:t>Dashboard</w:t>
      </w:r>
      <w:bookmarkEnd w:id="4"/>
    </w:p>
    <w:p w:rsidR="00145049" w:rsidRDefault="00145049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4" w:rsidRDefault="00A945E4" w:rsidP="00145049">
      <w:r>
        <w:lastRenderedPageBreak/>
        <w:t>Logic remains the same as with SPA. The cases refer to Loan type cases.</w:t>
      </w:r>
      <w:r w:rsidR="00504CD9">
        <w:t xml:space="preserve"> </w:t>
      </w:r>
      <w:proofErr w:type="gramStart"/>
      <w:r w:rsidR="00504CD9">
        <w:t>Benchmark are</w:t>
      </w:r>
      <w:proofErr w:type="gramEnd"/>
      <w:r w:rsidR="00504CD9">
        <w:t xml:space="preserve"> Loan Case benchmarks.</w:t>
      </w:r>
    </w:p>
    <w:p w:rsidR="00145049" w:rsidRDefault="00145049" w:rsidP="00145049"/>
    <w:p w:rsidR="00145049" w:rsidRDefault="00145049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Side 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3" w:rsidRDefault="008B4573" w:rsidP="008B4573">
      <w:pPr>
        <w:pStyle w:val="Heading1"/>
        <w:rPr>
          <w:lang w:val="en-SG"/>
        </w:rPr>
      </w:pPr>
      <w:bookmarkStart w:id="5" w:name="_Toc426921247"/>
      <w:r>
        <w:rPr>
          <w:lang w:val="en-SG"/>
        </w:rPr>
        <w:t>WALK-IN</w:t>
      </w:r>
      <w:bookmarkEnd w:id="5"/>
    </w:p>
    <w:p w:rsidR="00145049" w:rsidRDefault="001F26A4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-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DF" w:rsidRDefault="00CC0E13" w:rsidP="00145049">
      <w:r>
        <w:t>“Bank name” lists names of 5 banks</w:t>
      </w:r>
      <w:r w:rsidR="003F42DF">
        <w:t>.</w:t>
      </w:r>
    </w:p>
    <w:p w:rsidR="008B4573" w:rsidRDefault="008B4573" w:rsidP="008B4573">
      <w:pPr>
        <w:pStyle w:val="Heading1"/>
        <w:rPr>
          <w:lang w:val="en-SG"/>
        </w:rPr>
      </w:pPr>
      <w:r>
        <w:rPr>
          <w:lang w:val="en-SG"/>
        </w:rPr>
        <w:lastRenderedPageBreak/>
        <w:t>List of Loans</w:t>
      </w:r>
    </w:p>
    <w:p w:rsidR="00145049" w:rsidRDefault="00413080" w:rsidP="00145049">
      <w:r>
        <w:rPr>
          <w:noProof/>
        </w:rPr>
        <w:drawing>
          <wp:inline distT="0" distB="0" distL="0" distR="0" wp14:anchorId="2CCFC71F" wp14:editId="3A16C0CF">
            <wp:extent cx="5731510" cy="3463290"/>
            <wp:effectExtent l="0" t="0" r="2540" b="381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0" w:rsidRDefault="00413080" w:rsidP="00413080">
      <w:pPr>
        <w:rPr>
          <w:lang w:val="en-SG"/>
        </w:rPr>
      </w:pPr>
      <w:r>
        <w:rPr>
          <w:lang w:val="en-SG"/>
        </w:rPr>
        <w:t>Change the list of cases to the following table.</w:t>
      </w:r>
    </w:p>
    <w:tbl>
      <w:tblPr>
        <w:tblStyle w:val="TableGrid"/>
        <w:tblW w:w="9380" w:type="dxa"/>
        <w:tblInd w:w="-551" w:type="dxa"/>
        <w:tblLayout w:type="fixed"/>
        <w:tblLook w:val="04A0" w:firstRow="1" w:lastRow="0" w:firstColumn="1" w:lastColumn="0" w:noHBand="0" w:noVBand="1"/>
      </w:tblPr>
      <w:tblGrid>
        <w:gridCol w:w="545"/>
        <w:gridCol w:w="765"/>
        <w:gridCol w:w="757"/>
        <w:gridCol w:w="737"/>
        <w:gridCol w:w="286"/>
        <w:gridCol w:w="889"/>
        <w:gridCol w:w="704"/>
        <w:gridCol w:w="537"/>
        <w:gridCol w:w="876"/>
        <w:gridCol w:w="627"/>
        <w:gridCol w:w="876"/>
        <w:gridCol w:w="1154"/>
        <w:gridCol w:w="627"/>
      </w:tblGrid>
      <w:tr w:rsidR="00413080" w:rsidTr="00031AE6">
        <w:trPr>
          <w:trHeight w:val="677"/>
        </w:trPr>
        <w:tc>
          <w:tcPr>
            <w:tcW w:w="545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proofErr w:type="spellStart"/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CaseFile</w:t>
            </w:r>
            <w:proofErr w:type="spellEnd"/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 No.</w:t>
            </w:r>
          </w:p>
        </w:tc>
        <w:tc>
          <w:tcPr>
            <w:tcW w:w="765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Related File No.</w:t>
            </w:r>
          </w:p>
        </w:tc>
        <w:tc>
          <w:tcPr>
            <w:tcW w:w="75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 w:rsidRPr="001900F6">
              <w:rPr>
                <w:rFonts w:ascii="Calibri" w:eastAsia="SimSun" w:hAnsi="Calibri" w:cs="Arial"/>
                <w:color w:val="FF0000"/>
                <w:sz w:val="18"/>
                <w:szCs w:val="18"/>
                <w:highlight w:val="yellow"/>
                <w:lang w:val="en-SG"/>
              </w:rPr>
              <w:t>Branch Code</w:t>
            </w:r>
          </w:p>
        </w:tc>
        <w:tc>
          <w:tcPr>
            <w:tcW w:w="73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Opened Date</w:t>
            </w:r>
          </w:p>
        </w:tc>
        <w:tc>
          <w:tcPr>
            <w:tcW w:w="28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IC</w:t>
            </w:r>
          </w:p>
        </w:tc>
        <w:tc>
          <w:tcPr>
            <w:tcW w:w="889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 Type</w:t>
            </w:r>
          </w:p>
        </w:tc>
        <w:tc>
          <w:tcPr>
            <w:tcW w:w="704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1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vertAlign w:val="superscript"/>
                <w:lang w:val="en-SG"/>
              </w:rPr>
              <w:t>st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 Client Name</w:t>
            </w:r>
          </w:p>
        </w:tc>
        <w:tc>
          <w:tcPr>
            <w:tcW w:w="53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Bank</w:t>
            </w:r>
          </w:p>
        </w:tc>
        <w:tc>
          <w:tcPr>
            <w:tcW w:w="87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Lot/PTD/PT No.</w:t>
            </w:r>
          </w:p>
        </w:tc>
        <w:tc>
          <w:tcPr>
            <w:tcW w:w="62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Case Amount </w:t>
            </w:r>
          </w:p>
        </w:tc>
        <w:tc>
          <w:tcPr>
            <w:tcW w:w="87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User Code</w:t>
            </w:r>
          </w:p>
        </w:tc>
        <w:tc>
          <w:tcPr>
            <w:tcW w:w="1154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Status</w:t>
            </w:r>
          </w:p>
        </w:tc>
        <w:tc>
          <w:tcPr>
            <w:tcW w:w="62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Closed Date</w:t>
            </w:r>
          </w:p>
        </w:tc>
      </w:tr>
      <w:tr w:rsidR="00413080" w:rsidTr="00031AE6">
        <w:trPr>
          <w:trHeight w:val="912"/>
        </w:trPr>
        <w:tc>
          <w:tcPr>
            <w:tcW w:w="545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65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5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3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28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89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*5 types</w:t>
            </w:r>
          </w:p>
        </w:tc>
        <w:tc>
          <w:tcPr>
            <w:tcW w:w="704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53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7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62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876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*6 user codes</w:t>
            </w:r>
          </w:p>
        </w:tc>
        <w:tc>
          <w:tcPr>
            <w:tcW w:w="1154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Open/Closed/Cancelled</w:t>
            </w:r>
          </w:p>
        </w:tc>
        <w:tc>
          <w:tcPr>
            <w:tcW w:w="627" w:type="dxa"/>
          </w:tcPr>
          <w:p w:rsidR="00413080" w:rsidRDefault="00413080" w:rsidP="00031AE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</w:tr>
    </w:tbl>
    <w:p w:rsidR="00145049" w:rsidRDefault="00145049" w:rsidP="00145049"/>
    <w:p w:rsidR="00DA503C" w:rsidRDefault="00DA503C" w:rsidP="008B4573">
      <w:pPr>
        <w:pStyle w:val="Heading1"/>
        <w:rPr>
          <w:lang w:val="en-SG"/>
        </w:rPr>
      </w:pPr>
    </w:p>
    <w:p w:rsidR="00DA503C" w:rsidRDefault="00DA50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SG"/>
        </w:rPr>
      </w:pPr>
      <w:r>
        <w:rPr>
          <w:lang w:val="en-SG"/>
        </w:rPr>
        <w:br w:type="page"/>
      </w:r>
    </w:p>
    <w:p w:rsidR="008B4573" w:rsidRDefault="008B4573" w:rsidP="008B4573">
      <w:pPr>
        <w:pStyle w:val="Heading1"/>
        <w:rPr>
          <w:lang w:val="en-SG"/>
        </w:rPr>
      </w:pPr>
      <w:r>
        <w:rPr>
          <w:lang w:val="en-SG"/>
        </w:rPr>
        <w:lastRenderedPageBreak/>
        <w:t>Screens for the Process of Adding a New Loan Case</w:t>
      </w:r>
    </w:p>
    <w:p w:rsidR="008B4573" w:rsidRDefault="008B4573" w:rsidP="00145049"/>
    <w:p w:rsidR="00340339" w:rsidRDefault="008F5A6B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39" w:rsidRDefault="00340339" w:rsidP="00145049">
      <w:r>
        <w:t>When user click “Add Case”, bring them to Question 1.</w:t>
      </w:r>
    </w:p>
    <w:p w:rsidR="00AA23E7" w:rsidRDefault="00AA23E7" w:rsidP="00AA23E7">
      <w:r>
        <w:t xml:space="preserve">If user click “SPA with </w:t>
      </w:r>
      <w:r w:rsidR="00A851B3">
        <w:t>Firm</w:t>
      </w:r>
      <w:r>
        <w:t>”, update CASE_LOANTYPE =”SPALOAN”</w:t>
      </w:r>
      <w:r w:rsidR="00FA599B">
        <w:t>. Proceed to Question 2</w:t>
      </w:r>
      <w:r>
        <w:t>.</w:t>
      </w:r>
    </w:p>
    <w:p w:rsidR="00AA23E7" w:rsidRDefault="00AA23E7" w:rsidP="00AA23E7">
      <w:r>
        <w:t>If user click “Related SPA (Other Lawyer)”, update CASE_LOANTYPE =”SPALOAN”</w:t>
      </w:r>
      <w:r w:rsidR="00C137ED">
        <w:t xml:space="preserve">. </w:t>
      </w:r>
      <w:r w:rsidR="00FA599B">
        <w:t>Proceed to Question 3</w:t>
      </w:r>
      <w:r>
        <w:t>.</w:t>
      </w:r>
    </w:p>
    <w:p w:rsidR="00340339" w:rsidRDefault="00340339" w:rsidP="00145049">
      <w:r>
        <w:t>If user click “Refinance”, update CASE_LOANTYPE=”REFINANCE”.</w:t>
      </w:r>
      <w:r w:rsidR="003158E7">
        <w:t xml:space="preserve"> Proceed to “Create Case”.</w:t>
      </w:r>
    </w:p>
    <w:p w:rsidR="005C38D2" w:rsidRDefault="005C38D2" w:rsidP="00145049"/>
    <w:p w:rsidR="005C38D2" w:rsidRDefault="005C38D2" w:rsidP="00145049">
      <w:r>
        <w:rPr>
          <w:noProof/>
        </w:rPr>
        <w:lastRenderedPageBreak/>
        <w:drawing>
          <wp:inline distT="0" distB="0" distL="0" distR="0">
            <wp:extent cx="5731510" cy="3463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D2" w:rsidRDefault="005C38D2" w:rsidP="005C38D2">
      <w:r>
        <w:t>User enters some customer details and click Search.</w:t>
      </w:r>
    </w:p>
    <w:p w:rsidR="005C38D2" w:rsidRDefault="005C38D2" w:rsidP="005C38D2">
      <w:r>
        <w:t>User chooses a case and click “Attach SPA Case to Loan”.</w:t>
      </w:r>
    </w:p>
    <w:p w:rsidR="005C38D2" w:rsidRDefault="005C38D2" w:rsidP="005C38D2">
      <w:r>
        <w:t>Proceed to Add Case.</w:t>
      </w:r>
    </w:p>
    <w:p w:rsidR="005C38D2" w:rsidRDefault="00B947A1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47" w:rsidRDefault="00750E47" w:rsidP="00145049">
      <w:proofErr w:type="gramStart"/>
      <w:r>
        <w:t>DEVELOPER PROJECT CASE OR SUB-SALE?</w:t>
      </w:r>
      <w:proofErr w:type="gramEnd"/>
    </w:p>
    <w:p w:rsidR="00750E47" w:rsidRDefault="00B947A1" w:rsidP="00750E47">
      <w:pPr>
        <w:tabs>
          <w:tab w:val="left" w:pos="6946"/>
        </w:tabs>
      </w:pPr>
      <w:r>
        <w:t>If user choose</w:t>
      </w:r>
      <w:r w:rsidR="00F66245">
        <w:t>s</w:t>
      </w:r>
      <w:r>
        <w:t xml:space="preserve"> DEVELOPER, go to </w:t>
      </w:r>
      <w:r w:rsidR="00750E47">
        <w:t xml:space="preserve">QUESTION </w:t>
      </w:r>
      <w:r>
        <w:t>4,</w:t>
      </w:r>
      <w:r w:rsidR="00750E47">
        <w:t xml:space="preserve"> OTHERWISE PROCEED TO ADD CASE.</w:t>
      </w:r>
    </w:p>
    <w:p w:rsidR="00340339" w:rsidRDefault="00F66245" w:rsidP="00145049">
      <w:r>
        <w:rPr>
          <w:noProof/>
        </w:rPr>
        <w:lastRenderedPageBreak/>
        <w:drawing>
          <wp:inline distT="0" distB="0" distL="0" distR="0">
            <wp:extent cx="5731510" cy="3463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5" w:rsidRDefault="00F66245" w:rsidP="0067032B">
      <w:pPr>
        <w:tabs>
          <w:tab w:val="left" w:pos="2454"/>
        </w:tabs>
      </w:pPr>
      <w:r>
        <w:t>User either chooses from the list of projects which the firm is the panel la</w:t>
      </w:r>
      <w:r w:rsidR="00A7529D">
        <w:t>wyer or, enter the project name, and the project code is set as “I” which indicates there is no valid project code.</w:t>
      </w:r>
    </w:p>
    <w:p w:rsidR="00F66245" w:rsidRDefault="00F66245" w:rsidP="0067032B">
      <w:pPr>
        <w:tabs>
          <w:tab w:val="left" w:pos="2454"/>
        </w:tabs>
      </w:pPr>
    </w:p>
    <w:p w:rsidR="004719CA" w:rsidRDefault="004719CA" w:rsidP="0067032B">
      <w:pPr>
        <w:tabs>
          <w:tab w:val="left" w:pos="2454"/>
        </w:tabs>
      </w:pPr>
      <w:r>
        <w:t>Proceed to Add Case.</w:t>
      </w:r>
      <w:r w:rsidR="0067032B">
        <w:tab/>
      </w:r>
    </w:p>
    <w:p w:rsidR="007B00F3" w:rsidRDefault="007B00F3" w:rsidP="00145049"/>
    <w:p w:rsidR="00285C28" w:rsidRDefault="00076387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8" w:rsidRDefault="00285C28" w:rsidP="00145049"/>
    <w:p w:rsidR="00285C28" w:rsidRDefault="00D82CF7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F7" w:rsidRDefault="00D82CF7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2 Duplicated Lo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F7" w:rsidRDefault="00D82CF7" w:rsidP="00145049">
      <w:r>
        <w:t xml:space="preserve">If a duplicated open loan case </w:t>
      </w:r>
      <w:r w:rsidR="00C81942">
        <w:t xml:space="preserve">WITH SAME PROPERTY </w:t>
      </w:r>
      <w:r>
        <w:t>is found, do not allow user to proceed.</w:t>
      </w:r>
    </w:p>
    <w:p w:rsidR="00285C28" w:rsidRDefault="00285C28" w:rsidP="00145049"/>
    <w:p w:rsidR="00285C28" w:rsidRDefault="00C81942" w:rsidP="00145049">
      <w:r>
        <w:rPr>
          <w:noProof/>
        </w:rPr>
        <w:lastRenderedPageBreak/>
        <w:drawing>
          <wp:inline distT="0" distB="0" distL="0" distR="0">
            <wp:extent cx="5731510" cy="3463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3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8" w:rsidRDefault="00C81942" w:rsidP="00145049">
      <w:r>
        <w:rPr>
          <w:noProof/>
        </w:rPr>
        <w:drawing>
          <wp:inline distT="0" distB="0" distL="0" distR="0">
            <wp:extent cx="5731510" cy="3463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65" w:rsidRDefault="00F71AF8" w:rsidP="00145049">
      <w:r>
        <w:t>Guarantor is Optional. Allow to confirm case without any guarantor.</w:t>
      </w:r>
    </w:p>
    <w:p w:rsidR="00C81942" w:rsidRDefault="00C81942" w:rsidP="00145049"/>
    <w:p w:rsidR="00C81942" w:rsidRDefault="00C81942" w:rsidP="00145049">
      <w:r>
        <w:rPr>
          <w:noProof/>
        </w:rPr>
        <w:lastRenderedPageBreak/>
        <w:drawing>
          <wp:inline distT="0" distB="0" distL="0" distR="0">
            <wp:extent cx="5731510" cy="34632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BORROW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42" w:rsidRDefault="00C81942" w:rsidP="00145049">
      <w:r>
        <w:t>Case created will be similar to SPA. The only difference</w:t>
      </w:r>
      <w:r w:rsidR="00A65FE8">
        <w:t>s</w:t>
      </w:r>
      <w:r>
        <w:t xml:space="preserve"> are:</w:t>
      </w:r>
    </w:p>
    <w:p w:rsidR="00C81942" w:rsidRDefault="00C81942" w:rsidP="00C81942">
      <w:pPr>
        <w:pStyle w:val="ListParagraph"/>
        <w:numPr>
          <w:ilvl w:val="0"/>
          <w:numId w:val="4"/>
        </w:numPr>
      </w:pPr>
      <w:r>
        <w:t>Instead of Purchaser and Vendor, Borrower and Guarantor will be shown.</w:t>
      </w:r>
    </w:p>
    <w:p w:rsidR="00C81942" w:rsidRDefault="00C81942" w:rsidP="00C81942">
      <w:pPr>
        <w:pStyle w:val="ListParagraph"/>
        <w:numPr>
          <w:ilvl w:val="0"/>
          <w:numId w:val="4"/>
        </w:numPr>
      </w:pPr>
      <w:r>
        <w:t>Process will be loan process.</w:t>
      </w:r>
    </w:p>
    <w:p w:rsidR="00CA14AD" w:rsidRDefault="00CA14AD" w:rsidP="00CA14AD">
      <w:pPr>
        <w:pStyle w:val="ListParagraph"/>
      </w:pPr>
    </w:p>
    <w:p w:rsidR="00CA14AD" w:rsidRDefault="00CA14AD" w:rsidP="00CA14AD">
      <w:pPr>
        <w:pStyle w:val="Heading1"/>
        <w:rPr>
          <w:rFonts w:ascii="Calista mt" w:eastAsia="SimSun" w:hAnsi="Calista mt" w:hint="eastAsia"/>
        </w:rPr>
      </w:pPr>
      <w:bookmarkStart w:id="6" w:name="_Toc426921265"/>
      <w:r>
        <w:rPr>
          <w:rFonts w:ascii="Calista mt" w:eastAsia="SimSun" w:hAnsi="Calista mt"/>
        </w:rPr>
        <w:t>Acknowledgement</w:t>
      </w:r>
      <w:bookmarkEnd w:id="6"/>
    </w:p>
    <w:p w:rsidR="00CA14AD" w:rsidRDefault="00CA14AD" w:rsidP="00CA14AD">
      <w:pPr>
        <w:rPr>
          <w:rFonts w:ascii="Calista mt" w:eastAsia="SimSun" w:hAnsi="Calista mt" w:hint="eastAsia"/>
          <w:szCs w:val="20"/>
        </w:rPr>
      </w:pPr>
    </w:p>
    <w:p w:rsidR="00CA14AD" w:rsidRDefault="00CA14AD" w:rsidP="00CA14AD">
      <w:pPr>
        <w:rPr>
          <w:rFonts w:ascii="Calista mt" w:hAnsi="Calista mt" w:hint="eastAsia"/>
          <w:szCs w:val="20"/>
        </w:rPr>
      </w:pPr>
      <w:r>
        <w:rPr>
          <w:rFonts w:ascii="Calista mt" w:hAnsi="Calista mt"/>
          <w:szCs w:val="20"/>
        </w:rPr>
        <w:t xml:space="preserve">By signing this page, </w:t>
      </w:r>
      <w:r>
        <w:rPr>
          <w:rFonts w:ascii="Calista mt" w:hAnsi="Calista mt"/>
          <w:b/>
          <w:bCs/>
          <w:color w:val="0000FF"/>
        </w:rPr>
        <w:t xml:space="preserve">Tia &amp; </w:t>
      </w:r>
      <w:proofErr w:type="spellStart"/>
      <w:r>
        <w:rPr>
          <w:rFonts w:ascii="Calista mt" w:hAnsi="Calista mt"/>
          <w:b/>
          <w:bCs/>
          <w:color w:val="0000FF"/>
        </w:rPr>
        <w:t>Noordin</w:t>
      </w:r>
      <w:proofErr w:type="spellEnd"/>
      <w:r>
        <w:rPr>
          <w:rFonts w:ascii="Calista mt" w:hAnsi="Calista mt"/>
          <w:b/>
          <w:bCs/>
          <w:color w:val="0000FF"/>
        </w:rPr>
        <w:t xml:space="preserve"> </w:t>
      </w:r>
      <w:r>
        <w:rPr>
          <w:rFonts w:ascii="Calista mt" w:hAnsi="Calista mt"/>
          <w:szCs w:val="20"/>
        </w:rPr>
        <w:t xml:space="preserve">acknowledges that this document accurately represents the requirement of </w:t>
      </w:r>
      <w:r>
        <w:rPr>
          <w:rFonts w:ascii="Calista mt" w:hAnsi="Calista mt"/>
          <w:b/>
          <w:bCs/>
          <w:color w:val="0000FF"/>
        </w:rPr>
        <w:t xml:space="preserve">Tia &amp; </w:t>
      </w:r>
      <w:proofErr w:type="spellStart"/>
      <w:r>
        <w:rPr>
          <w:rFonts w:ascii="Calista mt" w:hAnsi="Calista mt"/>
          <w:b/>
          <w:bCs/>
          <w:color w:val="0000FF"/>
        </w:rPr>
        <w:t>Noordin</w:t>
      </w:r>
      <w:proofErr w:type="spellEnd"/>
      <w:r>
        <w:rPr>
          <w:rFonts w:ascii="Calista mt" w:hAnsi="Calista mt"/>
          <w:b/>
          <w:bCs/>
          <w:color w:val="0000FF"/>
        </w:rPr>
        <w:t xml:space="preserve"> </w:t>
      </w:r>
      <w:r>
        <w:rPr>
          <w:rFonts w:ascii="Calista mt" w:hAnsi="Calista mt"/>
          <w:szCs w:val="20"/>
        </w:rPr>
        <w:t xml:space="preserve">for the Sales &amp; Purchase Module of the Mobile Application, and that this document is the base for the system implementation. The actual delivered product may differ from the mock up in this document. </w:t>
      </w:r>
    </w:p>
    <w:p w:rsidR="00CA14AD" w:rsidRDefault="00CA14AD" w:rsidP="00CA14AD">
      <w:pPr>
        <w:rPr>
          <w:rFonts w:ascii="Calista mt" w:hAnsi="Calista mt" w:hint="eastAsia"/>
          <w:szCs w:val="24"/>
        </w:rPr>
      </w:pPr>
    </w:p>
    <w:tbl>
      <w:tblPr>
        <w:tblpPr w:leftFromText="180" w:rightFromText="180" w:vertAnchor="text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854"/>
        <w:gridCol w:w="3601"/>
      </w:tblGrid>
      <w:tr w:rsidR="00CA14AD" w:rsidTr="00FF616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CA14AD" w:rsidRDefault="00CA14AD" w:rsidP="00FF616A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Definition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CA14AD" w:rsidRDefault="00CA14AD" w:rsidP="00FF616A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Name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CA14AD" w:rsidRDefault="00CA14AD" w:rsidP="00FF616A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Signature and Date</w:t>
            </w:r>
          </w:p>
        </w:tc>
      </w:tr>
      <w:tr w:rsidR="00CA14AD" w:rsidTr="00FF616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 xml:space="preserve">Project Sponsor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4AD" w:rsidRDefault="00CA14AD" w:rsidP="00FF616A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Chris Tia </w:t>
            </w:r>
          </w:p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  <w:tr w:rsidR="00CA14AD" w:rsidTr="00FF616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Project Manger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Carol Lee</w:t>
            </w:r>
          </w:p>
          <w:p w:rsidR="00CA14AD" w:rsidRDefault="00CA14AD" w:rsidP="00FF616A">
            <w:pPr>
              <w:rPr>
                <w:rFonts w:ascii="Calista mt" w:hAnsi="Calista mt" w:hint="eastAsia"/>
              </w:rPr>
            </w:pPr>
          </w:p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4AD" w:rsidRDefault="00CA14AD" w:rsidP="00FF616A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</w:tbl>
    <w:p w:rsidR="00CA14AD" w:rsidRDefault="00CA14AD" w:rsidP="00CA14AD"/>
    <w:p w:rsidR="00CA14AD" w:rsidRPr="00145049" w:rsidRDefault="00CA14AD" w:rsidP="00CA14AD">
      <w:pPr>
        <w:pStyle w:val="ListParagraph"/>
      </w:pPr>
    </w:p>
    <w:sectPr w:rsidR="00CA14AD" w:rsidRPr="00145049" w:rsidSect="00E93A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a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1ED"/>
    <w:multiLevelType w:val="hybridMultilevel"/>
    <w:tmpl w:val="16D2F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42CEC"/>
    <w:multiLevelType w:val="hybridMultilevel"/>
    <w:tmpl w:val="20AA7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B4C0A"/>
    <w:multiLevelType w:val="hybridMultilevel"/>
    <w:tmpl w:val="595A5B32"/>
    <w:lvl w:ilvl="0" w:tplc="1E8C3D76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D020FBA"/>
    <w:multiLevelType w:val="hybridMultilevel"/>
    <w:tmpl w:val="906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95"/>
    <w:rsid w:val="000103C8"/>
    <w:rsid w:val="00013DDD"/>
    <w:rsid w:val="000152DC"/>
    <w:rsid w:val="00025A37"/>
    <w:rsid w:val="000322F4"/>
    <w:rsid w:val="00050E4A"/>
    <w:rsid w:val="00076387"/>
    <w:rsid w:val="00094972"/>
    <w:rsid w:val="000A34CD"/>
    <w:rsid w:val="000A4A8C"/>
    <w:rsid w:val="000B111B"/>
    <w:rsid w:val="00103271"/>
    <w:rsid w:val="00104CFF"/>
    <w:rsid w:val="00125D05"/>
    <w:rsid w:val="00141CFB"/>
    <w:rsid w:val="00145049"/>
    <w:rsid w:val="00146AF2"/>
    <w:rsid w:val="00152730"/>
    <w:rsid w:val="001711F8"/>
    <w:rsid w:val="00172C97"/>
    <w:rsid w:val="001745A2"/>
    <w:rsid w:val="00183808"/>
    <w:rsid w:val="00195532"/>
    <w:rsid w:val="0019785A"/>
    <w:rsid w:val="001979DC"/>
    <w:rsid w:val="001A4D73"/>
    <w:rsid w:val="001A7FEB"/>
    <w:rsid w:val="001B1B85"/>
    <w:rsid w:val="001C4875"/>
    <w:rsid w:val="001D232C"/>
    <w:rsid w:val="001D3DA7"/>
    <w:rsid w:val="001F24EA"/>
    <w:rsid w:val="001F26A4"/>
    <w:rsid w:val="001F7220"/>
    <w:rsid w:val="00200FAA"/>
    <w:rsid w:val="00202873"/>
    <w:rsid w:val="00225029"/>
    <w:rsid w:val="00230D98"/>
    <w:rsid w:val="00244235"/>
    <w:rsid w:val="00247ECB"/>
    <w:rsid w:val="00252A3E"/>
    <w:rsid w:val="00276755"/>
    <w:rsid w:val="00277C7D"/>
    <w:rsid w:val="00281B95"/>
    <w:rsid w:val="002823B4"/>
    <w:rsid w:val="00282D99"/>
    <w:rsid w:val="002835ED"/>
    <w:rsid w:val="00285C28"/>
    <w:rsid w:val="002B1E1D"/>
    <w:rsid w:val="002B6ABF"/>
    <w:rsid w:val="002C0289"/>
    <w:rsid w:val="002F3DA4"/>
    <w:rsid w:val="00312206"/>
    <w:rsid w:val="003158E7"/>
    <w:rsid w:val="00316454"/>
    <w:rsid w:val="0032055C"/>
    <w:rsid w:val="003329F5"/>
    <w:rsid w:val="003341FE"/>
    <w:rsid w:val="00340339"/>
    <w:rsid w:val="00344436"/>
    <w:rsid w:val="00352021"/>
    <w:rsid w:val="00353506"/>
    <w:rsid w:val="003565CB"/>
    <w:rsid w:val="0037000E"/>
    <w:rsid w:val="003717E1"/>
    <w:rsid w:val="00374D62"/>
    <w:rsid w:val="003778B7"/>
    <w:rsid w:val="00392FC8"/>
    <w:rsid w:val="003975E1"/>
    <w:rsid w:val="003A1739"/>
    <w:rsid w:val="003A4434"/>
    <w:rsid w:val="003A672B"/>
    <w:rsid w:val="003B1A64"/>
    <w:rsid w:val="003B77CA"/>
    <w:rsid w:val="003D19E8"/>
    <w:rsid w:val="003D289E"/>
    <w:rsid w:val="003D7921"/>
    <w:rsid w:val="003E0860"/>
    <w:rsid w:val="003E3D7B"/>
    <w:rsid w:val="003E60BB"/>
    <w:rsid w:val="003F42DF"/>
    <w:rsid w:val="00407BBD"/>
    <w:rsid w:val="00413080"/>
    <w:rsid w:val="00415DAF"/>
    <w:rsid w:val="004339A8"/>
    <w:rsid w:val="004416FD"/>
    <w:rsid w:val="00442ED4"/>
    <w:rsid w:val="00456DAA"/>
    <w:rsid w:val="00462017"/>
    <w:rsid w:val="004678BE"/>
    <w:rsid w:val="00470F81"/>
    <w:rsid w:val="004719CA"/>
    <w:rsid w:val="00472B70"/>
    <w:rsid w:val="0048753C"/>
    <w:rsid w:val="004A13F0"/>
    <w:rsid w:val="00503FBB"/>
    <w:rsid w:val="00504CD9"/>
    <w:rsid w:val="0052225A"/>
    <w:rsid w:val="00522FE9"/>
    <w:rsid w:val="0053372B"/>
    <w:rsid w:val="00540D9E"/>
    <w:rsid w:val="00544E69"/>
    <w:rsid w:val="00550617"/>
    <w:rsid w:val="005531D8"/>
    <w:rsid w:val="005742AD"/>
    <w:rsid w:val="00577391"/>
    <w:rsid w:val="0057761E"/>
    <w:rsid w:val="005959A4"/>
    <w:rsid w:val="005C38D2"/>
    <w:rsid w:val="005C637E"/>
    <w:rsid w:val="005C7C13"/>
    <w:rsid w:val="005E3486"/>
    <w:rsid w:val="005E55A5"/>
    <w:rsid w:val="005F6F62"/>
    <w:rsid w:val="0061406E"/>
    <w:rsid w:val="00620435"/>
    <w:rsid w:val="00621731"/>
    <w:rsid w:val="00633325"/>
    <w:rsid w:val="00645B2D"/>
    <w:rsid w:val="00653533"/>
    <w:rsid w:val="006601AA"/>
    <w:rsid w:val="0067032B"/>
    <w:rsid w:val="00672EB7"/>
    <w:rsid w:val="006C0F0B"/>
    <w:rsid w:val="006C2252"/>
    <w:rsid w:val="006C2F15"/>
    <w:rsid w:val="006D272E"/>
    <w:rsid w:val="00700D7F"/>
    <w:rsid w:val="00704787"/>
    <w:rsid w:val="007112BA"/>
    <w:rsid w:val="00730025"/>
    <w:rsid w:val="00750E47"/>
    <w:rsid w:val="007552E7"/>
    <w:rsid w:val="00760043"/>
    <w:rsid w:val="0076203B"/>
    <w:rsid w:val="007A2D7B"/>
    <w:rsid w:val="007B00F3"/>
    <w:rsid w:val="007B1A6D"/>
    <w:rsid w:val="007E5DD4"/>
    <w:rsid w:val="007F4EB9"/>
    <w:rsid w:val="0080348C"/>
    <w:rsid w:val="00820DE1"/>
    <w:rsid w:val="00824A4E"/>
    <w:rsid w:val="00850DE8"/>
    <w:rsid w:val="00861A9D"/>
    <w:rsid w:val="00876613"/>
    <w:rsid w:val="008920A5"/>
    <w:rsid w:val="008935C7"/>
    <w:rsid w:val="00893F1D"/>
    <w:rsid w:val="008B4573"/>
    <w:rsid w:val="008C6BBB"/>
    <w:rsid w:val="008D0A39"/>
    <w:rsid w:val="008D7C8C"/>
    <w:rsid w:val="008E5D46"/>
    <w:rsid w:val="008F5A6B"/>
    <w:rsid w:val="008F6500"/>
    <w:rsid w:val="00911E54"/>
    <w:rsid w:val="00923314"/>
    <w:rsid w:val="00923595"/>
    <w:rsid w:val="00931385"/>
    <w:rsid w:val="00937FD8"/>
    <w:rsid w:val="009559E1"/>
    <w:rsid w:val="0095700F"/>
    <w:rsid w:val="00961376"/>
    <w:rsid w:val="00966DE2"/>
    <w:rsid w:val="00976671"/>
    <w:rsid w:val="0097723E"/>
    <w:rsid w:val="00977FF9"/>
    <w:rsid w:val="009951FC"/>
    <w:rsid w:val="009976ED"/>
    <w:rsid w:val="009A46E7"/>
    <w:rsid w:val="009B08C4"/>
    <w:rsid w:val="009B1307"/>
    <w:rsid w:val="009C4D04"/>
    <w:rsid w:val="009C4EF7"/>
    <w:rsid w:val="009C604B"/>
    <w:rsid w:val="009D0E9D"/>
    <w:rsid w:val="009F42A8"/>
    <w:rsid w:val="00A1094C"/>
    <w:rsid w:val="00A30D72"/>
    <w:rsid w:val="00A501F9"/>
    <w:rsid w:val="00A623BD"/>
    <w:rsid w:val="00A64509"/>
    <w:rsid w:val="00A65DFE"/>
    <w:rsid w:val="00A65FE8"/>
    <w:rsid w:val="00A720C4"/>
    <w:rsid w:val="00A7529D"/>
    <w:rsid w:val="00A83072"/>
    <w:rsid w:val="00A83343"/>
    <w:rsid w:val="00A835E4"/>
    <w:rsid w:val="00A851B3"/>
    <w:rsid w:val="00A945E4"/>
    <w:rsid w:val="00A96EEA"/>
    <w:rsid w:val="00AA23E7"/>
    <w:rsid w:val="00AA3665"/>
    <w:rsid w:val="00AA6E33"/>
    <w:rsid w:val="00AF3A56"/>
    <w:rsid w:val="00B12667"/>
    <w:rsid w:val="00B409AF"/>
    <w:rsid w:val="00B40F91"/>
    <w:rsid w:val="00B548D7"/>
    <w:rsid w:val="00B62B8A"/>
    <w:rsid w:val="00B73021"/>
    <w:rsid w:val="00B9004F"/>
    <w:rsid w:val="00B947A1"/>
    <w:rsid w:val="00B9539F"/>
    <w:rsid w:val="00BA553E"/>
    <w:rsid w:val="00BC1ACB"/>
    <w:rsid w:val="00BD2CA9"/>
    <w:rsid w:val="00C02FF4"/>
    <w:rsid w:val="00C0772E"/>
    <w:rsid w:val="00C12C5C"/>
    <w:rsid w:val="00C137ED"/>
    <w:rsid w:val="00C14643"/>
    <w:rsid w:val="00C30CDF"/>
    <w:rsid w:val="00C31469"/>
    <w:rsid w:val="00C368BB"/>
    <w:rsid w:val="00C3723C"/>
    <w:rsid w:val="00C4094F"/>
    <w:rsid w:val="00C45D60"/>
    <w:rsid w:val="00C46E73"/>
    <w:rsid w:val="00C51C06"/>
    <w:rsid w:val="00C51F08"/>
    <w:rsid w:val="00C613F6"/>
    <w:rsid w:val="00C65E3D"/>
    <w:rsid w:val="00C67A74"/>
    <w:rsid w:val="00C81942"/>
    <w:rsid w:val="00C865EC"/>
    <w:rsid w:val="00C9648E"/>
    <w:rsid w:val="00CA0B12"/>
    <w:rsid w:val="00CA11D0"/>
    <w:rsid w:val="00CA14AD"/>
    <w:rsid w:val="00CB5FDA"/>
    <w:rsid w:val="00CC0E13"/>
    <w:rsid w:val="00CC1D2C"/>
    <w:rsid w:val="00CC25E1"/>
    <w:rsid w:val="00CC6654"/>
    <w:rsid w:val="00CC76D6"/>
    <w:rsid w:val="00CF099F"/>
    <w:rsid w:val="00CF0BC1"/>
    <w:rsid w:val="00D123AA"/>
    <w:rsid w:val="00D634F5"/>
    <w:rsid w:val="00D64DFE"/>
    <w:rsid w:val="00D66764"/>
    <w:rsid w:val="00D66FE0"/>
    <w:rsid w:val="00D7273C"/>
    <w:rsid w:val="00D82CF7"/>
    <w:rsid w:val="00D8749C"/>
    <w:rsid w:val="00DA2627"/>
    <w:rsid w:val="00DA503C"/>
    <w:rsid w:val="00DC6D84"/>
    <w:rsid w:val="00DD0C3D"/>
    <w:rsid w:val="00DE5D1A"/>
    <w:rsid w:val="00DF522F"/>
    <w:rsid w:val="00E06919"/>
    <w:rsid w:val="00E06B4C"/>
    <w:rsid w:val="00E34D35"/>
    <w:rsid w:val="00E36DC6"/>
    <w:rsid w:val="00E37076"/>
    <w:rsid w:val="00E4315A"/>
    <w:rsid w:val="00E4566C"/>
    <w:rsid w:val="00E46FE0"/>
    <w:rsid w:val="00E64EFE"/>
    <w:rsid w:val="00E65410"/>
    <w:rsid w:val="00E713F8"/>
    <w:rsid w:val="00E91F20"/>
    <w:rsid w:val="00E93A95"/>
    <w:rsid w:val="00EA45C9"/>
    <w:rsid w:val="00EC2229"/>
    <w:rsid w:val="00EC7DCD"/>
    <w:rsid w:val="00ED2EDB"/>
    <w:rsid w:val="00EF5C83"/>
    <w:rsid w:val="00F07892"/>
    <w:rsid w:val="00F128AD"/>
    <w:rsid w:val="00F24591"/>
    <w:rsid w:val="00F314A7"/>
    <w:rsid w:val="00F3192E"/>
    <w:rsid w:val="00F34996"/>
    <w:rsid w:val="00F46C43"/>
    <w:rsid w:val="00F50DB8"/>
    <w:rsid w:val="00F5476B"/>
    <w:rsid w:val="00F56A84"/>
    <w:rsid w:val="00F63F61"/>
    <w:rsid w:val="00F66245"/>
    <w:rsid w:val="00F71AF8"/>
    <w:rsid w:val="00F82C86"/>
    <w:rsid w:val="00F90DBE"/>
    <w:rsid w:val="00F966D2"/>
    <w:rsid w:val="00F97508"/>
    <w:rsid w:val="00FA2F91"/>
    <w:rsid w:val="00FA599B"/>
    <w:rsid w:val="00FC1440"/>
    <w:rsid w:val="00FC629A"/>
    <w:rsid w:val="00FC67BB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A95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A95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72B70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B70"/>
    <w:pPr>
      <w:ind w:left="720"/>
      <w:contextualSpacing/>
    </w:pPr>
  </w:style>
  <w:style w:type="table" w:styleId="TableGrid">
    <w:name w:val="Table Grid"/>
    <w:basedOn w:val="TableNormal"/>
    <w:rsid w:val="0041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A95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A95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72B70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B70"/>
    <w:pPr>
      <w:ind w:left="720"/>
      <w:contextualSpacing/>
    </w:pPr>
  </w:style>
  <w:style w:type="table" w:styleId="TableGrid">
    <w:name w:val="Table Grid"/>
    <w:basedOn w:val="TableNormal"/>
    <w:rsid w:val="0041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a 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A6"/>
    <w:rsid w:val="007D5EC8"/>
    <w:rsid w:val="00B46DA0"/>
    <w:rsid w:val="00B52533"/>
    <w:rsid w:val="00D23F71"/>
    <w:rsid w:val="00D24B43"/>
    <w:rsid w:val="00EF4FA6"/>
    <w:rsid w:val="00F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444E2BC9D44CEA6CBF36861D58E87">
    <w:name w:val="8D1444E2BC9D44CEA6CBF36861D58E87"/>
    <w:rsid w:val="00EF4FA6"/>
  </w:style>
  <w:style w:type="paragraph" w:customStyle="1" w:styleId="DE1C70975C154B39BF92E242F11BB803">
    <w:name w:val="DE1C70975C154B39BF92E242F11BB803"/>
    <w:rsid w:val="00EF4FA6"/>
  </w:style>
  <w:style w:type="paragraph" w:customStyle="1" w:styleId="23CE7AEBC0C64906B0C006BD9CD532EC">
    <w:name w:val="23CE7AEBC0C64906B0C006BD9CD532EC"/>
    <w:rsid w:val="00EF4FA6"/>
  </w:style>
  <w:style w:type="paragraph" w:customStyle="1" w:styleId="915588E21BDC4953B4F470836AB59197">
    <w:name w:val="915588E21BDC4953B4F470836AB59197"/>
    <w:rsid w:val="00EF4FA6"/>
  </w:style>
  <w:style w:type="paragraph" w:customStyle="1" w:styleId="F53A59D77EA547B8A0872C599ED06009">
    <w:name w:val="F53A59D77EA547B8A0872C599ED06009"/>
    <w:rsid w:val="00EF4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444E2BC9D44CEA6CBF36861D58E87">
    <w:name w:val="8D1444E2BC9D44CEA6CBF36861D58E87"/>
    <w:rsid w:val="00EF4FA6"/>
  </w:style>
  <w:style w:type="paragraph" w:customStyle="1" w:styleId="DE1C70975C154B39BF92E242F11BB803">
    <w:name w:val="DE1C70975C154B39BF92E242F11BB803"/>
    <w:rsid w:val="00EF4FA6"/>
  </w:style>
  <w:style w:type="paragraph" w:customStyle="1" w:styleId="23CE7AEBC0C64906B0C006BD9CD532EC">
    <w:name w:val="23CE7AEBC0C64906B0C006BD9CD532EC"/>
    <w:rsid w:val="00EF4FA6"/>
  </w:style>
  <w:style w:type="paragraph" w:customStyle="1" w:styleId="915588E21BDC4953B4F470836AB59197">
    <w:name w:val="915588E21BDC4953B4F470836AB59197"/>
    <w:rsid w:val="00EF4FA6"/>
  </w:style>
  <w:style w:type="paragraph" w:customStyle="1" w:styleId="F53A59D77EA547B8A0872C599ED06009">
    <w:name w:val="F53A59D77EA547B8A0872C599ED06009"/>
    <w:rsid w:val="00EF4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for Tia &amp; Noordin Mobile App</vt:lpstr>
    </vt:vector>
  </TitlesOfParts>
  <Company>Abeo International Pte Ltd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for Tia &amp; Noordin Mobile App</dc:title>
  <dc:subject>Phase 1 – LOAN, Delta Change from SPA</dc:subject>
  <dc:creator>Yinhui</dc:creator>
  <cp:lastModifiedBy>Yinhui</cp:lastModifiedBy>
  <cp:revision>52</cp:revision>
  <dcterms:created xsi:type="dcterms:W3CDTF">2015-08-13T16:17:00Z</dcterms:created>
  <dcterms:modified xsi:type="dcterms:W3CDTF">2015-08-18T10:32:00Z</dcterms:modified>
</cp:coreProperties>
</file>