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¼ Cup ?</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Project Charter</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Project Statement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Many families and households are always looking for some new and creative meals to cook. However, the two largest roadblocks that normally arise is being able to find delicious and affordable recipes and making sure one has all the ingredients that is needed for a recipe they come across. Our application will allow users to browse through millions of recipes using keywords to find a meal they would like to make. Once the user decides they would like to make a recipe they find, they will have the option to add all or some of the ingredients needed to make the recipe to there in app shopping list. Users will also have the ability to sync list across multiple accounts, so recipes and shopping list can be shared across a group of people.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Objectives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Users can create lists and add items to a list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Users can assign items to categories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Users can create sorting orders for categories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Users can create accounts and sign in to the app</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Users can share their lists with each other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Changes to shared lists sync seamlessly between devices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Users can search for recipes and import ingredients to a list</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Stakeholders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Everyone that uses a grocery list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People that want to share their shopping lists with others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five developers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Recipe aggregation websites (Edamam)</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Deliverables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An Android app that users can use to create and share grocery lists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Will use Firebase to store and synchronize data and authenticate users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Will use Edamam API to retrieve food and recipe information</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