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POLÍTICA DE PRECIOS Y BLINDAJE FINANCIERO</w:t>
      </w:r>
    </w:p>
    <w:p>
      <w:r>
        <w:rPr>
          <w:b/>
        </w:rPr>
        <w:t xml:space="preserve">Empresa: </w:t>
      </w:r>
      <w:r>
        <w:t>SOLPRO</w:t>
        <w:br/>
      </w:r>
      <w:r>
        <w:rPr>
          <w:b/>
        </w:rPr>
        <w:t xml:space="preserve">Versión: </w:t>
      </w:r>
      <w:r>
        <w:t>6.0 (Actualización ELITE - Mayo 2026)</w:t>
        <w:br/>
      </w:r>
      <w:r>
        <w:rPr>
          <w:b/>
        </w:rPr>
        <w:t xml:space="preserve">Objetivo: </w:t>
      </w:r>
      <w:r>
        <w:t>Estandarizar el cálculo de costos, proteger el capital de reposición y garantizar la integridad absoluta de la base de datos comercial.</w:t>
      </w:r>
    </w:p>
    <w:p>
      <w:pPr>
        <w:pStyle w:val="Heading1"/>
      </w:pPr>
      <w:r>
        <w:t>1. LA REGLA DE ORO (Gestión de Divisas)</w:t>
      </w:r>
    </w:p>
    <w:p>
      <w:r>
        <w:t>"El dólar del mercado NO es nuestro dólar de costo."</w:t>
      </w:r>
    </w:p>
    <w:p>
      <w:r>
        <w:t>Diariamente, antes de la apertura, Administración debe actualizar la cotización en el panel superior del sistema. Esto activa automáticamente las dos bandas de protección financiera:</w:t>
      </w:r>
    </w:p>
    <w:p>
      <w:r>
        <w:rPr>
          <w:b/>
        </w:rPr>
        <w:t xml:space="preserve">BANDA PISO (Verde): </w:t>
      </w:r>
      <w:r>
        <w:t>Dólar Mercado + 150 puntos.</w:t>
        <w:br/>
      </w:r>
      <w:r>
        <w:rPr>
          <w:i/>
        </w:rPr>
        <w:t xml:space="preserve">Función: </w:t>
      </w:r>
      <w:r>
        <w:t>Es el "Costo Real de Reposición". Se usa para calcular precios de Contado, QR y costos de importación.</w:t>
      </w:r>
    </w:p>
    <w:p>
      <w:r>
        <w:rPr>
          <w:b/>
        </w:rPr>
        <w:t xml:space="preserve">BANDA TECHO (Azul): </w:t>
      </w:r>
      <w:r>
        <w:t>Dólar Mercado + 350 puntos.</w:t>
        <w:br/>
      </w:r>
      <w:r>
        <w:rPr>
          <w:i/>
        </w:rPr>
        <w:t xml:space="preserve">Función: </w:t>
      </w:r>
      <w:r>
        <w:t>Es la "Cobertura de Riesgo". Se usa exclusivamente para ventas a CRÉDITO en maquinaria industrial.</w:t>
      </w:r>
    </w:p>
    <w:p>
      <w:pPr>
        <w:pStyle w:val="Heading1"/>
      </w:pPr>
      <w:r>
        <w:t>2. ARQUITECTURA DE PRECIOS AL PÚBLICO</w:t>
      </w:r>
    </w:p>
    <w:p>
      <w:r>
        <w:t>Existen tres (3) niveles de precios oficiales. El vendedor debe aplicar estrictamente el que corresponda según el medio de pago y la línea de producto.</w:t>
      </w:r>
    </w:p>
    <w:p>
      <w:pPr>
        <w:pStyle w:val="Heading2"/>
      </w:pPr>
      <w:r>
        <w:t>A. PRECIO CONTADO (Base)</w:t>
      </w:r>
    </w:p>
    <w:p>
      <w:r>
        <w:t>Aplica a: Efectivo billete y Transferencias bancarias inmediatas.</w:t>
      </w:r>
    </w:p>
    <w:p>
      <w:r>
        <w:t>Cálculo: Costo Base / (1 - Margen). (Método de Margen Bruto).</w:t>
      </w:r>
    </w:p>
    <w:p>
      <w:r>
        <w:rPr>
          <w:color w:val="C80000"/>
        </w:rPr>
        <w:t>Restricción: PROHIBIDO aplicar descuentos sobre este precio. Ya está ajustado al límite competitivo.</w:t>
      </w:r>
    </w:p>
    <w:p>
      <w:pPr>
        <w:pStyle w:val="Heading2"/>
      </w:pPr>
      <w:r>
        <w:t>B. PRECIO DIGITAL (QR / UPAY / TARJETA)</w:t>
      </w:r>
    </w:p>
    <w:p>
      <w:r>
        <w:t>Lógica: Precio Contado + Recargo de Gestión (4%).</w:t>
      </w:r>
    </w:p>
    <w:p>
      <w:r>
        <w:t>Objetivo: El recargo cubre la comisión de la procesadora. A la caja de SOLPRO ingresa el valor neto de contado.</w:t>
      </w:r>
    </w:p>
    <w:p>
      <w:pPr>
        <w:pStyle w:val="Heading2"/>
      </w:pPr>
      <w:r>
        <w:t>C. PRECIO FINANCIADO (Crédito Propio)</w:t>
      </w:r>
    </w:p>
    <w:p>
      <w:r>
        <w:t>Aplica a: EXCLUSIVAMENTE para la LÍNEA INDUSTRIAL.</w:t>
      </w:r>
    </w:p>
    <w:p>
      <w:r>
        <w:t>Productos COMERCIALES (Epson F170, Cameo, Insumos): CRÉDITO BLOQUEADO. El sistema indicará "SOLO CONTADO/QR".</w:t>
      </w:r>
    </w:p>
    <w:p>
      <w:pPr>
        <w:pStyle w:val="Heading1"/>
      </w:pPr>
      <w:r>
        <w:t>3. POLÍTICA DE COMBOS MIXTOS (Insumos USD + GS)</w:t>
      </w:r>
    </w:p>
    <w:p>
      <w:r>
        <w:t>El sistema normaliza automáticamente los costos antes de sumar:</w:t>
      </w:r>
    </w:p>
    <w:p>
      <w:r>
        <w:t>• Ítems en DÓLARES: Se multiplican por la BANDA PISO del día.</w:t>
      </w:r>
    </w:p>
    <w:p>
      <w:r>
        <w:t>• Ítems en GUARANÍES: Se suman a su valor nominal.</w:t>
      </w:r>
    </w:p>
    <w:p>
      <w:pPr>
        <w:pStyle w:val="Heading1"/>
      </w:pPr>
      <w:r>
        <w:t>4. PROTOCOLO DE REDONDEO (EFECTO 90)</w:t>
      </w:r>
    </w:p>
    <w:p>
      <w:r>
        <w:t>Para mantener una estética comercial premium y proteger los márgenes, el sistema aplica automáticamente el Redondeo Solpro:</w:t>
      </w:r>
    </w:p>
    <w:p>
      <w:r>
        <w:rPr>
          <w:b/>
        </w:rPr>
        <w:t xml:space="preserve">• En Guaraníes (Gs): </w:t>
      </w:r>
      <w:r>
        <w:t>Se redondea al 100.000 más cercano y se restan 10.000. Si el pico es &lt; 50k, redondea hacia abajo. Si es &gt;= 50k, redondea hacia arriba.</w:t>
      </w:r>
    </w:p>
    <w:p>
      <w:r>
        <w:rPr>
          <w:b/>
        </w:rPr>
        <w:t>• En Dólares (USD):</w:t>
      </w:r>
    </w:p>
    <w:p>
      <w:r>
        <w:t xml:space="preserve">    - Máquinas (&gt;100): Redondeo al 100 más cercano - 10. (Ej: 5.170 → 5.190).</w:t>
      </w:r>
    </w:p>
    <w:p>
      <w:r>
        <w:t xml:space="preserve">    - Insumos (&lt;100): Redondeo a la decena más cercana - 1. (Ej: 34 → 29).</w:t>
      </w:r>
    </w:p>
    <w:p>
      <w:pPr>
        <w:pStyle w:val="Heading1"/>
      </w:pPr>
      <w:r>
        <w:t>5. OPERATORIA DEL SISTEMA (Funciones ELITE)</w:t>
      </w:r>
    </w:p>
    <w:p>
      <w:r>
        <w:t>El sistema de gestión v32.0 incluye herramientas avanzadas de auditoría:</w:t>
      </w:r>
    </w:p>
    <w:p>
      <w:r>
        <w:rPr>
          <w:b/>
        </w:rPr>
        <w:t xml:space="preserve">• Análisis de Profit: </w:t>
      </w:r>
      <w:r>
        <w:t>La columna "PROFIT" muestra la ganancia real neta (Venta - Costo Dólar Mercado), permitiendo un análisis financiero preciso sin buffers.</w:t>
      </w:r>
    </w:p>
    <w:p>
      <w:r>
        <w:rPr>
          <w:b/>
        </w:rPr>
        <w:t xml:space="preserve">• Exportación para Vendedores: </w:t>
      </w:r>
      <w:r>
        <w:t>El botón "Exportar" genera una lista limpia que excluye costos y márgenes internos, apta para distribución externa.</w:t>
      </w:r>
    </w:p>
    <w:p>
      <w:r>
        <w:rPr>
          <w:b/>
        </w:rPr>
        <w:t xml:space="preserve">• Sincronización Inteligente: </w:t>
      </w:r>
      <w:r>
        <w:t>El sistema añade automáticamente nuevos productos de la Master Data sin alterar los ajustes locales del usuario.</w:t>
      </w:r>
    </w:p>
    <w:p>
      <w:pPr>
        <w:pStyle w:val="Heading1"/>
      </w:pPr>
      <w:r>
        <w:t>6. PROTOCOLO DE VENTAS (Manejo de Objeciones)</w:t>
      </w:r>
    </w:p>
    <w:p>
      <w:r>
        <w:t>Cliente: "¿Por qué es más caro con QR si es débito?"</w:t>
      </w:r>
    </w:p>
    <w:p>
      <w:r>
        <w:t>Respuesta: "Señor, el precio de lista es el mismo. El precio en efectivo tiene un descuento especial por pago directo. Con QR usted accede a la seguridad digital y a los beneficios de puntos de su banco pagando el precio regular."</w:t>
      </w:r>
    </w:p>
    <w:p>
      <w:r>
        <w:br/>
        <w:t>Aprobado por Gerencia General</w:t>
        <w:br/>
        <w:t>Mayo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