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Para determinar si son "buenos números", debemos evaluar tanto el comportamiento histórico que muestran sus declaraciones impositivas como los principios básicos de análisis financiero.</w:t>
      </w:r>
    </w:p>
    <w:p w:rsidR="00000000" w:rsidDel="00000000" w:rsidP="00000000" w:rsidRDefault="00000000" w:rsidRPr="00000000" w14:paraId="00000002">
      <w:pPr>
        <w:rPr/>
      </w:pPr>
      <w:r w:rsidDel="00000000" w:rsidR="00000000" w:rsidRPr="00000000">
        <w:rPr>
          <w:rtl w:val="0"/>
        </w:rPr>
        <w:t xml:space="preserve">La respuesta corta es que </w:t>
      </w:r>
      <w:r w:rsidDel="00000000" w:rsidR="00000000" w:rsidRPr="00000000">
        <w:rPr>
          <w:b w:val="1"/>
          <w:bCs w:val="1"/>
          <w:rtl w:val="0"/>
        </w:rPr>
        <w:t xml:space="preserve">sí, son números positivos porque reflejan un crecimiento sólido y sostenido</w:t>
      </w:r>
      <w:r w:rsidDel="00000000" w:rsidR="00000000" w:rsidRPr="00000000">
        <w:rPr>
          <w:rtl w:val="0"/>
        </w:rPr>
        <w:t xml:space="preserve">, pero revelan que la empresa opera en un modelo de negocio bastante ajustado.</w:t>
      </w:r>
    </w:p>
    <w:p w:rsidR="00000000" w:rsidDel="00000000" w:rsidP="00000000" w:rsidRDefault="00000000" w:rsidRPr="00000000" w14:paraId="00000003">
      <w:pPr>
        <w:rPr/>
      </w:pPr>
      <w:r w:rsidDel="00000000" w:rsidR="00000000" w:rsidRPr="00000000">
        <w:rPr>
          <w:rtl w:val="0"/>
        </w:rPr>
        <w:t xml:space="preserve">Aquí te detallo las conclusiones sobre por qué se consideran buenos o qué riesgos conllevan:</w:t>
      </w:r>
    </w:p>
    <w:p w:rsidR="00000000" w:rsidDel="00000000" w:rsidP="00000000" w:rsidRDefault="00000000" w:rsidRPr="00000000" w14:paraId="00000004">
      <w:pPr>
        <w:rPr/>
      </w:pPr>
      <w:r w:rsidDel="00000000" w:rsidR="00000000" w:rsidRPr="00000000">
        <w:rPr>
          <w:b w:val="1"/>
          <w:bCs w:val="1"/>
          <w:rtl w:val="0"/>
        </w:rPr>
        <w:t xml:space="preserve">1. Crecimiento sostenido de ventas y rentabilidad (Muy Positivo)</w:t>
      </w:r>
      <w:r w:rsidDel="00000000" w:rsidR="00000000" w:rsidRPr="00000000">
        <w:rPr>
          <w:rtl w:val="0"/>
        </w:rPr>
        <w:t xml:space="preserve">Los números muestran que la empresa no está estancada. Sus ventas brutas crecieron de forma constante, pasando de Gs. 2.626 millones en el ejercicio 2020 a Gs. 3.858 millones en el 2025 1. A la par que crecieron sus ventas, su eficiencia también mejoró: su rentabilidad neta pasó del 1,33% al 3,96% en ese mismo periodo de cinco años 1. Crecer en facturación y al mismo tiempo triplicar el margen de ganancia neta es un excelente indicador de salud empresarial.</w:t>
      </w:r>
    </w:p>
    <w:p w:rsidR="00000000" w:rsidDel="00000000" w:rsidP="00000000" w:rsidRDefault="00000000" w:rsidRPr="00000000" w14:paraId="00000005">
      <w:pPr>
        <w:rPr/>
      </w:pPr>
      <w:r w:rsidDel="00000000" w:rsidR="00000000" w:rsidRPr="00000000">
        <w:rPr>
          <w:b w:val="1"/>
          <w:bCs w:val="1"/>
          <w:rtl w:val="0"/>
        </w:rPr>
        <w:t xml:space="preserve">2. Modelo de negocio de "Alto Volumen, Bajo Margen" (Márgenes Ajustados)</w:t>
      </w:r>
      <w:r w:rsidDel="00000000" w:rsidR="00000000" w:rsidRPr="00000000">
        <w:rPr>
          <w:rtl w:val="0"/>
        </w:rPr>
        <w:t xml:space="preserve">Tener un margen de rentabilidad bruta (Markup) fiscal del 7,84% 2 significa que por cada Gs. 100.000 que la empresa factura, sus costos directos de mercadería se llevan más de Gs. 92.000.</w:t>
      </w:r>
      <w:r w:rsidDel="00000000" w:rsidR="00000000" w:rsidRPr="00000000">
        <w:rPr>
          <w:i w:val="1"/>
          <w:iCs w:val="1"/>
          <w:rtl w:val="0"/>
        </w:rPr>
        <w:t xml:space="preserve">(Nota experta fuera de las fuentes: En la industria comercial general, operar con márgenes brutos menores al 10% y márgenes netos del 3% al 4% se considera bastante bajo o "fino").</w:t>
      </w:r>
      <w:r w:rsidDel="00000000" w:rsidR="00000000" w:rsidRPr="00000000">
        <w:rPr>
          <w:rtl w:val="0"/>
        </w:rPr>
        <w:t xml:space="preserve">Esto no es necesariamente malo, pero te indica que la empresa </w:t>
      </w:r>
      <w:r w:rsidDel="00000000" w:rsidR="00000000" w:rsidRPr="00000000">
        <w:rPr>
          <w:b w:val="1"/>
          <w:bCs w:val="1"/>
          <w:rtl w:val="0"/>
        </w:rPr>
        <w:t xml:space="preserve">depende estrictamente de vender un alto volumen</w:t>
      </w:r>
      <w:r w:rsidDel="00000000" w:rsidR="00000000" w:rsidRPr="00000000">
        <w:rPr>
          <w:rtl w:val="0"/>
        </w:rPr>
        <w:t xml:space="preserve"> para que ese pequeño 3,96% se traduzca en dinero real (que en 2025 representó una ganancia neta de Gs. 153 millones) 1. Si sus ventas cayeran repentinamente, su bajo margen los dejaría rápidamente operando a pérdida.</w:t>
      </w:r>
    </w:p>
    <w:p w:rsidR="00000000" w:rsidDel="00000000" w:rsidP="00000000" w:rsidRDefault="00000000" w:rsidRPr="00000000" w14:paraId="00000006">
      <w:pPr>
        <w:rPr/>
      </w:pPr>
      <w:r w:rsidDel="00000000" w:rsidR="00000000" w:rsidRPr="00000000">
        <w:rPr>
          <w:b w:val="1"/>
          <w:bCs w:val="1"/>
          <w:rtl w:val="0"/>
        </w:rPr>
        <w:t xml:space="preserve">3. La perspectiva del Estado: Es una empresa sólida y solvente</w:t>
      </w:r>
      <w:r w:rsidDel="00000000" w:rsidR="00000000" w:rsidRPr="00000000">
        <w:rPr>
          <w:rtl w:val="0"/>
        </w:rPr>
        <w:t xml:space="preserve">Un excelente indicador para calificar estos números como "buenos" nos lo da la propia exigencia de la Dirección Nacional de Ingresos Tributarios (DNIT). Según las normativas del IRE, cuando el promedio de los impuestos pagados por una empresa en los últimos 3 años supera los Gs. 10.000.000, el Estado considera que la empresa tiene una salud de caja suficientemente sólida como para exigirle "Anticipos" para el año siguiente 3.</w:t>
      </w:r>
    </w:p>
    <w:p w:rsidR="00000000" w:rsidDel="00000000" w:rsidP="00000000" w:rsidRDefault="00000000" w:rsidRPr="00000000" w14:paraId="00000007">
      <w:pPr>
        <w:rPr/>
      </w:pPr>
      <w:r w:rsidDel="00000000" w:rsidR="00000000" w:rsidRPr="00000000">
        <w:rPr>
          <w:rtl w:val="0"/>
        </w:rPr>
        <w:t xml:space="preserve">Al observar su declaración, el promedio de los impuestos de Sol Pro SRL fue de Gs. 11.719.745 4, lo que obligó al sistema a generarle cuotas de anticipo de flujo de caja por adelantado 4, 5. El hecho de que el Fisco la categorice en este nivel demuestra que la empresa tiene solvencia real frente a la administración pública 3.</w:t>
      </w:r>
    </w:p>
    <w:p w:rsidR="00000000" w:rsidDel="00000000" w:rsidP="00000000" w:rsidRDefault="00000000" w:rsidRPr="00000000" w14:paraId="00000008">
      <w:pPr>
        <w:rPr/>
      </w:pPr>
      <w:r w:rsidDel="00000000" w:rsidR="00000000" w:rsidRPr="00000000">
        <w:rPr>
          <w:b w:val="1"/>
          <w:bCs w:val="1"/>
          <w:rtl w:val="0"/>
        </w:rPr>
        <w:t xml:space="preserve">En conclusión:</w:t>
      </w:r>
      <w:r w:rsidDel="00000000" w:rsidR="00000000" w:rsidRPr="00000000">
        <w:rPr>
          <w:rtl w:val="0"/>
        </w:rPr>
        <w:t xml:space="preserve"> Son buenos números porque demuestran que es una empresa sana, formal, que no arrastra pérdidas de ejercicios anteriores 3 y que está logrando expandirse año a año. Su único punto de atención es que sus márgenes por producto son sumamente estrechos, por lo que su éxito financiero radica en no frenar nunca su maquinaria de ventas.</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