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Técnico y Estratégico: Análisis del Nuevo Régimen de Incentivos Fiscales para la Inversión (Ley N° 7.548/2025) en Paraguay</w:t>
      </w:r>
    </w:p>
    <w:p w:rsidR="00000000" w:rsidDel="00000000" w:rsidP="00000000" w:rsidRDefault="00000000" w:rsidRPr="00000000" w14:paraId="00000002">
      <w:pPr>
        <w:rPr/>
      </w:pPr>
      <w:r w:rsidDel="00000000" w:rsidR="00000000" w:rsidRPr="00000000">
        <w:rPr>
          <w:b w:val="1"/>
          <w:bCs w:val="1"/>
          <w:rtl w:val="0"/>
        </w:rPr>
        <w:t xml:space="preserve">Dirigido a:</w:t>
      </w:r>
      <w:r w:rsidDel="00000000" w:rsidR="00000000" w:rsidRPr="00000000">
        <w:rPr>
          <w:rtl w:val="0"/>
        </w:rPr>
        <w:t xml:space="preserve"> Asesores Corporativos, Inversores Internacionales y Directivos de Empresas Extranjeras (C-Level).</w:t>
      </w:r>
      <w:r w:rsidDel="00000000" w:rsidR="00000000" w:rsidRPr="00000000">
        <w:rPr>
          <w:b w:val="1"/>
          <w:bCs w:val="1"/>
          <w:rtl w:val="0"/>
        </w:rPr>
        <w:t xml:space="preserve">Objetivo:</w:t>
      </w:r>
      <w:r w:rsidDel="00000000" w:rsidR="00000000" w:rsidRPr="00000000">
        <w:rPr>
          <w:rtl w:val="0"/>
        </w:rPr>
        <w:t xml:space="preserve"> Proveer un marco analítico sobre la seguridad jurídica y las herramientas de optimización fiscal introducidas por la Ley 7.548/2025 para operaciones en la República del Paraguay.</w:t>
      </w:r>
    </w:p>
    <w:p w:rsidR="00000000" w:rsidDel="00000000" w:rsidP="00000000" w:rsidRDefault="00000000" w:rsidRPr="00000000" w14:paraId="00000003">
      <w:pPr>
        <w:pStyle w:val="Heading3"/>
        <w:rPr/>
      </w:pPr>
      <w:bookmarkStart w:colFirst="0" w:colLast="0" w:name="_ep3apukpgfd5" w:id="0"/>
      <w:bookmarkEnd w:id="0"/>
      <w:r w:rsidDel="00000000" w:rsidR="00000000" w:rsidRPr="00000000">
        <w:rPr>
          <w:rtl w:val="0"/>
        </w:rPr>
        <w:t xml:space="preserve">1. Resumen Ejecutivo y Valor Estratégico</w:t>
      </w:r>
    </w:p>
    <w:p w:rsidR="00000000" w:rsidDel="00000000" w:rsidP="00000000" w:rsidRDefault="00000000" w:rsidRPr="00000000" w14:paraId="00000004">
      <w:pPr>
        <w:rPr/>
      </w:pPr>
      <w:r w:rsidDel="00000000" w:rsidR="00000000" w:rsidRPr="00000000">
        <w:rPr>
          <w:rtl w:val="0"/>
        </w:rPr>
        <w:t xml:space="preserve">El marco regulatorio paraguayo ha experimentado una transformación paradigmática con la promulgación de la </w:t>
      </w:r>
      <w:r w:rsidDel="00000000" w:rsidR="00000000" w:rsidRPr="00000000">
        <w:rPr>
          <w:b w:val="1"/>
          <w:bCs w:val="1"/>
          <w:rtl w:val="0"/>
        </w:rPr>
        <w:t xml:space="preserve">Ley N° 7.548/2025</w:t>
      </w:r>
      <w:r w:rsidDel="00000000" w:rsidR="00000000" w:rsidRPr="00000000">
        <w:rPr>
          <w:rtl w:val="0"/>
        </w:rPr>
        <w:t xml:space="preserve">, la cual establece el Nuevo Régimen de Incentivos Fiscales para la Inversión Nacional y Extranjera 1, 2. Esta normativa reemplaza a la histórica Ley 60/90, modernizando el ecosistema de negocios y proporcionando una </w:t>
      </w:r>
      <w:r w:rsidDel="00000000" w:rsidR="00000000" w:rsidRPr="00000000">
        <w:rPr>
          <w:b w:val="1"/>
          <w:bCs w:val="1"/>
          <w:rtl w:val="0"/>
        </w:rPr>
        <w:t xml:space="preserve">herramienta de alta competitividad para la optimización financiera y la seguridad jurídica</w:t>
      </w:r>
      <w:r w:rsidDel="00000000" w:rsidR="00000000" w:rsidRPr="00000000">
        <w:rPr>
          <w:rtl w:val="0"/>
        </w:rPr>
        <w:t xml:space="preserve"> de los proyectos corporativos a largo plazo 2, 3. El régimen busca impulsar la integración productiva, la generación de empleo y la incorporación de tecnología mediante exoneraciones tributarias altamente atractivas 4.</w:t>
      </w:r>
    </w:p>
    <w:p w:rsidR="00000000" w:rsidDel="00000000" w:rsidP="00000000" w:rsidRDefault="00000000" w:rsidRPr="00000000" w14:paraId="00000005">
      <w:pPr>
        <w:pStyle w:val="Heading3"/>
        <w:rPr/>
      </w:pPr>
      <w:bookmarkStart w:colFirst="0" w:colLast="0" w:name="_o7no2rxuvmrm" w:id="1"/>
      <w:bookmarkEnd w:id="1"/>
      <w:r w:rsidDel="00000000" w:rsidR="00000000" w:rsidRPr="00000000">
        <w:rPr>
          <w:rtl w:val="0"/>
        </w:rPr>
        <w:t xml:space="preserve">2. Optimización Fiscal: Beneficios y Condiciones de Inversión Mínima</w:t>
      </w:r>
    </w:p>
    <w:p w:rsidR="00000000" w:rsidDel="00000000" w:rsidP="00000000" w:rsidRDefault="00000000" w:rsidRPr="00000000" w14:paraId="00000006">
      <w:pPr>
        <w:rPr/>
      </w:pPr>
      <w:r w:rsidDel="00000000" w:rsidR="00000000" w:rsidRPr="00000000">
        <w:rPr>
          <w:rtl w:val="0"/>
        </w:rPr>
        <w:t xml:space="preserve">La Ley 7.548/2025 diseña un esquema de incentivos estructurado para reducir drásticamente el costo de capital y mejorar el retorno sobre la inversión (ROI).</w:t>
      </w:r>
    </w:p>
    <w:p w:rsidR="00000000" w:rsidDel="00000000" w:rsidP="00000000" w:rsidRDefault="00000000" w:rsidRPr="00000000" w14:paraId="00000007">
      <w:pPr>
        <w:rPr>
          <w:b w:val="1"/>
          <w:bCs w:val="1"/>
        </w:rPr>
      </w:pPr>
      <w:r w:rsidDel="00000000" w:rsidR="00000000" w:rsidRPr="00000000">
        <w:rPr>
          <w:b w:val="1"/>
          <w:bCs w:val="1"/>
          <w:rtl w:val="0"/>
        </w:rPr>
        <w:t xml:space="preserve">Beneficios Generales:</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Exoneración de Aranceles Aduaneros:</w:t>
      </w:r>
      <w:r w:rsidDel="00000000" w:rsidR="00000000" w:rsidRPr="00000000">
        <w:rPr>
          <w:rtl w:val="0"/>
        </w:rPr>
        <w:t xml:space="preserve"> Aplica a la importación de bienes de capital, así como a materias primas e insumos destinados a la fabricación local de dichos bienes 5, 6.</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Exoneración del IVA:</w:t>
      </w:r>
      <w:r w:rsidDel="00000000" w:rsidR="00000000" w:rsidRPr="00000000">
        <w:rPr>
          <w:rtl w:val="0"/>
        </w:rPr>
        <w:t xml:space="preserve"> Se exonera el Impuesto al Valor Agregado en la importación de estos bienes, y, de forma estratégica, </w:t>
      </w:r>
      <w:r w:rsidDel="00000000" w:rsidR="00000000" w:rsidRPr="00000000">
        <w:rPr>
          <w:b w:val="1"/>
          <w:bCs w:val="1"/>
          <w:rtl w:val="0"/>
        </w:rPr>
        <w:t xml:space="preserve">en la primera enajenación de bienes de capital</w:t>
      </w:r>
      <w:r w:rsidDel="00000000" w:rsidR="00000000" w:rsidRPr="00000000">
        <w:rPr>
          <w:rtl w:val="0"/>
        </w:rPr>
        <w:t xml:space="preserve"> importados o adquiridos en el mercado local bajo este régimen, siempre que la transferencia se realice entre empresas beneficiarias 6, 7.</w:t>
      </w:r>
    </w:p>
    <w:p w:rsidR="00000000" w:rsidDel="00000000" w:rsidP="00000000" w:rsidRDefault="00000000" w:rsidRPr="00000000" w14:paraId="0000000A">
      <w:pPr>
        <w:rPr/>
      </w:pPr>
      <w:r w:rsidDel="00000000" w:rsidR="00000000" w:rsidRPr="00000000">
        <w:rPr>
          <w:b w:val="1"/>
          <w:bCs w:val="1"/>
          <w:rtl w:val="0"/>
        </w:rPr>
        <w:t xml:space="preserve">Exoneraciones Estratégicas para Grandes Inversiones (IDU e INR):</w:t>
      </w:r>
      <w:r w:rsidDel="00000000" w:rsidR="00000000" w:rsidRPr="00000000">
        <w:rPr>
          <w:rtl w:val="0"/>
        </w:rPr>
        <w:t xml:space="preserve">Para proyectos de gran envergadura, la ley establece un umbral de </w:t>
      </w:r>
      <w:r w:rsidDel="00000000" w:rsidR="00000000" w:rsidRPr="00000000">
        <w:rPr>
          <w:b w:val="1"/>
          <w:bCs w:val="1"/>
          <w:rtl w:val="0"/>
        </w:rPr>
        <w:t xml:space="preserve">inversión mínima de USD 13.000.000 (trece millones de dólares estadounidenses)</w:t>
      </w:r>
      <w:r w:rsidDel="00000000" w:rsidR="00000000" w:rsidRPr="00000000">
        <w:rPr>
          <w:rtl w:val="0"/>
        </w:rPr>
        <w:t xml:space="preserve"> para acceder a exenciones fiscales críticas 8-10. Es imperativo destacar que </w:t>
      </w:r>
      <w:r w:rsidDel="00000000" w:rsidR="00000000" w:rsidRPr="00000000">
        <w:rPr>
          <w:b w:val="1"/>
          <w:bCs w:val="1"/>
          <w:rtl w:val="0"/>
        </w:rPr>
        <w:t xml:space="preserve">no se permite la acumulación de montos de diferentes proyectos</w:t>
      </w:r>
      <w:r w:rsidDel="00000000" w:rsidR="00000000" w:rsidRPr="00000000">
        <w:rPr>
          <w:rtl w:val="0"/>
        </w:rPr>
        <w:t xml:space="preserve"> para alcanzar este umbral 11.</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Exoneración del Impuesto a los Dividendos y Utilidades (IDU):</w:t>
      </w:r>
      <w:r w:rsidDel="00000000" w:rsidR="00000000" w:rsidRPr="00000000">
        <w:rPr>
          <w:rtl w:val="0"/>
        </w:rPr>
        <w:t xml:space="preserve"> Se otorga por un período de </w:t>
      </w:r>
      <w:r w:rsidDel="00000000" w:rsidR="00000000" w:rsidRPr="00000000">
        <w:rPr>
          <w:b w:val="1"/>
          <w:bCs w:val="1"/>
          <w:rtl w:val="0"/>
        </w:rPr>
        <w:t xml:space="preserve">10 años</w:t>
      </w:r>
      <w:r w:rsidDel="00000000" w:rsidR="00000000" w:rsidRPr="00000000">
        <w:rPr>
          <w:rtl w:val="0"/>
        </w:rPr>
        <w:t xml:space="preserve">, contados a partir de la primera generación de utilidades o dividendos del proyecto 9, 10. Para los </w:t>
      </w:r>
      <w:r w:rsidDel="00000000" w:rsidR="00000000" w:rsidRPr="00000000">
        <w:rPr>
          <w:b w:val="1"/>
          <w:bCs w:val="1"/>
          <w:rtl w:val="0"/>
        </w:rPr>
        <w:t xml:space="preserve">inversores extranjeros (no residentes)</w:t>
      </w:r>
      <w:r w:rsidDel="00000000" w:rsidR="00000000" w:rsidRPr="00000000">
        <w:rPr>
          <w:rtl w:val="0"/>
        </w:rPr>
        <w:t xml:space="preserve">, esta exención está sujeta a dos condiciones de estricto cumplimiento para evitar distorsiones internacionales: la inversión </w:t>
      </w:r>
      <w:r w:rsidDel="00000000" w:rsidR="00000000" w:rsidRPr="00000000">
        <w:rPr>
          <w:b w:val="1"/>
          <w:bCs w:val="1"/>
          <w:rtl w:val="0"/>
        </w:rPr>
        <w:t xml:space="preserve">no debe proceder de un territorio de baja o nula tributación (BONT)</w:t>
      </w:r>
      <w:r w:rsidDel="00000000" w:rsidR="00000000" w:rsidRPr="00000000">
        <w:rPr>
          <w:rtl w:val="0"/>
        </w:rPr>
        <w:t xml:space="preserve">, y el impuesto exonerado </w:t>
      </w:r>
      <w:r w:rsidDel="00000000" w:rsidR="00000000" w:rsidRPr="00000000">
        <w:rPr>
          <w:b w:val="1"/>
          <w:bCs w:val="1"/>
          <w:rtl w:val="0"/>
        </w:rPr>
        <w:t xml:space="preserve">no debe ser reconocido como crédito fiscal</w:t>
      </w:r>
      <w:r w:rsidDel="00000000" w:rsidR="00000000" w:rsidRPr="00000000">
        <w:rPr>
          <w:rtl w:val="0"/>
        </w:rPr>
        <w:t xml:space="preserve"> para el inversor en su país de origen 6, 9.</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Exoneración del Impuesto a la Renta de No Residentes (INR):</w:t>
      </w:r>
      <w:r w:rsidDel="00000000" w:rsidR="00000000" w:rsidRPr="00000000">
        <w:rPr>
          <w:rtl w:val="0"/>
        </w:rPr>
        <w:t xml:space="preserve"> Aplica sobre los intereses, comisiones y recargos que se remesen al exterior a entidades bancarias, financieras o instituciones de crédito internacionales en concepto de </w:t>
      </w:r>
      <w:r w:rsidDel="00000000" w:rsidR="00000000" w:rsidRPr="00000000">
        <w:rPr>
          <w:b w:val="1"/>
          <w:bCs w:val="1"/>
          <w:rtl w:val="0"/>
        </w:rPr>
        <w:t xml:space="preserve">préstamos para la financiación del proyecto</w:t>
      </w:r>
      <w:r w:rsidDel="00000000" w:rsidR="00000000" w:rsidRPr="00000000">
        <w:rPr>
          <w:rtl w:val="0"/>
        </w:rPr>
        <w:t xml:space="preserve"> 6, 8, 10. Este beneficio se extiende por todo el plazo que dure el financiamiento 6, 8.</w:t>
      </w:r>
    </w:p>
    <w:p w:rsidR="00000000" w:rsidDel="00000000" w:rsidP="00000000" w:rsidRDefault="00000000" w:rsidRPr="00000000" w14:paraId="0000000D">
      <w:pPr>
        <w:pStyle w:val="Heading3"/>
        <w:rPr/>
      </w:pPr>
      <w:bookmarkStart w:colFirst="0" w:colLast="0" w:name="_c73fv1pqufb5" w:id="2"/>
      <w:bookmarkEnd w:id="2"/>
      <w:r w:rsidDel="00000000" w:rsidR="00000000" w:rsidRPr="00000000">
        <w:rPr>
          <w:rtl w:val="0"/>
        </w:rPr>
        <w:t xml:space="preserve">3. Criterios de Expansión Corporativa: Ampliación y Modernización</w:t>
      </w:r>
    </w:p>
    <w:p w:rsidR="00000000" w:rsidDel="00000000" w:rsidP="00000000" w:rsidRDefault="00000000" w:rsidRPr="00000000" w14:paraId="0000000E">
      <w:pPr>
        <w:rPr/>
      </w:pPr>
      <w:r w:rsidDel="00000000" w:rsidR="00000000" w:rsidRPr="00000000">
        <w:rPr>
          <w:rtl w:val="0"/>
        </w:rPr>
        <w:t xml:space="preserve">El marco legal promueve el ciclo de vida continuo de los negocios, permitiendo la renovación de incentivos para proyectos ya instalados, mediante dos figuras claramente definidas: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Ampliación:</w:t>
      </w:r>
      <w:r w:rsidDel="00000000" w:rsidR="00000000" w:rsidRPr="00000000">
        <w:rPr>
          <w:rtl w:val="0"/>
        </w:rPr>
        <w:t xml:space="preserve"> Consiste en incrementar la capacidad productiva o la escala de operaciones del proyecto a través de la construcción de nuevas instalaciones, la adquisición de bienes de capital adicionales o la incorporación de mayor capital humano 12.</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Modernización:</w:t>
      </w:r>
      <w:r w:rsidDel="00000000" w:rsidR="00000000" w:rsidRPr="00000000">
        <w:rPr>
          <w:rtl w:val="0"/>
        </w:rPr>
        <w:t xml:space="preserve"> Se refiere a la mejora del proyecto de inversión mediante la </w:t>
      </w:r>
      <w:r w:rsidDel="00000000" w:rsidR="00000000" w:rsidRPr="00000000">
        <w:rPr>
          <w:b w:val="1"/>
          <w:bCs w:val="1"/>
          <w:rtl w:val="0"/>
        </w:rPr>
        <w:t xml:space="preserve">incorporación de nuevas tecnologías, prácticas más eficientes o métodos sostenibles</w:t>
      </w:r>
      <w:r w:rsidDel="00000000" w:rsidR="00000000" w:rsidRPr="00000000">
        <w:rPr>
          <w:rtl w:val="0"/>
        </w:rPr>
        <w:t xml:space="preserve"> que logren optimizar los procesos industriales, productivos o de servicios 13.</w:t>
      </w:r>
    </w:p>
    <w:p w:rsidR="00000000" w:rsidDel="00000000" w:rsidP="00000000" w:rsidRDefault="00000000" w:rsidRPr="00000000" w14:paraId="00000011">
      <w:pPr>
        <w:rPr/>
      </w:pPr>
      <w:r w:rsidDel="00000000" w:rsidR="00000000" w:rsidRPr="00000000">
        <w:rPr>
          <w:rtl w:val="0"/>
        </w:rPr>
        <w:t xml:space="preserve">Las solicitudes de renovación para estos fines pueden presentarse </w:t>
      </w:r>
      <w:r w:rsidDel="00000000" w:rsidR="00000000" w:rsidRPr="00000000">
        <w:rPr>
          <w:b w:val="1"/>
          <w:bCs w:val="1"/>
          <w:rtl w:val="0"/>
        </w:rPr>
        <w:t xml:space="preserve">dentro de los primeros 20 años</w:t>
      </w:r>
      <w:r w:rsidDel="00000000" w:rsidR="00000000" w:rsidRPr="00000000">
        <w:rPr>
          <w:rtl w:val="0"/>
        </w:rPr>
        <w:t xml:space="preserve"> desde la concesión original 6, 14. Si las nuevas inversiones de ampliación o modernización superan nuevamente los USD 13.000.000, la exoneración del IDU por 10 años adicionales puede volver a activarse 14.</w:t>
      </w:r>
    </w:p>
    <w:p w:rsidR="00000000" w:rsidDel="00000000" w:rsidP="00000000" w:rsidRDefault="00000000" w:rsidRPr="00000000" w14:paraId="00000012">
      <w:pPr>
        <w:pStyle w:val="Heading3"/>
        <w:rPr/>
      </w:pPr>
      <w:bookmarkStart w:colFirst="0" w:colLast="0" w:name="_qjciblz30lz2" w:id="3"/>
      <w:bookmarkEnd w:id="3"/>
      <w:r w:rsidDel="00000000" w:rsidR="00000000" w:rsidRPr="00000000">
        <w:rPr>
          <w:rtl w:val="0"/>
        </w:rPr>
        <w:t xml:space="preserve">4. Gobernanza y Seguridad Jurídica: El Rol del Consejo de Inversiones</w:t>
      </w:r>
    </w:p>
    <w:p w:rsidR="00000000" w:rsidDel="00000000" w:rsidP="00000000" w:rsidRDefault="00000000" w:rsidRPr="00000000" w14:paraId="00000013">
      <w:pPr>
        <w:rPr/>
      </w:pPr>
      <w:r w:rsidDel="00000000" w:rsidR="00000000" w:rsidRPr="00000000">
        <w:rPr>
          <w:rtl w:val="0"/>
        </w:rPr>
        <w:t xml:space="preserve">Para garantizar la transparencia y el correcto otorgamiento de los beneficios, la ley fortalece la figura del </w:t>
      </w:r>
      <w:r w:rsidDel="00000000" w:rsidR="00000000" w:rsidRPr="00000000">
        <w:rPr>
          <w:b w:val="1"/>
          <w:bCs w:val="1"/>
          <w:rtl w:val="0"/>
        </w:rPr>
        <w:t xml:space="preserve">Consejo de Inversiones</w:t>
      </w:r>
      <w:r w:rsidDel="00000000" w:rsidR="00000000" w:rsidRPr="00000000">
        <w:rPr>
          <w:rtl w:val="0"/>
        </w:rPr>
        <w:t xml:space="preserve">, un órgano colegiado presidido por el Ministerio de Industria y Comercio e integrado por representantes de múltiples ministerios y del sector privado 15, 16.</w:t>
      </w:r>
    </w:p>
    <w:p w:rsidR="00000000" w:rsidDel="00000000" w:rsidP="00000000" w:rsidRDefault="00000000" w:rsidRPr="00000000" w14:paraId="00000014">
      <w:pPr>
        <w:rPr>
          <w:b w:val="1"/>
          <w:bCs w:val="1"/>
        </w:rPr>
      </w:pPr>
      <w:r w:rsidDel="00000000" w:rsidR="00000000" w:rsidRPr="00000000">
        <w:rPr>
          <w:b w:val="1"/>
          <w:bCs w:val="1"/>
          <w:rtl w:val="0"/>
        </w:rPr>
        <w:t xml:space="preserve">Funciones y Atribuciones Clave:</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Evaluación y Dictamen:</w:t>
      </w:r>
      <w:r w:rsidDel="00000000" w:rsidR="00000000" w:rsidRPr="00000000">
        <w:rPr>
          <w:rtl w:val="0"/>
        </w:rPr>
        <w:t xml:space="preserve"> Es el ente encargado de analizar técnica y económicamente los proyectos de inversión para asegurar que cumplan con los objetivos de desarrollo del Estado antes de recomendar la concesión de los beneficios mediante resolución Biministerial 17-19.</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Control y Fiscalización Rigurosa:</w:t>
      </w:r>
      <w:r w:rsidDel="00000000" w:rsidR="00000000" w:rsidRPr="00000000">
        <w:rPr>
          <w:rtl w:val="0"/>
        </w:rPr>
        <w:t xml:space="preserve"> Ejerce la supervisión sobre el cumplimiento de los cronogramas de inversión a través de su Secretaría Ejecutiva, implementando un sistema de vigilancia dual: </w:t>
      </w:r>
      <w:r w:rsidDel="00000000" w:rsidR="00000000" w:rsidRPr="00000000">
        <w:rPr>
          <w:b w:val="1"/>
          <w:bCs w:val="1"/>
          <w:rtl w:val="0"/>
        </w:rPr>
        <w:t xml:space="preserve">controles </w:t>
      </w:r>
      <w:r w:rsidDel="00000000" w:rsidR="00000000" w:rsidRPr="00000000">
        <w:rPr>
          <w:b w:val="1"/>
          <w:bCs w:val="1"/>
          <w:i w:val="1"/>
          <w:iCs w:val="1"/>
          <w:rtl w:val="0"/>
        </w:rPr>
        <w:t xml:space="preserve">in situ</w:t>
      </w:r>
      <w:r w:rsidDel="00000000" w:rsidR="00000000" w:rsidRPr="00000000">
        <w:rPr>
          <w:b w:val="1"/>
          <w:bCs w:val="1"/>
          <w:rtl w:val="0"/>
        </w:rPr>
        <w:t xml:space="preserve"> (inspecciones presenciales) y </w:t>
      </w:r>
      <w:r w:rsidDel="00000000" w:rsidR="00000000" w:rsidRPr="00000000">
        <w:rPr>
          <w:b w:val="1"/>
          <w:bCs w:val="1"/>
          <w:i w:val="1"/>
          <w:iCs w:val="1"/>
          <w:rtl w:val="0"/>
        </w:rPr>
        <w:t xml:space="preserve">extra situ</w:t>
      </w:r>
      <w:r w:rsidDel="00000000" w:rsidR="00000000" w:rsidRPr="00000000">
        <w:rPr>
          <w:b w:val="1"/>
          <w:bCs w:val="1"/>
          <w:rtl w:val="0"/>
        </w:rPr>
        <w:t xml:space="preserve"> (revisión documental)</w:t>
      </w:r>
      <w:r w:rsidDel="00000000" w:rsidR="00000000" w:rsidRPr="00000000">
        <w:rPr>
          <w:rtl w:val="0"/>
        </w:rPr>
        <w:t xml:space="preserve">, sumados a controles aleatorios por sorteo 20-22.</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Gestión de Irregularidades:</w:t>
      </w:r>
      <w:r w:rsidDel="00000000" w:rsidR="00000000" w:rsidRPr="00000000">
        <w:rPr>
          <w:rtl w:val="0"/>
        </w:rPr>
        <w:t xml:space="preserve"> Tiene la potestad de emitir medidas correctivas si detecta discrepancias en la ejecución del proyecto 23, 24. El incumplimiento de estas medidas, o la enajenación indebida de los bienes antes del plazo obligatorio de 5 años, faculta al Consejo a recomendar la </w:t>
      </w:r>
      <w:r w:rsidDel="00000000" w:rsidR="00000000" w:rsidRPr="00000000">
        <w:rPr>
          <w:b w:val="1"/>
          <w:bCs w:val="1"/>
          <w:rtl w:val="0"/>
        </w:rPr>
        <w:t xml:space="preserve">revocación total o parcial de los beneficios fiscales</w:t>
      </w:r>
      <w:r w:rsidDel="00000000" w:rsidR="00000000" w:rsidRPr="00000000">
        <w:rPr>
          <w:rtl w:val="0"/>
        </w:rPr>
        <w:t xml:space="preserve">, lo que exige la devolución de los tributos exonerados 25-27.</w:t>
      </w:r>
    </w:p>
    <w:p w:rsidR="00000000" w:rsidDel="00000000" w:rsidP="00000000" w:rsidRDefault="00000000" w:rsidRPr="00000000" w14:paraId="00000018">
      <w:pPr>
        <w:pStyle w:val="Heading3"/>
        <w:rPr/>
      </w:pPr>
      <w:bookmarkStart w:colFirst="0" w:colLast="0" w:name="_5ek0qdtc3ewh" w:id="4"/>
      <w:bookmarkEnd w:id="4"/>
      <w:r w:rsidDel="00000000" w:rsidR="00000000" w:rsidRPr="00000000">
        <w:rPr>
          <w:rtl w:val="0"/>
        </w:rPr>
        <w:t xml:space="preserve">5. Innovación Financiera: Fideicomiso de Garantía</w:t>
      </w:r>
    </w:p>
    <w:p w:rsidR="00000000" w:rsidDel="00000000" w:rsidP="00000000" w:rsidRDefault="00000000" w:rsidRPr="00000000" w14:paraId="00000019">
      <w:pPr>
        <w:rPr/>
      </w:pPr>
      <w:r w:rsidDel="00000000" w:rsidR="00000000" w:rsidRPr="00000000">
        <w:rPr>
          <w:rtl w:val="0"/>
        </w:rPr>
        <w:t xml:space="preserve">Como un elemento fundamental para la estructuración de capital corporativo (Corporate Finance), la Ley 7.548 introduce la figura de la </w:t>
      </w:r>
      <w:r w:rsidDel="00000000" w:rsidR="00000000" w:rsidRPr="00000000">
        <w:rPr>
          <w:b w:val="1"/>
          <w:bCs w:val="1"/>
          <w:rtl w:val="0"/>
        </w:rPr>
        <w:t xml:space="preserve">Fiducia de Garantía</w:t>
      </w:r>
      <w:r w:rsidDel="00000000" w:rsidR="00000000" w:rsidRPr="00000000">
        <w:rPr>
          <w:rtl w:val="0"/>
        </w:rPr>
        <w:t xml:space="preserve"> 6, 28. Esta disposición permite a los beneficiarios utilizar los bienes de capital ingresados bajo el régimen libre de impuestos como respaldo (garantía) para financiar sus propios proyectos de inversión vigentes 6, 28, 29. Para su constitución, se requiere la autorización previa del Consejo de Inversiones, posicionando al Estado paraguayo como beneficiario-acreedor privilegiado ante un eventual incumplimiento financiero 28, 30.</w:t>
      </w:r>
    </w:p>
    <w:p w:rsidR="00000000" w:rsidDel="00000000" w:rsidP="00000000" w:rsidRDefault="00000000" w:rsidRPr="00000000" w14:paraId="0000001A">
      <w:pPr>
        <w:pStyle w:val="Heading3"/>
        <w:rPr/>
      </w:pPr>
      <w:bookmarkStart w:colFirst="0" w:colLast="0" w:name="_bxpuwr4wl0zy" w:id="5"/>
      <w:bookmarkEnd w:id="5"/>
      <w:r w:rsidDel="00000000" w:rsidR="00000000" w:rsidRPr="00000000">
        <w:rPr>
          <w:rtl w:val="0"/>
        </w:rPr>
        <w:t xml:space="preserve">Conclusión</w:t>
      </w:r>
    </w:p>
    <w:p w:rsidR="00000000" w:rsidDel="00000000" w:rsidP="00000000" w:rsidRDefault="00000000" w:rsidRPr="00000000" w14:paraId="0000001B">
      <w:pPr>
        <w:rPr/>
      </w:pPr>
      <w:r w:rsidDel="00000000" w:rsidR="00000000" w:rsidRPr="00000000">
        <w:rPr>
          <w:rtl w:val="0"/>
        </w:rPr>
        <w:t xml:space="preserve">La nueva Ley 7.548/2025 posiciona a Paraguay como un hub estratégico para la recepción de Inversión Extranjera Directa (IED). Al unificar reglas claras para la expansión (</w:t>
      </w:r>
      <w:r w:rsidDel="00000000" w:rsidR="00000000" w:rsidRPr="00000000">
        <w:rPr>
          <w:i w:val="1"/>
          <w:iCs w:val="1"/>
          <w:rtl w:val="0"/>
        </w:rPr>
        <w:t xml:space="preserve">ampliación</w:t>
      </w:r>
      <w:r w:rsidDel="00000000" w:rsidR="00000000" w:rsidRPr="00000000">
        <w:rPr>
          <w:rtl w:val="0"/>
        </w:rPr>
        <w:t xml:space="preserve"> y </w:t>
      </w:r>
      <w:r w:rsidDel="00000000" w:rsidR="00000000" w:rsidRPr="00000000">
        <w:rPr>
          <w:i w:val="1"/>
          <w:iCs w:val="1"/>
          <w:rtl w:val="0"/>
        </w:rPr>
        <w:t xml:space="preserve">modernización</w:t>
      </w:r>
      <w:r w:rsidDel="00000000" w:rsidR="00000000" w:rsidRPr="00000000">
        <w:rPr>
          <w:rtl w:val="0"/>
        </w:rPr>
        <w:t xml:space="preserve">), establecer un órgano técnico robusto (</w:t>
      </w:r>
      <w:r w:rsidDel="00000000" w:rsidR="00000000" w:rsidRPr="00000000">
        <w:rPr>
          <w:i w:val="1"/>
          <w:iCs w:val="1"/>
          <w:rtl w:val="0"/>
        </w:rPr>
        <w:t xml:space="preserve">Consejo de Inversiones</w:t>
      </w:r>
      <w:r w:rsidDel="00000000" w:rsidR="00000000" w:rsidRPr="00000000">
        <w:rPr>
          <w:rtl w:val="0"/>
        </w:rPr>
        <w:t xml:space="preserve">) y definir métricas exactas para el ahorro fiscal a gran escala (exenciones de IDU e INR para inversiones &gt; USD 13M), el Estado paraguayo ofrece un entorno altamente predecible, rentable y seguro para la matriz corporativa global.</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