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 </w:t>
      </w:r>
      <w:r w:rsidDel="00000000" w:rsidR="00000000" w:rsidRPr="00000000">
        <w:rPr>
          <w:b w:val="1"/>
          <w:bCs w:val="1"/>
          <w:rtl w:val="0"/>
        </w:rPr>
        <w:t xml:space="preserve">KuDE</w:t>
      </w:r>
      <w:r w:rsidDel="00000000" w:rsidR="00000000" w:rsidRPr="00000000">
        <w:rPr>
          <w:rtl w:val="0"/>
        </w:rPr>
        <w:t xml:space="preserve"> (término que fusiona la palabra en guaraní "Kuatia" y las siglas DE, por Documento Electrónico) es un documento tributario auxiliar que funciona como la </w:t>
      </w:r>
      <w:r w:rsidDel="00000000" w:rsidR="00000000" w:rsidRPr="00000000">
        <w:rPr>
          <w:b w:val="1"/>
          <w:bCs w:val="1"/>
          <w:rtl w:val="0"/>
        </w:rPr>
        <w:t xml:space="preserve">representación gráfica y simplificada</w:t>
      </w:r>
      <w:r w:rsidDel="00000000" w:rsidR="00000000" w:rsidRPr="00000000">
        <w:rPr>
          <w:rtl w:val="0"/>
        </w:rPr>
        <w:t xml:space="preserve"> de un Documento Electrónico (DE) o Documento Tributario Electrónico (DTE), pudiendo presentarse en formato físico o digital 1-3.</w:t>
      </w:r>
    </w:p>
    <w:p w:rsidR="00000000" w:rsidDel="00000000" w:rsidP="00000000" w:rsidRDefault="00000000" w:rsidRPr="00000000" w14:paraId="00000002">
      <w:pPr>
        <w:rPr/>
      </w:pPr>
      <w:r w:rsidDel="00000000" w:rsidR="00000000" w:rsidRPr="00000000">
        <w:rPr>
          <w:rtl w:val="0"/>
        </w:rPr>
        <w:t xml:space="preserve">Para que el KuDE sea válido y cumpla con las normativas del Sistema Integrado de Facturación Electrónica Nacional (SIFEN) en Paraguay, debe regirse por los siguientes requisitos: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Elementos de Control Obligatorios (CDC y Código QR):</w:t>
      </w:r>
      <w:r w:rsidDel="00000000" w:rsidR="00000000" w:rsidRPr="00000000">
        <w:rPr>
          <w:rtl w:val="0"/>
        </w:rPr>
        <w:t xml:space="preserve"> Todos los KuDE generados deben poseer indefectiblemente el </w:t>
      </w:r>
      <w:r w:rsidDel="00000000" w:rsidR="00000000" w:rsidRPr="00000000">
        <w:rPr>
          <w:b w:val="1"/>
          <w:bCs w:val="1"/>
          <w:rtl w:val="0"/>
        </w:rPr>
        <w:t xml:space="preserve">Código de Control (CDC)</w:t>
      </w:r>
      <w:r w:rsidDel="00000000" w:rsidR="00000000" w:rsidRPr="00000000">
        <w:rPr>
          <w:rtl w:val="0"/>
        </w:rPr>
        <w:t xml:space="preserve"> de 44 dígitos y un </w:t>
      </w:r>
      <w:r w:rsidDel="00000000" w:rsidR="00000000" w:rsidRPr="00000000">
        <w:rPr>
          <w:b w:val="1"/>
          <w:bCs w:val="1"/>
          <w:rtl w:val="0"/>
        </w:rPr>
        <w:t xml:space="preserve">código QR</w:t>
      </w:r>
      <w:r w:rsidDel="00000000" w:rsidR="00000000" w:rsidRPr="00000000">
        <w:rPr>
          <w:rtl w:val="0"/>
        </w:rPr>
        <w:t xml:space="preserve"> 4, 5. Para poder generar este código QR, el facturador debe solicitar previamente a la Administración Tributaria (DNIT) su Código de Seguridad del Contribuyente (CSC) 1. La finalidad del QR y del CDC es permitir al receptor escanear el comprobante para consultar y corroborar la existencia y validez del documento a través del portal web de e-Kuatia 4, 6.</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Identidad exacta con el archivo XML:</w:t>
      </w:r>
      <w:r w:rsidDel="00000000" w:rsidR="00000000" w:rsidRPr="00000000">
        <w:rPr>
          <w:rtl w:val="0"/>
        </w:rPr>
        <w:t xml:space="preserve"> El requisito más estricto es que el KuDE </w:t>
      </w:r>
      <w:r w:rsidDel="00000000" w:rsidR="00000000" w:rsidRPr="00000000">
        <w:rPr>
          <w:b w:val="1"/>
          <w:bCs w:val="1"/>
          <w:rtl w:val="0"/>
        </w:rPr>
        <w:t xml:space="preserve">solo tendrá validez tributaria si su información coincide en su totalidad (al 100%)</w:t>
      </w:r>
      <w:r w:rsidDel="00000000" w:rsidR="00000000" w:rsidRPr="00000000">
        <w:rPr>
          <w:rtl w:val="0"/>
        </w:rPr>
        <w:t xml:space="preserve"> con los datos contenidos en el archivo XML del DTE que fue aprobado por el SIFEN 7, 8. No será válido un KuDE que incluya datos o informaciones que no formen parte del archivo electrónico original firmado 7. Es importante destacar que, ante cualquier diferencia o discrepancia entre el KuDE impreso/digital y el DTE alojado en el sistema, </w:t>
      </w:r>
      <w:r w:rsidDel="00000000" w:rsidR="00000000" w:rsidRPr="00000000">
        <w:rPr>
          <w:b w:val="1"/>
          <w:bCs w:val="1"/>
          <w:rtl w:val="0"/>
        </w:rPr>
        <w:t xml:space="preserve">siempre prevalecerá la información del DTE (XML)</w:t>
      </w:r>
      <w:r w:rsidDel="00000000" w:rsidR="00000000" w:rsidRPr="00000000">
        <w:rPr>
          <w:rtl w:val="0"/>
        </w:rPr>
        <w:t xml:space="preserve"> 4.</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Condiciones de Impresión y Formato:</w:t>
      </w:r>
      <w:r w:rsidDel="00000000" w:rsidR="00000000" w:rsidRPr="00000000">
        <w:rPr>
          <w:rtl w:val="0"/>
        </w:rPr>
        <w:t xml:space="preserve"> Está estrictamente </w:t>
      </w:r>
      <w:r w:rsidDel="00000000" w:rsidR="00000000" w:rsidRPr="00000000">
        <w:rPr>
          <w:b w:val="1"/>
          <w:bCs w:val="1"/>
          <w:rtl w:val="0"/>
        </w:rPr>
        <w:t xml:space="preserve">prohibido imprimir el KuDE en impresoras matriciales</w:t>
      </w:r>
      <w:r w:rsidDel="00000000" w:rsidR="00000000" w:rsidRPr="00000000">
        <w:rPr>
          <w:rtl w:val="0"/>
        </w:rPr>
        <w:t xml:space="preserve"> 9. No obstante, si el comprobante es extenso, puede imprimirse en varias hojas de forma secuencial 9. Para aquellas operaciones directas con consumidores finales (operaciones B2C), se permite que el KuDE sea impreso en el formato de rollo de mini impresoras tipo POS (Point of Sale) 9.</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Obligatoriedad de Entrega:</w:t>
      </w:r>
      <w:r w:rsidDel="00000000" w:rsidR="00000000" w:rsidRPr="00000000">
        <w:rPr>
          <w:rtl w:val="0"/>
        </w:rPr>
        <w:t xml:space="preserve"> El facturador debe entregar obligatoriamente la representación gráfica (KuDE) cuando el comprador o receptor de la factura no sea un facturador electrónico, o cuando se trate de un traslado físico de mercaderías 2, 10. En el caso del sistema gratuito </w:t>
      </w:r>
      <w:r w:rsidDel="00000000" w:rsidR="00000000" w:rsidRPr="00000000">
        <w:rPr>
          <w:i w:val="1"/>
          <w:iCs w:val="1"/>
          <w:rtl w:val="0"/>
        </w:rPr>
        <w:t xml:space="preserve">Ekuatia´i</w:t>
      </w:r>
      <w:r w:rsidDel="00000000" w:rsidR="00000000" w:rsidRPr="00000000">
        <w:rPr>
          <w:rtl w:val="0"/>
        </w:rPr>
        <w:t xml:space="preserve">, los facturadores solo están obligados a imprimir el KuDE físico si el cliente lo requiere expresamente, ya que el sistema remite el KuDE y el XML automáticamente por correo electrónico si el receptor tiene una dirección registrada en el RUC o si la facilita al momento de la compra 11.</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Plazo de Conservación:</w:t>
      </w:r>
      <w:r w:rsidDel="00000000" w:rsidR="00000000" w:rsidRPr="00000000">
        <w:rPr>
          <w:rtl w:val="0"/>
        </w:rPr>
        <w:t xml:space="preserve"> Por norma, es importante que el KuDE sea conservado por un período mínimo de </w:t>
      </w:r>
      <w:r w:rsidDel="00000000" w:rsidR="00000000" w:rsidRPr="00000000">
        <w:rPr>
          <w:b w:val="1"/>
          <w:bCs w:val="1"/>
          <w:rtl w:val="0"/>
        </w:rPr>
        <w:t xml:space="preserve">6 meses</w:t>
      </w:r>
      <w:r w:rsidDel="00000000" w:rsidR="00000000" w:rsidRPr="00000000">
        <w:rPr>
          <w:rtl w:val="0"/>
        </w:rPr>
        <w:t xml:space="preserve"> 2.</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