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una Sociedad de Responsabilidad Limitada (SRL) operando en Paraguay, los gastos operativos más comunes se dividen en varias categorías clave que reflejan tanto su estructura administrativa como comercial. Según lo estipulado en la Ley 6380/2019 para la deducción del IRE y lo reflejado en estados financieros reales (como los balances y el Formulario 500 de Sol Pro SRL), los egresos más frecuentes son:</w:t>
      </w:r>
    </w:p>
    <w:p w:rsidR="00000000" w:rsidDel="00000000" w:rsidP="00000000" w:rsidRDefault="00000000" w:rsidRPr="00000000" w14:paraId="00000002">
      <w:pPr>
        <w:rPr/>
      </w:pPr>
      <w:r w:rsidDel="00000000" w:rsidR="00000000" w:rsidRPr="00000000">
        <w:rPr>
          <w:b w:val="1"/>
          <w:bCs w:val="1"/>
          <w:rtl w:val="0"/>
        </w:rPr>
        <w:t xml:space="preserve">1. Gastos Laborales y de Personal (Nómina)</w:t>
      </w:r>
      <w:r w:rsidDel="00000000" w:rsidR="00000000" w:rsidRPr="00000000">
        <w:rPr>
          <w:rtl w:val="0"/>
        </w:rPr>
        <w:t xml:space="preserve">Son las erogaciones destinadas a mantener la fuerza laboral de la empresa.</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Salarios y remuneraciones:</w:t>
      </w:r>
      <w:r w:rsidDel="00000000" w:rsidR="00000000" w:rsidRPr="00000000">
        <w:rPr>
          <w:rtl w:val="0"/>
        </w:rPr>
        <w:t xml:space="preserve"> Pagos al personal en relación de dependencia 1, 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Cargas sociales (Aporte Patronal):</w:t>
      </w:r>
      <w:r w:rsidDel="00000000" w:rsidR="00000000" w:rsidRPr="00000000">
        <w:rPr>
          <w:rtl w:val="0"/>
        </w:rPr>
        <w:t xml:space="preserve"> El porcentaje que la empresa debe abonar mensualmente al Instituto de Previsión Social (IPS) por sus empleados 1, 2.</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Aguinaldos:</w:t>
      </w:r>
      <w:r w:rsidDel="00000000" w:rsidR="00000000" w:rsidRPr="00000000">
        <w:rPr>
          <w:rtl w:val="0"/>
        </w:rPr>
        <w:t xml:space="preserve"> El décimo tercer salario exigido legalmente a fin de año 1, 2.</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Beneficios adicionales:</w:t>
      </w:r>
      <w:r w:rsidDel="00000000" w:rsidR="00000000" w:rsidRPr="00000000">
        <w:rPr>
          <w:rtl w:val="0"/>
        </w:rPr>
        <w:t xml:space="preserve"> Gastos en salud, educación, o víveres otorgados a los trabajadores, debidamente documentados 2, 3.</w:t>
      </w:r>
    </w:p>
    <w:p w:rsidR="00000000" w:rsidDel="00000000" w:rsidP="00000000" w:rsidRDefault="00000000" w:rsidRPr="00000000" w14:paraId="00000007">
      <w:pPr>
        <w:rPr/>
      </w:pPr>
      <w:r w:rsidDel="00000000" w:rsidR="00000000" w:rsidRPr="00000000">
        <w:rPr>
          <w:b w:val="1"/>
          <w:bCs w:val="1"/>
          <w:rtl w:val="0"/>
        </w:rPr>
        <w:t xml:space="preserve">2. Gastos Administrativos y Generales (Overhead)</w:t>
      </w:r>
      <w:r w:rsidDel="00000000" w:rsidR="00000000" w:rsidRPr="00000000">
        <w:rPr>
          <w:rtl w:val="0"/>
        </w:rPr>
        <w:t xml:space="preserve">Incluyen los costos fijos necesarios para que la oficina o establecimiento funcione diariamente.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Arrendamientos y alquileres:</w:t>
      </w:r>
      <w:r w:rsidDel="00000000" w:rsidR="00000000" w:rsidRPr="00000000">
        <w:rPr>
          <w:rtl w:val="0"/>
        </w:rPr>
        <w:t xml:space="preserve"> Pagos por el uso de oficinas, depósitos o locales comerciales 4-6.</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Honorarios profesionales:</w:t>
      </w:r>
      <w:r w:rsidDel="00000000" w:rsidR="00000000" w:rsidRPr="00000000">
        <w:rPr>
          <w:rtl w:val="0"/>
        </w:rPr>
        <w:t xml:space="preserve"> Pagos por servicios tercerizados que no están en relación de dependencia, como asesoría contable, legal o consultorías 5, 7, 8.</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Servicios básicos y mantenimiento:</w:t>
      </w:r>
      <w:r w:rsidDel="00000000" w:rsidR="00000000" w:rsidRPr="00000000">
        <w:rPr>
          <w:rtl w:val="0"/>
        </w:rPr>
        <w:t xml:space="preserve"> Gastos generales como energía eléctrica (alumbrado), telecomunicaciones, limpieza y mantenimiento de equipos 9.</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Impresos, útiles de oficina e insumos informáticos:</w:t>
      </w:r>
      <w:r w:rsidDel="00000000" w:rsidR="00000000" w:rsidRPr="00000000">
        <w:rPr>
          <w:rtl w:val="0"/>
        </w:rPr>
        <w:t xml:space="preserve"> Erogaciones diarias para la administración, como papelería y consumibles de tecnología 9-11.</w:t>
      </w:r>
    </w:p>
    <w:p w:rsidR="00000000" w:rsidDel="00000000" w:rsidP="00000000" w:rsidRDefault="00000000" w:rsidRPr="00000000" w14:paraId="0000000C">
      <w:pPr>
        <w:rPr/>
      </w:pPr>
      <w:r w:rsidDel="00000000" w:rsidR="00000000" w:rsidRPr="00000000">
        <w:rPr>
          <w:b w:val="1"/>
          <w:bCs w:val="1"/>
          <w:rtl w:val="0"/>
        </w:rPr>
        <w:t xml:space="preserve">3. Gastos de Comercialización, Movilidad y Logística</w:t>
      </w:r>
      <w:r w:rsidDel="00000000" w:rsidR="00000000" w:rsidRPr="00000000">
        <w:rPr>
          <w:rtl w:val="0"/>
        </w:rPr>
        <w:t xml:space="preserve">Son los desembolsos requeridos para vender, distribuir los productos y captar clientes.</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Publicidad y propaganda:</w:t>
      </w:r>
      <w:r w:rsidDel="00000000" w:rsidR="00000000" w:rsidRPr="00000000">
        <w:rPr>
          <w:rtl w:val="0"/>
        </w:rPr>
        <w:t xml:space="preserve"> Inversiones en marketing, redes sociales o medios tradicionales para promocionar el negocio 9, 12.</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Gastos de movilidad y viáticos:</w:t>
      </w:r>
      <w:r w:rsidDel="00000000" w:rsidR="00000000" w:rsidRPr="00000000">
        <w:rPr>
          <w:rtl w:val="0"/>
        </w:rPr>
        <w:t xml:space="preserve"> Incluyen la compra de combustibles y lubricantes, pago de pasajes, y los gastos de reparación y mantenimiento de los rodados de la empresa 5, 13, 14.</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Fletes y distribución:</w:t>
      </w:r>
      <w:r w:rsidDel="00000000" w:rsidR="00000000" w:rsidRPr="00000000">
        <w:rPr>
          <w:rtl w:val="0"/>
        </w:rPr>
        <w:t xml:space="preserve"> Costos asociados al transporte de las mercaderías hasta el cliente final o entre depósitos 5, 9.</w:t>
      </w:r>
    </w:p>
    <w:p w:rsidR="00000000" w:rsidDel="00000000" w:rsidP="00000000" w:rsidRDefault="00000000" w:rsidRPr="00000000" w14:paraId="00000010">
      <w:pPr>
        <w:rPr/>
      </w:pPr>
      <w:r w:rsidDel="00000000" w:rsidR="00000000" w:rsidRPr="00000000">
        <w:rPr>
          <w:b w:val="1"/>
          <w:bCs w:val="1"/>
          <w:rtl w:val="0"/>
        </w:rPr>
        <w:t xml:space="preserve">4. Gastos Financieros, Seguros y Depreciaciones</w:t>
      </w:r>
      <w:r w:rsidDel="00000000" w:rsidR="00000000" w:rsidRPr="00000000">
        <w:rPr>
          <w:rtl w:val="0"/>
        </w:rPr>
        <w:t xml:space="preserve">Reflejan el costo del capital, la protección de los activos y su desgaste en el tiempo.</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Intereses y comisiones financieras:</w:t>
      </w:r>
      <w:r w:rsidDel="00000000" w:rsidR="00000000" w:rsidRPr="00000000">
        <w:rPr>
          <w:rtl w:val="0"/>
        </w:rPr>
        <w:t xml:space="preserve"> Erogaciones pagadas a bancos o entidades financieras por préstamos comerciales obtenidos 6, 15.</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Depreciaciones (Activos Fijos):</w:t>
      </w:r>
      <w:r w:rsidDel="00000000" w:rsidR="00000000" w:rsidRPr="00000000">
        <w:rPr>
          <w:rtl w:val="0"/>
        </w:rPr>
        <w:t xml:space="preserve"> El registro del desgaste o pérdida de valor anual que sufren las maquinarias, vehículos, equipos informáticos y muebles de la empresa 15, 16.</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Primas de seguros:</w:t>
      </w:r>
      <w:r w:rsidDel="00000000" w:rsidR="00000000" w:rsidRPr="00000000">
        <w:rPr>
          <w:rtl w:val="0"/>
        </w:rPr>
        <w:t xml:space="preserve"> Pagos para proteger los bienes de la explotación contra riesgos inherentes al negocio (incendios, robos, etc.) 9.</w:t>
      </w:r>
    </w:p>
    <w:p w:rsidR="00000000" w:rsidDel="00000000" w:rsidP="00000000" w:rsidRDefault="00000000" w:rsidRPr="00000000" w14:paraId="00000014">
      <w:pPr>
        <w:rPr/>
      </w:pPr>
      <w:r w:rsidDel="00000000" w:rsidR="00000000" w:rsidRPr="00000000">
        <w:rPr>
          <w:b w:val="1"/>
          <w:bCs w:val="1"/>
          <w:rtl w:val="0"/>
        </w:rPr>
        <w:t xml:space="preserve">Regla de Deducibilidad para el Sistema:</w:t>
      </w:r>
      <w:r w:rsidDel="00000000" w:rsidR="00000000" w:rsidRPr="00000000">
        <w:rPr>
          <w:rtl w:val="0"/>
        </w:rPr>
        <w:t xml:space="preserve">Para que tu programa de gestión clasifique estos gastos operativos como </w:t>
      </w:r>
      <w:r w:rsidDel="00000000" w:rsidR="00000000" w:rsidRPr="00000000">
        <w:rPr>
          <w:b w:val="1"/>
          <w:bCs w:val="1"/>
          <w:rtl w:val="0"/>
        </w:rPr>
        <w:t xml:space="preserve">"Deducibles"</w:t>
      </w:r>
      <w:r w:rsidDel="00000000" w:rsidR="00000000" w:rsidRPr="00000000">
        <w:rPr>
          <w:rtl w:val="0"/>
        </w:rPr>
        <w:t xml:space="preserve"> y puedan restar el impuesto a fin de año, el sistema debe validar tres reglas de la normativa fiscal: deben ser necesarios para mantener el negocio, representar un gasto real, y estar respaldados por facturas legales a nombre de la SRL o comprobantes de retención 17, 18.</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