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Aquí tienes el desglose técnico y estructurado de las 8 funciones adaptadas a la normativa de Paraguay (aplicable a SRL y EAS), ideal para utilizar como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o documento de requerimientos para el desarrollo de un software de gestión (ERP):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0uzzcqrjv7o" w:id="0"/>
      <w:bookmarkEnd w:id="0"/>
      <w:r w:rsidDel="00000000" w:rsidR="00000000" w:rsidRPr="00000000">
        <w:rPr>
          <w:rtl w:val="0"/>
        </w:rPr>
        <w:t xml:space="preserve">1. IMPUESTOS (Gestión Fiscal y Tributaria)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sistema debe estar parametrizado con las normativas de la DNIT (Dirección Nacional de Ingresos Tributarios) y su Calendario Perpetuo de vencimientos 1, 2.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 (Impuesto al Valor Agregado):</w:t>
      </w:r>
      <w:r w:rsidDel="00000000" w:rsidR="00000000" w:rsidRPr="00000000">
        <w:rPr>
          <w:rtl w:val="0"/>
        </w:rPr>
        <w:t xml:space="preserve"> Soportar tasas diferenciadas: 10% (tasa general), 5% (canasta básica, productos agrícolas/farmacéuticos) y Exento 1, 3, 4.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IRE (Impuesto a la Renta Empresarial):</w:t>
      </w:r>
      <w:r w:rsidDel="00000000" w:rsidR="00000000" w:rsidRPr="00000000">
        <w:rPr>
          <w:rtl w:val="0"/>
        </w:rPr>
        <w:t xml:space="preserve"> Soportar los regímenes principales. IRE General (para facturación &gt; Gs. 2.000 millones) e IRE SIMPLE (para facturación &lt; Gs. 2.000 millones), ambos con una tasa del 10% sobre la renta neta 5.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IDU (Impuesto a los Dividendos y Utilidades):</w:t>
      </w:r>
      <w:r w:rsidDel="00000000" w:rsidR="00000000" w:rsidRPr="00000000">
        <w:rPr>
          <w:rtl w:val="0"/>
        </w:rPr>
        <w:t xml:space="preserve"> Módulo de liquidación al momento de distribuir utilidades a los socios (8% para residentes en Paraguay y 15% para no residentes) 6.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Anticipos de IRE:</w:t>
      </w:r>
      <w:r w:rsidDel="00000000" w:rsidR="00000000" w:rsidRPr="00000000">
        <w:rPr>
          <w:rtl w:val="0"/>
        </w:rPr>
        <w:t xml:space="preserve"> Lógica para calcular pagos a cuenta. Si el impuesto del año anterior supera los Gs. 10.000.000, el sistema debe generar automáticamente 4 cuotas de anticipo del 25% cada una 7, 8.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Retenciones:</w:t>
      </w:r>
      <w:r w:rsidDel="00000000" w:rsidR="00000000" w:rsidRPr="00000000">
        <w:rPr>
          <w:rtl w:val="0"/>
        </w:rPr>
        <w:t xml:space="preserve"> Funcionalidad para emitir comprobantes de retención (IVA e IRE) si la empresa es designada Agente de Retención, o registrar las retenciones sufridas como "pago a cuenta" para descontarlas en las declaraciones 9-11.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1i0wr78lvkl" w:id="1"/>
      <w:bookmarkEnd w:id="1"/>
      <w:r w:rsidDel="00000000" w:rsidR="00000000" w:rsidRPr="00000000">
        <w:rPr>
          <w:rtl w:val="0"/>
        </w:rPr>
        <w:t xml:space="preserve">2. LABORAL Y SALARIOS (Nómina y Recursos Humanos)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módulo debe calcular automáticamente los descuentos legales obligatorios y las prestaciones según el Código del Trabajo y el Instituto de Previsión Social (IPS) 12, 13.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Cálculo de IPS:</w:t>
      </w:r>
      <w:r w:rsidDel="00000000" w:rsidR="00000000" w:rsidRPr="00000000">
        <w:rPr>
          <w:rtl w:val="0"/>
        </w:rPr>
        <w:t xml:space="preserve"> Aplicar el 25,5% sobre el salario bruto total. El sistema debe deducir automáticamente el </w:t>
      </w:r>
      <w:r w:rsidDel="00000000" w:rsidR="00000000" w:rsidRPr="00000000">
        <w:rPr>
          <w:b w:val="1"/>
          <w:bCs w:val="1"/>
          <w:rtl w:val="0"/>
        </w:rPr>
        <w:t xml:space="preserve">9% (Aporte Obrero)</w:t>
      </w:r>
      <w:r w:rsidDel="00000000" w:rsidR="00000000" w:rsidRPr="00000000">
        <w:rPr>
          <w:rtl w:val="0"/>
        </w:rPr>
        <w:t xml:space="preserve"> al empleado y registrar como costo de la empresa el </w:t>
      </w:r>
      <w:r w:rsidDel="00000000" w:rsidR="00000000" w:rsidRPr="00000000">
        <w:rPr>
          <w:b w:val="1"/>
          <w:bCs w:val="1"/>
          <w:rtl w:val="0"/>
        </w:rPr>
        <w:t xml:space="preserve">16,5% (Aporte Patronal)</w:t>
      </w:r>
      <w:r w:rsidDel="00000000" w:rsidR="00000000" w:rsidRPr="00000000">
        <w:rPr>
          <w:rtl w:val="0"/>
        </w:rPr>
        <w:t xml:space="preserve"> 12, 14.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Prestaciones Laborales:</w:t>
      </w:r>
      <w:r w:rsidDel="00000000" w:rsidR="00000000" w:rsidRPr="00000000">
        <w:rPr>
          <w:rtl w:val="0"/>
        </w:rPr>
        <w:t xml:space="preserve"> Automatizar el cálculo y la provisión mensual del Aguinaldo (décimo tercer salario), vacaciones e indemnizaciones por despido o preaviso 13.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Tercerizados (Honorarios Profesionales):</w:t>
      </w:r>
      <w:r w:rsidDel="00000000" w:rsidR="00000000" w:rsidRPr="00000000">
        <w:rPr>
          <w:rtl w:val="0"/>
        </w:rPr>
        <w:t xml:space="preserve"> Diferenciar a los empleados en nómina de los profesionales independientes. A los independientes no se les descuenta IPS, sino que deben emitir una factura legal con IVA para justificar el gasto 15.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rjiaqutd14s" w:id="2"/>
      <w:bookmarkEnd w:id="2"/>
      <w:r w:rsidDel="00000000" w:rsidR="00000000" w:rsidRPr="00000000">
        <w:rPr>
          <w:rtl w:val="0"/>
        </w:rPr>
        <w:t xml:space="preserve">3. FACTURACIÓN Y COMPROBANTES (Ecosistema SIFEN / e-Kuatia)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sistema debe estar integrado de forma nativa al Sistema Integrado de Facturación Electrónica Nacional (SIFEN) de la DNIT 16.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Formato y Transmisión:</w:t>
      </w:r>
      <w:r w:rsidDel="00000000" w:rsidR="00000000" w:rsidRPr="00000000">
        <w:rPr>
          <w:rtl w:val="0"/>
        </w:rPr>
        <w:t xml:space="preserve"> Generar Documentos Electrónicos (DE) en formato XML estándar y transmitirlos de forma asíncrona a la DNIT 16, 17.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Firma Digital:</w:t>
      </w:r>
      <w:r w:rsidDel="00000000" w:rsidR="00000000" w:rsidRPr="00000000">
        <w:rPr>
          <w:rtl w:val="0"/>
        </w:rPr>
        <w:t xml:space="preserve"> Exigir y conectar el Certificado Cualificado de Firma Electrónica del representante legal para validar los documentos 16.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KuDE y Código QR:</w:t>
      </w:r>
      <w:r w:rsidDel="00000000" w:rsidR="00000000" w:rsidRPr="00000000">
        <w:rPr>
          <w:rtl w:val="0"/>
        </w:rPr>
        <w:t xml:space="preserve"> Generar la Representación Gráfica (KuDE) de las facturas incluyendo el Código de Seguridad del Contribuyente (CSC), un código QR escaneable y el CDC de 44 dígitos 16, 18.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Tipos de Documentos:</w:t>
      </w:r>
      <w:r w:rsidDel="00000000" w:rsidR="00000000" w:rsidRPr="00000000">
        <w:rPr>
          <w:rtl w:val="0"/>
        </w:rPr>
        <w:t xml:space="preserve"> Soportar facturas electrónicas, notas de crédito/débito electrónicas, autofacturas y notas de remisión electrónica 19, 20.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m3p0fh13fjx" w:id="3"/>
      <w:bookmarkEnd w:id="3"/>
      <w:r w:rsidDel="00000000" w:rsidR="00000000" w:rsidRPr="00000000">
        <w:rPr>
          <w:rtl w:val="0"/>
        </w:rPr>
        <w:t xml:space="preserve">4. COBROS Y FORMAS DE PAGO (Tesorería)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Bimonetarización:</w:t>
      </w:r>
      <w:r w:rsidDel="00000000" w:rsidR="00000000" w:rsidRPr="00000000">
        <w:rPr>
          <w:rtl w:val="0"/>
        </w:rPr>
        <w:t xml:space="preserve"> Permitir cobros en Guaraníes (PYG) y Dólares (USD), calculando la diferencia de cambio en tiempo real al momento de la transacción 21.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Cheques Diferidos:</w:t>
      </w:r>
      <w:r w:rsidDel="00000000" w:rsidR="00000000" w:rsidRPr="00000000">
        <w:rPr>
          <w:rtl w:val="0"/>
        </w:rPr>
        <w:t xml:space="preserve"> Implementar "Cuentas de Orden" para registrar cheques recibidos con fechas futuras, trasladando el saldo a la cuenta de banco real recién al momento del depósito 22.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Recibos de Dinero:</w:t>
      </w:r>
      <w:r w:rsidDel="00000000" w:rsidR="00000000" w:rsidRPr="00000000">
        <w:rPr>
          <w:rtl w:val="0"/>
        </w:rPr>
        <w:t xml:space="preserve"> Generar recibos electrónicos de dinero y vincularlos a facturas pendientes para gestionar pagos parciales o totales, manteniendo el saldo de cuenta corriente de los clientes 20, 22.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81dlhy52p4z" w:id="4"/>
      <w:bookmarkEnd w:id="4"/>
      <w:r w:rsidDel="00000000" w:rsidR="00000000" w:rsidRPr="00000000">
        <w:rPr>
          <w:rtl w:val="0"/>
        </w:rPr>
        <w:t xml:space="preserve">5. PROVEEDORES Y COMPRAS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software debe actuar como un filtro de seguridad fiscal (Compliance) 23.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Pre-validación DNIT (API):</w:t>
      </w:r>
      <w:r w:rsidDel="00000000" w:rsidR="00000000" w:rsidRPr="00000000">
        <w:rPr>
          <w:rtl w:val="0"/>
        </w:rPr>
        <w:t xml:space="preserve"> Conectarse a los servicios de la DNIT para verificar en tiempo real si el RUC y el Timbrado de la factura del proveedor son válidos 23.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Recepción de XML:</w:t>
      </w:r>
      <w:r w:rsidDel="00000000" w:rsidR="00000000" w:rsidRPr="00000000">
        <w:rPr>
          <w:rtl w:val="0"/>
        </w:rPr>
        <w:t xml:space="preserve"> Si el proveedor es facturador electrónico, el sistema debe permitir la importación y validación del archivo XML para asegurar que el IVA Crédito sea deducible 23.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Criterios de Deducibilidad:</w:t>
      </w:r>
      <w:r w:rsidDel="00000000" w:rsidR="00000000" w:rsidRPr="00000000">
        <w:rPr>
          <w:rtl w:val="0"/>
        </w:rPr>
        <w:t xml:space="preserve"> Permitir categorizar los gastos como deducibles o no deducibles, dependiendo de si cuentan con documentación legal, son erogaciones reales y se relacionan con la actividad de la empresa 24, 25.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qkkk0z38eiwr" w:id="5"/>
      <w:bookmarkEnd w:id="5"/>
      <w:r w:rsidDel="00000000" w:rsidR="00000000" w:rsidRPr="00000000">
        <w:rPr>
          <w:rtl w:val="0"/>
        </w:rPr>
        <w:t xml:space="preserve">6. IMPORTACIONES (Costeo Aduanero)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Módulo fundamental para calcular el costo real de los productos importados para establecer la rentabilidad 26.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Fórmula CIF:</w:t>
      </w:r>
      <w:r w:rsidDel="00000000" w:rsidR="00000000" w:rsidRPr="00000000">
        <w:rPr>
          <w:rtl w:val="0"/>
        </w:rPr>
        <w:t xml:space="preserve"> Calcular automáticamente el Valor CIF sumando: Valor FOB (costo en origen) + Flete internacional + Seguro internacional (generalmente 1% del FOB+Flete si no hay póliza) 26.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Liquidación de Tributos:</w:t>
      </w:r>
      <w:r w:rsidDel="00000000" w:rsidR="00000000" w:rsidRPr="00000000">
        <w:rPr>
          <w:rtl w:val="0"/>
        </w:rPr>
        <w:t xml:space="preserve"> Aplicar sobre el valor CIF el Arancel Aduanero (0% al 35% según la posición arancelaria) y la Tasa de Estadística (0,5% al 3%) 26.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IVA Importación:</w:t>
      </w:r>
      <w:r w:rsidDel="00000000" w:rsidR="00000000" w:rsidRPr="00000000">
        <w:rPr>
          <w:rtl w:val="0"/>
        </w:rPr>
        <w:t xml:space="preserve"> Calcular el IVA del 10% sobre la base de (CIF + Arancel Aduanero + Tasa de Estadística) para integrarlo a la contabilidad 26.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z0wd3e231stb" w:id="6"/>
      <w:bookmarkEnd w:id="6"/>
      <w:r w:rsidDel="00000000" w:rsidR="00000000" w:rsidRPr="00000000">
        <w:rPr>
          <w:rtl w:val="0"/>
        </w:rPr>
        <w:t xml:space="preserve">7. BANCOS Y CONCILIACIÓN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Orientado a automatizar y eliminar el trabajo manual contable 21, 27.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Conciliación Automática:</w:t>
      </w:r>
      <w:r w:rsidDel="00000000" w:rsidR="00000000" w:rsidRPr="00000000">
        <w:rPr>
          <w:rtl w:val="0"/>
        </w:rPr>
        <w:t xml:space="preserve"> Permitir la carga de extractos bancarios (por Excel o API) y cruzar los movimientos automáticamente utilizando fecha, importe y número de documento 27-29.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Mapeo Inteligente (SIPAP):</w:t>
      </w:r>
      <w:r w:rsidDel="00000000" w:rsidR="00000000" w:rsidRPr="00000000">
        <w:rPr>
          <w:rtl w:val="0"/>
        </w:rPr>
        <w:t xml:space="preserve"> Utilizar reglas de negocio para vincular automáticamente transferencias bancarias (SIPAP) con facturas emitidas, cruzando el monto y el RUC del cliente 21.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Contabilización de Gastos:</w:t>
      </w:r>
      <w:r w:rsidDel="00000000" w:rsidR="00000000" w:rsidRPr="00000000">
        <w:rPr>
          <w:rtl w:val="0"/>
        </w:rPr>
        <w:t xml:space="preserve"> Automatizar los asientos contables referidos a comisiones bancarias, impuestos a los débitos e intereses 30, 31.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iakmuny6iv8" w:id="7"/>
      <w:bookmarkEnd w:id="7"/>
      <w:r w:rsidDel="00000000" w:rsidR="00000000" w:rsidRPr="00000000">
        <w:rPr>
          <w:rtl w:val="0"/>
        </w:rPr>
        <w:t xml:space="preserve">8. CIERRE CONTABLE (Auditoría y Reportes)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Procesos de fin de mes o ejercicio para validar la salud financiera 32, 33.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Diferencia de Cambio:</w:t>
      </w:r>
      <w:r w:rsidDel="00000000" w:rsidR="00000000" w:rsidRPr="00000000">
        <w:rPr>
          <w:rtl w:val="0"/>
        </w:rPr>
        <w:t xml:space="preserve"> Proceso de revaluación mensual automática para ajustar los saldos de cuentas en moneda extranjera (cajas, bancos, cuentas por cobrar/pagar) según el tipo de cambio de cierre del Banco Central del Paraguay (BCP), generando los asientos de ganancias o pérdidas cambiarias 33.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Cumplimiento RG 90:</w:t>
      </w:r>
      <w:r w:rsidDel="00000000" w:rsidR="00000000" w:rsidRPr="00000000">
        <w:rPr>
          <w:rtl w:val="0"/>
        </w:rPr>
        <w:t xml:space="preserve"> Consolidar el Libro de Ventas, Ingresos, Compras y Egresos para generar y exportar la información del Formulario 241 (Registro Mensual de Comprobantes) exigido por la DNIT 2, 32.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Proyecciones Financieras (Cash Flow):</w:t>
      </w:r>
      <w:r w:rsidDel="00000000" w:rsidR="00000000" w:rsidRPr="00000000">
        <w:rPr>
          <w:rtl w:val="0"/>
        </w:rPr>
        <w:t xml:space="preserve"> Un dashboard proyectado a 30, 60 y 90 días combinando las fechas de pago a proveedores, el calendario de vencimiento de impuestos (IVA, Anticipos IRE) y los cheques a cobrar 33.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