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estricto rigor normativo, </w:t>
      </w:r>
      <w:r w:rsidDel="00000000" w:rsidR="00000000" w:rsidRPr="00000000">
        <w:rPr>
          <w:b w:val="1"/>
          <w:bCs w:val="1"/>
          <w:rtl w:val="0"/>
        </w:rPr>
        <w:t xml:space="preserve">no existe un "margen de rentabilidad promedio" fijo o único</w:t>
      </w:r>
      <w:r w:rsidDel="00000000" w:rsidR="00000000" w:rsidRPr="00000000">
        <w:rPr>
          <w:rtl w:val="0"/>
        </w:rPr>
        <w:t xml:space="preserve"> establecido para el Impuesto a la Renta Empresarial (IRE) en su Régimen General. Esto se debe a que el IRE General no grava sobre promedios o presunciones, sino sobre la </w:t>
      </w:r>
      <w:r w:rsidDel="00000000" w:rsidR="00000000" w:rsidRPr="00000000">
        <w:rPr>
          <w:b w:val="1"/>
          <w:bCs w:val="1"/>
          <w:rtl w:val="0"/>
        </w:rPr>
        <w:t xml:space="preserve">renta neta real</w:t>
      </w:r>
      <w:r w:rsidDel="00000000" w:rsidR="00000000" w:rsidRPr="00000000">
        <w:rPr>
          <w:rtl w:val="0"/>
        </w:rPr>
        <w:t xml:space="preserve"> de cada empresa; es decir, la diferencia exacta entre los ingresos brutos generados y los costos o gastos deducibles debidamente documentados 1. La tasa impositiva que se aplica sobre esa rentabilidad real es siempre del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 obstante, la Ley 6380/2019 de Modernización Tributaria sí establece algunos </w:t>
      </w:r>
      <w:r w:rsidDel="00000000" w:rsidR="00000000" w:rsidRPr="00000000">
        <w:rPr>
          <w:b w:val="1"/>
          <w:bCs w:val="1"/>
          <w:rtl w:val="0"/>
        </w:rPr>
        <w:t xml:space="preserve">márgenes presuntos y topes de rentabilidad</w:t>
      </w:r>
      <w:r w:rsidDel="00000000" w:rsidR="00000000" w:rsidRPr="00000000">
        <w:rPr>
          <w:rtl w:val="0"/>
        </w:rPr>
        <w:t xml:space="preserve"> para situaciones impositivas específicas: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Rentabilidad Neta Presunta del 30%:</w:t>
      </w:r>
      <w:r w:rsidDel="00000000" w:rsidR="00000000" w:rsidRPr="00000000">
        <w:rPr>
          <w:rtl w:val="0"/>
        </w:rPr>
        <w:t xml:space="preserve"> Para ciertas actividades difíciles de costear, como la explotación forestal, la enajenación de inmuebles del activo fijo, o para operaciones internacionales (como transporte internacional de bienes/personas o servicios digitales), la ley fija una rentabilidad presunta equivalente al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sobre el ingreso bruto 3, 4.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Tope de Rentabilidad Bruta Sectorial (30%):</w:t>
      </w:r>
      <w:r w:rsidDel="00000000" w:rsidR="00000000" w:rsidRPr="00000000">
        <w:rPr>
          <w:rtl w:val="0"/>
        </w:rPr>
        <w:t xml:space="preserve"> A la hora de armonizar la base impositiva de los bienes importados frente a la producción nacional, el Poder Ejecutivo puede establecer incrementos tomando en cuenta el "promedio de rentabilidad bruta del sector", el cual </w:t>
      </w:r>
      <w:r w:rsidDel="00000000" w:rsidR="00000000" w:rsidRPr="00000000">
        <w:rPr>
          <w:b w:val="1"/>
          <w:bCs w:val="1"/>
          <w:rtl w:val="0"/>
        </w:rPr>
        <w:t xml:space="preserve">no podrá ser superior al 30%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Aplicación práctica a los datos de tu empresa:</w:t>
      </w:r>
      <w:r w:rsidDel="00000000" w:rsidR="00000000" w:rsidRPr="00000000">
        <w:rPr>
          <w:rtl w:val="0"/>
        </w:rPr>
        <w:t xml:space="preserve">Aplicando la mecánica de análisis de rentabilidad que vimos en nuestra conversación anterior a los Formularios 500 (IRE General) de la empresa </w:t>
      </w:r>
      <w:r w:rsidDel="00000000" w:rsidR="00000000" w:rsidRPr="00000000">
        <w:rPr>
          <w:b w:val="1"/>
          <w:bCs w:val="1"/>
          <w:rtl w:val="0"/>
        </w:rPr>
        <w:t xml:space="preserve">Sol Pro SRL</w:t>
      </w:r>
      <w:r w:rsidDel="00000000" w:rsidR="00000000" w:rsidRPr="00000000">
        <w:rPr>
          <w:rtl w:val="0"/>
        </w:rPr>
        <w:t xml:space="preserve"> presentes en tus documentos, podemos calcular su margen de rentabilidad neta real exacta a lo largo de los últimos años. Al dividir su Utilidad o Resultado Fiscal (Casilla 102) sobre sus Ingresos Brutos (Casilla 77), obtenemos la siguiente evolución: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Ejercicio 2020:</w:t>
      </w:r>
      <w:r w:rsidDel="00000000" w:rsidR="00000000" w:rsidRPr="00000000">
        <w:rPr>
          <w:rtl w:val="0"/>
        </w:rPr>
        <w:t xml:space="preserve"> Rentabilidad neta del </w:t>
      </w:r>
      <w:r w:rsidDel="00000000" w:rsidR="00000000" w:rsidRPr="00000000">
        <w:rPr>
          <w:b w:val="1"/>
          <w:bCs w:val="1"/>
          <w:rtl w:val="0"/>
        </w:rPr>
        <w:t xml:space="preserve">1,33%</w:t>
      </w:r>
      <w:r w:rsidDel="00000000" w:rsidR="00000000" w:rsidRPr="00000000">
        <w:rPr>
          <w:rtl w:val="0"/>
        </w:rPr>
        <w:t xml:space="preserve"> (Utilidad de Gs. 34.951.016 sobre ingresos de Gs. 2.626.784.116) 6, 7.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Ejercicio 2023:</w:t>
      </w:r>
      <w:r w:rsidDel="00000000" w:rsidR="00000000" w:rsidRPr="00000000">
        <w:rPr>
          <w:rtl w:val="0"/>
        </w:rPr>
        <w:t xml:space="preserve"> Rentabilidad neta del </w:t>
      </w:r>
      <w:r w:rsidDel="00000000" w:rsidR="00000000" w:rsidRPr="00000000">
        <w:rPr>
          <w:b w:val="1"/>
          <w:bCs w:val="1"/>
          <w:rtl w:val="0"/>
        </w:rPr>
        <w:t xml:space="preserve">3,52%</w:t>
      </w:r>
      <w:r w:rsidDel="00000000" w:rsidR="00000000" w:rsidRPr="00000000">
        <w:rPr>
          <w:rtl w:val="0"/>
        </w:rPr>
        <w:t xml:space="preserve"> (Utilidad de Gs. 88.341.020 sobre ingresos de Gs. 2.508.673.756) 8, 9.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Ejercicio 2024:</w:t>
      </w:r>
      <w:r w:rsidDel="00000000" w:rsidR="00000000" w:rsidRPr="00000000">
        <w:rPr>
          <w:rtl w:val="0"/>
        </w:rPr>
        <w:t xml:space="preserve"> Rentabilidad neta del </w:t>
      </w:r>
      <w:r w:rsidDel="00000000" w:rsidR="00000000" w:rsidRPr="00000000">
        <w:rPr>
          <w:b w:val="1"/>
          <w:bCs w:val="1"/>
          <w:rtl w:val="0"/>
        </w:rPr>
        <w:t xml:space="preserve">3,25%</w:t>
      </w:r>
      <w:r w:rsidDel="00000000" w:rsidR="00000000" w:rsidRPr="00000000">
        <w:rPr>
          <w:rtl w:val="0"/>
        </w:rPr>
        <w:t xml:space="preserve"> (Utilidad de Gs. 110.094.485 sobre ingresos de Gs. 3.386.916.915) 10, 11.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Ejercicio 2025:</w:t>
      </w:r>
      <w:r w:rsidDel="00000000" w:rsidR="00000000" w:rsidRPr="00000000">
        <w:rPr>
          <w:rtl w:val="0"/>
        </w:rPr>
        <w:t xml:space="preserve"> Rentabilidad neta del </w:t>
      </w:r>
      <w:r w:rsidDel="00000000" w:rsidR="00000000" w:rsidRPr="00000000">
        <w:rPr>
          <w:b w:val="1"/>
          <w:bCs w:val="1"/>
          <w:rtl w:val="0"/>
        </w:rPr>
        <w:t xml:space="preserve">3,96%</w:t>
      </w:r>
      <w:r w:rsidDel="00000000" w:rsidR="00000000" w:rsidRPr="00000000">
        <w:rPr>
          <w:rtl w:val="0"/>
        </w:rPr>
        <w:t xml:space="preserve"> (Utilidad de Gs. 153.156.849 sobre ingresos de Gs. 3.858.536.561) 12, 13.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Adicionalmente, si aplicamos la fórmula para calcular el </w:t>
      </w:r>
      <w:r w:rsidDel="00000000" w:rsidR="00000000" w:rsidRPr="00000000">
        <w:rPr>
          <w:b w:val="1"/>
          <w:bCs w:val="1"/>
          <w:rtl w:val="0"/>
        </w:rPr>
        <w:t xml:space="preserve">margen de rentabilidad bruta (Markup)</w:t>
      </w:r>
      <w:r w:rsidDel="00000000" w:rsidR="00000000" w:rsidRPr="00000000">
        <w:rPr>
          <w:rtl w:val="0"/>
        </w:rPr>
        <w:t xml:space="preserve"> en su último ejercicio fiscal (2025), vemos que la empresa operó con un margen comercial operativo del </w:t>
      </w:r>
      <w:r w:rsidDel="00000000" w:rsidR="00000000" w:rsidRPr="00000000">
        <w:rPr>
          <w:b w:val="1"/>
          <w:bCs w:val="1"/>
          <w:rtl w:val="0"/>
        </w:rPr>
        <w:t xml:space="preserve">7,84%</w:t>
      </w:r>
      <w:r w:rsidDel="00000000" w:rsidR="00000000" w:rsidRPr="00000000">
        <w:rPr>
          <w:rtl w:val="0"/>
        </w:rPr>
        <w:t xml:space="preserve"> (Renta Bruta de Gs. 302.515.566 dividida por sus ingresos brutos de Gs. 3.858.536.561) 12, 14.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En conclusión:</w:t>
      </w:r>
      <w:r w:rsidDel="00000000" w:rsidR="00000000" w:rsidRPr="00000000">
        <w:rPr>
          <w:rtl w:val="0"/>
        </w:rPr>
        <w:t xml:space="preserve"> Mientras que la normativa tributaria utiliza un 30% como parámetro máximo legal para rentas y recargos presuntos 3-5, la radiografía real de una empresa comercial operando bajo el IRE General (como Sol Pro SRL) nos demuestra que, tras absorber la totalidad de sus costos de mercadería y gastos operativos, su </w:t>
      </w:r>
      <w:r w:rsidDel="00000000" w:rsidR="00000000" w:rsidRPr="00000000">
        <w:rPr>
          <w:b w:val="1"/>
          <w:bCs w:val="1"/>
          <w:rtl w:val="0"/>
        </w:rPr>
        <w:t xml:space="preserve">margen de rentabilidad neta promedia entre el 3% y el 4% anual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