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Guía de Cumplimiento Normativo: Liquidación del IRE SIMPLE (Formulario 501)</w:t>
      </w:r>
    </w:p>
    <w:p w:rsidR="00000000" w:rsidDel="00000000" w:rsidP="00000000" w:rsidRDefault="00000000" w:rsidRPr="00000000" w14:paraId="00000002">
      <w:pPr>
        <w:rPr/>
      </w:pPr>
      <w:r w:rsidDel="00000000" w:rsidR="00000000" w:rsidRPr="00000000">
        <w:rPr>
          <w:rtl w:val="0"/>
        </w:rPr>
        <w:t xml:space="preserve">Esta guía técnica está diseñada para contadores y responsables tributarios encargados de la liquidación del Impuesto a la Renta Empresarial en su Régimen Simplificado para Medianas Empresas (IRE SIMPLE), aplicable a contribuyentes con ingresos brutos anuales devengados de hasta G. 2.000.000.000 1, 2. La liquidación se realiza a través del </w:t>
      </w:r>
      <w:r w:rsidDel="00000000" w:rsidR="00000000" w:rsidRPr="00000000">
        <w:rPr>
          <w:b w:val="1"/>
          <w:bCs w:val="1"/>
          <w:rtl w:val="0"/>
        </w:rPr>
        <w:t xml:space="preserve">Formulario N° 501 Versión 2</w:t>
      </w:r>
      <w:r w:rsidDel="00000000" w:rsidR="00000000" w:rsidRPr="00000000">
        <w:rPr>
          <w:rtl w:val="0"/>
        </w:rPr>
        <w:t xml:space="preserve"> 3, 4.</w:t>
      </w:r>
    </w:p>
    <w:p w:rsidR="00000000" w:rsidDel="00000000" w:rsidP="00000000" w:rsidRDefault="00000000" w:rsidRPr="00000000" w14:paraId="00000003">
      <w:pPr>
        <w:pStyle w:val="Heading3"/>
        <w:rPr/>
      </w:pPr>
      <w:bookmarkStart w:colFirst="0" w:colLast="0" w:name="_8fw5io4tcexu" w:id="0"/>
      <w:bookmarkEnd w:id="0"/>
      <w:r w:rsidDel="00000000" w:rsidR="00000000" w:rsidRPr="00000000">
        <w:rPr>
          <w:rtl w:val="0"/>
        </w:rPr>
        <w:t xml:space="preserve">1. Determinación de la Base Imponible: Renta Neta Real vs. Presunta</w:t>
      </w:r>
    </w:p>
    <w:p w:rsidR="00000000" w:rsidDel="00000000" w:rsidP="00000000" w:rsidRDefault="00000000" w:rsidRPr="00000000" w14:paraId="00000004">
      <w:pPr>
        <w:rPr/>
      </w:pPr>
      <w:r w:rsidDel="00000000" w:rsidR="00000000" w:rsidRPr="00000000">
        <w:rPr>
          <w:rtl w:val="0"/>
        </w:rPr>
        <w:t xml:space="preserve">La mecánica fundamental del IRE SIMPLE exige comparar dos métodos de cálculo para la determinación de la renta neta, obligando al sistema a seleccionar la que resulte menor como base imponible 2, 5, 6. Esta comparación se estructura en el Formulario 501 de la siguiente manera:</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Renta Neta Real (Rubro 1):</w:t>
      </w:r>
      <w:r w:rsidDel="00000000" w:rsidR="00000000" w:rsidRPr="00000000">
        <w:rPr>
          <w:rtl w:val="0"/>
        </w:rPr>
        <w:t xml:space="preserve"> Se determina por la diferencia positiva entre los ingresos totales (Casilla 10) y los egresos (Casilla 11) directamente relacionados a la actividad gravada 5, 7, 8. Si los egresos superan a los ingresos, el sistema calcula automáticamente un valor cero, ya que no se permite el arrastre de pérdidas fiscales a ejercicios siguientes 9-11.</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Renta Neta Presunta (Rubro 2):</w:t>
      </w:r>
      <w:r w:rsidDel="00000000" w:rsidR="00000000" w:rsidRPr="00000000">
        <w:rPr>
          <w:rtl w:val="0"/>
        </w:rPr>
        <w:t xml:space="preserve"> El sistema calcula automáticamente el 30% sobre el total de la facturación bruta anual declarada 9, 11.</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Base Imponible y Tasa (Rubro 3):</w:t>
      </w:r>
      <w:r w:rsidDel="00000000" w:rsidR="00000000" w:rsidRPr="00000000">
        <w:rPr>
          <w:rtl w:val="0"/>
        </w:rPr>
        <w:t xml:space="preserve"> El formulario toma el valor que resulte menor entre la Renta Neta Real y la Renta Neta Presunta 6. Sobre esta base imponible, se aplica la </w:t>
      </w:r>
      <w:r w:rsidDel="00000000" w:rsidR="00000000" w:rsidRPr="00000000">
        <w:rPr>
          <w:b w:val="1"/>
          <w:bCs w:val="1"/>
          <w:rtl w:val="0"/>
        </w:rPr>
        <w:t xml:space="preserve">tasa única del 10%</w:t>
      </w:r>
      <w:r w:rsidDel="00000000" w:rsidR="00000000" w:rsidRPr="00000000">
        <w:rPr>
          <w:rtl w:val="0"/>
        </w:rPr>
        <w:t xml:space="preserve"> para determinar el impuesto bruto 2, 6, 9.</w:t>
      </w:r>
    </w:p>
    <w:p w:rsidR="00000000" w:rsidDel="00000000" w:rsidP="00000000" w:rsidRDefault="00000000" w:rsidRPr="00000000" w14:paraId="00000008">
      <w:pPr>
        <w:pStyle w:val="Heading3"/>
        <w:rPr/>
      </w:pPr>
      <w:bookmarkStart w:colFirst="0" w:colLast="0" w:name="_w3hf0rdlpdtl" w:id="1"/>
      <w:bookmarkEnd w:id="1"/>
      <w:r w:rsidDel="00000000" w:rsidR="00000000" w:rsidRPr="00000000">
        <w:rPr>
          <w:rtl w:val="0"/>
        </w:rPr>
        <w:t xml:space="preserve">2. Tratamiento de los Gastos Deducibles</w:t>
      </w:r>
    </w:p>
    <w:p w:rsidR="00000000" w:rsidDel="00000000" w:rsidP="00000000" w:rsidRDefault="00000000" w:rsidRPr="00000000" w14:paraId="00000009">
      <w:pPr>
        <w:rPr/>
      </w:pPr>
      <w:r w:rsidDel="00000000" w:rsidR="00000000" w:rsidRPr="00000000">
        <w:rPr>
          <w:rtl w:val="0"/>
        </w:rPr>
        <w:t xml:space="preserve">Para que un egreso sea considerado deducible en la determinación de la renta neta real, debe cumplir con un rigor documental estricto:</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Debe estar </w:t>
      </w:r>
      <w:r w:rsidDel="00000000" w:rsidR="00000000" w:rsidRPr="00000000">
        <w:rPr>
          <w:b w:val="1"/>
          <w:bCs w:val="1"/>
          <w:rtl w:val="0"/>
        </w:rPr>
        <w:t xml:space="preserve">debidamente documentado</w:t>
      </w:r>
      <w:r w:rsidDel="00000000" w:rsidR="00000000" w:rsidRPr="00000000">
        <w:rPr>
          <w:rtl w:val="0"/>
        </w:rPr>
        <w:t xml:space="preserve"> con comprobantes legales, representar una </w:t>
      </w:r>
      <w:r w:rsidDel="00000000" w:rsidR="00000000" w:rsidRPr="00000000">
        <w:rPr>
          <w:b w:val="1"/>
          <w:bCs w:val="1"/>
          <w:rtl w:val="0"/>
        </w:rPr>
        <w:t xml:space="preserve">erogación real</w:t>
      </w:r>
      <w:r w:rsidDel="00000000" w:rsidR="00000000" w:rsidRPr="00000000">
        <w:rPr>
          <w:rtl w:val="0"/>
        </w:rPr>
        <w:t xml:space="preserve"> y estar directamente relacionado con la actividad comercial, industrial o de servicios gravada 5, 8.</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Se admite la deducción por la adquisición de mercaderías, insumos, materias primas, muebles, equipos, y gastos de construcción, remodelación o refacción del establecimiento 5, 8.</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Egresos Indistintos (Prorrateo):</w:t>
      </w:r>
      <w:r w:rsidDel="00000000" w:rsidR="00000000" w:rsidRPr="00000000">
        <w:rPr>
          <w:rtl w:val="0"/>
        </w:rPr>
        <w:t xml:space="preserve"> Si el contribuyente posee gastos que afectan tanto a operaciones gravadas como a operaciones no gravadas o exoneradas (ej. energía eléctrica compartida), solo se podrá deducir la porción proporcional que corresponda a la actividad gravada 8, 10, 12. La porción no deducible debe declararse en el Rubro 5 del formulario (Casilla 33) 12.</w:t>
      </w:r>
    </w:p>
    <w:p w:rsidR="00000000" w:rsidDel="00000000" w:rsidP="00000000" w:rsidRDefault="00000000" w:rsidRPr="00000000" w14:paraId="0000000D">
      <w:pPr>
        <w:pStyle w:val="Heading3"/>
        <w:rPr/>
      </w:pPr>
      <w:bookmarkStart w:colFirst="0" w:colLast="0" w:name="_9s2d8rlbta5n" w:id="2"/>
      <w:bookmarkEnd w:id="2"/>
      <w:r w:rsidDel="00000000" w:rsidR="00000000" w:rsidRPr="00000000">
        <w:rPr>
          <w:rtl w:val="0"/>
        </w:rPr>
        <w:t xml:space="preserve">3. Gestión de Libros de Ingresos y Egresos</w:t>
      </w:r>
    </w:p>
    <w:p w:rsidR="00000000" w:rsidDel="00000000" w:rsidP="00000000" w:rsidRDefault="00000000" w:rsidRPr="00000000" w14:paraId="0000000E">
      <w:pPr>
        <w:rPr/>
      </w:pPr>
      <w:r w:rsidDel="00000000" w:rsidR="00000000" w:rsidRPr="00000000">
        <w:rPr>
          <w:rtl w:val="0"/>
        </w:rPr>
        <w:t xml:space="preserve">La Resolución General N° 55/2020 rige el manejo de los registros contables para este régimen 13, 14.</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Formato y Presentación:</w:t>
      </w:r>
      <w:r w:rsidDel="00000000" w:rsidR="00000000" w:rsidRPr="00000000">
        <w:rPr>
          <w:rtl w:val="0"/>
        </w:rPr>
        <w:t xml:space="preserve"> Los contribuyentes deben elaborar sus libros de Ventas/Ingresos y Compras/Egresos utilizando una plantilla electrónica (archivo Excel) proveída por la DNIT 14. </w:t>
      </w:r>
      <w:r w:rsidDel="00000000" w:rsidR="00000000" w:rsidRPr="00000000">
        <w:rPr>
          <w:b w:val="1"/>
          <w:bCs w:val="1"/>
          <w:rtl w:val="0"/>
        </w:rPr>
        <w:t xml:space="preserve">Estos libros no se levantan ni se presentan a través del Sistema Marangatu</w:t>
      </w:r>
      <w:r w:rsidDel="00000000" w:rsidR="00000000" w:rsidRPr="00000000">
        <w:rPr>
          <w:rtl w:val="0"/>
        </w:rPr>
        <w:t xml:space="preserve"> 15, 16.</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Conservación:</w:t>
      </w:r>
      <w:r w:rsidDel="00000000" w:rsidR="00000000" w:rsidRPr="00000000">
        <w:rPr>
          <w:rtl w:val="0"/>
        </w:rPr>
        <w:t xml:space="preserve"> Deben conservarse estrictamente como archivo tributario por un plazo de </w:t>
      </w:r>
      <w:r w:rsidDel="00000000" w:rsidR="00000000" w:rsidRPr="00000000">
        <w:rPr>
          <w:b w:val="1"/>
          <w:bCs w:val="1"/>
          <w:rtl w:val="0"/>
        </w:rPr>
        <w:t xml:space="preserve">cinco años</w:t>
      </w:r>
      <w:r w:rsidDel="00000000" w:rsidR="00000000" w:rsidRPr="00000000">
        <w:rPr>
          <w:rtl w:val="0"/>
        </w:rPr>
        <w:t xml:space="preserve">, coincidente con el período de prescripción del impuesto 15-17. Pueden ser guardados en formato digital o impreso 17.</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Contenido:</w:t>
      </w:r>
      <w:r w:rsidDel="00000000" w:rsidR="00000000" w:rsidRPr="00000000">
        <w:rPr>
          <w:rtl w:val="0"/>
        </w:rPr>
        <w:t xml:space="preserve"> El libro debe desglosar los datos del proveedor o cliente (RUC, Razón Social), datos del comprobante (timbrado, número, fecha, condición contado/crédito) y la correcta discriminación de las tasas del IVA (10%, 5% y Exento) para determinar el importe total sin IVA aplicable a la liquidación 18-23.</w:t>
      </w:r>
    </w:p>
    <w:p w:rsidR="00000000" w:rsidDel="00000000" w:rsidP="00000000" w:rsidRDefault="00000000" w:rsidRPr="00000000" w14:paraId="00000012">
      <w:pPr>
        <w:pStyle w:val="Heading3"/>
        <w:rPr/>
      </w:pPr>
      <w:bookmarkStart w:colFirst="0" w:colLast="0" w:name="_vlypc15qz3e4" w:id="3"/>
      <w:bookmarkEnd w:id="3"/>
      <w:r w:rsidDel="00000000" w:rsidR="00000000" w:rsidRPr="00000000">
        <w:rPr>
          <w:rtl w:val="0"/>
        </w:rPr>
        <w:t xml:space="preserve">4. Mecánica de Cálculo de Anticipos para el Ejercicio Siguiente (Rubro 4)</w:t>
      </w:r>
    </w:p>
    <w:p w:rsidR="00000000" w:rsidDel="00000000" w:rsidP="00000000" w:rsidRDefault="00000000" w:rsidRPr="00000000" w14:paraId="00000013">
      <w:pPr>
        <w:rPr/>
      </w:pPr>
      <w:r w:rsidDel="00000000" w:rsidR="00000000" w:rsidRPr="00000000">
        <w:rPr>
          <w:rtl w:val="0"/>
        </w:rPr>
        <w:t xml:space="preserve">El pago de anticipos a cuenta del impuesto para el año siguiente se determina en el Rubro 4 del Formulario 501, bajo reglas precisas estipuladas en la Resolución General N° 123/2022 y el Decreto N° 7402/2022 24-26.</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Umbral de Obligatoriedad:</w:t>
      </w:r>
      <w:r w:rsidDel="00000000" w:rsidR="00000000" w:rsidRPr="00000000">
        <w:rPr>
          <w:rtl w:val="0"/>
        </w:rPr>
        <w:t xml:space="preserve"> Solo se generará la obligación de pagar anticipos si el impuesto determinado supera los </w:t>
      </w:r>
      <w:r w:rsidDel="00000000" w:rsidR="00000000" w:rsidRPr="00000000">
        <w:rPr>
          <w:b w:val="1"/>
          <w:bCs w:val="1"/>
          <w:rtl w:val="0"/>
        </w:rPr>
        <w:t xml:space="preserve">G. 10.000.000 (diez millones de guaraníes)</w:t>
      </w:r>
      <w:r w:rsidDel="00000000" w:rsidR="00000000" w:rsidRPr="00000000">
        <w:rPr>
          <w:rtl w:val="0"/>
        </w:rPr>
        <w:t xml:space="preserve"> 17, 27-29.</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Base de Cálculo:</w:t>
      </w:r>
      <w:r w:rsidDel="00000000" w:rsidR="00000000" w:rsidRPr="00000000">
        <w:rPr>
          <w:rtl w:val="0"/>
        </w:rPr>
        <w:t xml:space="preserve"> Se debe tomar el </w:t>
      </w:r>
      <w:r w:rsidDel="00000000" w:rsidR="00000000" w:rsidRPr="00000000">
        <w:rPr>
          <w:b w:val="1"/>
          <w:bCs w:val="1"/>
          <w:rtl w:val="0"/>
        </w:rPr>
        <w:t xml:space="preserve">promedio del impuesto a la renta liquidado en los últimos tres (3) ejercicios fiscales</w:t>
      </w:r>
      <w:r w:rsidDel="00000000" w:rsidR="00000000" w:rsidRPr="00000000">
        <w:rPr>
          <w:rtl w:val="0"/>
        </w:rPr>
        <w:t xml:space="preserve"> (incluyendo el que se está declarando) 28, 30, 31. Si el contribuyente no cuenta con tres ejercicios cerrados, el cálculo se basará en el impuesto liquidado en el último ejercicio fiscal 27, 32.</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Descuentos Permitidos:</w:t>
      </w:r>
      <w:r w:rsidDel="00000000" w:rsidR="00000000" w:rsidRPr="00000000">
        <w:rPr>
          <w:rtl w:val="0"/>
        </w:rPr>
        <w:t xml:space="preserve"> A este promedio se le restan las retenciones de impuestos que el contribuyente sufrió en el ejercicio anterior (que consten en la declaración jurada) y cualquier saldo a favor del contribuyente 3, 28, 33, 34.</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Cuotas:</w:t>
      </w:r>
      <w:r w:rsidDel="00000000" w:rsidR="00000000" w:rsidRPr="00000000">
        <w:rPr>
          <w:rtl w:val="0"/>
        </w:rPr>
        <w:t xml:space="preserve"> La diferencia resultante constituye la base del anticipo, la cual se divide y se paga en </w:t>
      </w:r>
      <w:r w:rsidDel="00000000" w:rsidR="00000000" w:rsidRPr="00000000">
        <w:rPr>
          <w:b w:val="1"/>
          <w:bCs w:val="1"/>
          <w:rtl w:val="0"/>
        </w:rPr>
        <w:t xml:space="preserve">cuatro (4) cuotas iguales, equivalentes al 25%</w:t>
      </w:r>
      <w:r w:rsidDel="00000000" w:rsidR="00000000" w:rsidRPr="00000000">
        <w:rPr>
          <w:rtl w:val="0"/>
        </w:rPr>
        <w:t xml:space="preserve"> cada una 28, 31, 35, 36. El código de obligación para el pago es el </w:t>
      </w:r>
      <w:r w:rsidDel="00000000" w:rsidR="00000000" w:rsidRPr="00000000">
        <w:rPr>
          <w:b w:val="1"/>
          <w:bCs w:val="1"/>
          <w:rtl w:val="0"/>
        </w:rPr>
        <w:t xml:space="preserve">736 - ANTICIPO IRE SIMPLE</w:t>
      </w:r>
      <w:r w:rsidDel="00000000" w:rsidR="00000000" w:rsidRPr="00000000">
        <w:rPr>
          <w:rtl w:val="0"/>
        </w:rPr>
        <w:t xml:space="preserve"> 35-37.</w:t>
      </w:r>
    </w:p>
    <w:p w:rsidR="00000000" w:rsidDel="00000000" w:rsidP="00000000" w:rsidRDefault="00000000" w:rsidRPr="00000000" w14:paraId="00000018">
      <w:pPr>
        <w:pStyle w:val="Heading3"/>
        <w:rPr/>
      </w:pPr>
      <w:bookmarkStart w:colFirst="0" w:colLast="0" w:name="_wohc2ctyeytp" w:id="4"/>
      <w:bookmarkEnd w:id="4"/>
      <w:r w:rsidDel="00000000" w:rsidR="00000000" w:rsidRPr="00000000">
        <w:rPr>
          <w:rtl w:val="0"/>
        </w:rPr>
        <w:t xml:space="preserve">5. Calendario y Vencimientos</w:t>
      </w:r>
    </w:p>
    <w:p w:rsidR="00000000" w:rsidDel="00000000" w:rsidP="00000000" w:rsidRDefault="00000000" w:rsidRPr="00000000" w14:paraId="00000019">
      <w:pPr>
        <w:rPr/>
      </w:pPr>
      <w:r w:rsidDel="00000000" w:rsidR="00000000" w:rsidRPr="00000000">
        <w:rPr>
          <w:rtl w:val="0"/>
        </w:rPr>
        <w:t xml:space="preserve">El cumplimiento de las obligaciones está regido por el </w:t>
      </w:r>
      <w:r w:rsidDel="00000000" w:rsidR="00000000" w:rsidRPr="00000000">
        <w:rPr>
          <w:b w:val="1"/>
          <w:bCs w:val="1"/>
          <w:rtl w:val="0"/>
        </w:rPr>
        <w:t xml:space="preserve">Calendario Perpetuo</w:t>
      </w:r>
      <w:r w:rsidDel="00000000" w:rsidR="00000000" w:rsidRPr="00000000">
        <w:rPr>
          <w:rtl w:val="0"/>
        </w:rPr>
        <w:t xml:space="preserve"> de vencimientos, que asigna fechas fijas mensuales (del 7 al 25) según la terminación del RUC (sin dígito verificador) 38-41. Si la fecha cae en un día inhábil, se traslada al primer día hábil siguiente 38, 40.</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Declaración Anual (Formulario 501):</w:t>
      </w:r>
      <w:r w:rsidDel="00000000" w:rsidR="00000000" w:rsidRPr="00000000">
        <w:rPr>
          <w:rtl w:val="0"/>
        </w:rPr>
        <w:t xml:space="preserve"> Vence en el </w:t>
      </w:r>
      <w:r w:rsidDel="00000000" w:rsidR="00000000" w:rsidRPr="00000000">
        <w:rPr>
          <w:b w:val="1"/>
          <w:bCs w:val="1"/>
          <w:rtl w:val="0"/>
        </w:rPr>
        <w:t xml:space="preserve">tercer mes</w:t>
      </w:r>
      <w:r w:rsidDel="00000000" w:rsidR="00000000" w:rsidRPr="00000000">
        <w:rPr>
          <w:rtl w:val="0"/>
        </w:rPr>
        <w:t xml:space="preserve"> después de finalizado el ejercicio fiscal 42-44. Para empresas con cierre al 31 de diciembre, el vencimiento opera en </w:t>
      </w:r>
      <w:r w:rsidDel="00000000" w:rsidR="00000000" w:rsidRPr="00000000">
        <w:rPr>
          <w:b w:val="1"/>
          <w:bCs w:val="1"/>
          <w:rtl w:val="0"/>
        </w:rPr>
        <w:t xml:space="preserve">marzo</w:t>
      </w:r>
      <w:r w:rsidDel="00000000" w:rsidR="00000000" w:rsidRPr="00000000">
        <w:rPr>
          <w:rtl w:val="0"/>
        </w:rPr>
        <w:t xml:space="preserve"> 42, 44. La falta de presentación genera multas por contravención (ej. G. 50.000) más recargos moratorios 41, 45, 46.</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Cuotas de Anticipos:</w:t>
      </w:r>
      <w:r w:rsidDel="00000000" w:rsidR="00000000" w:rsidRPr="00000000">
        <w:rPr>
          <w:rtl w:val="0"/>
        </w:rPr>
        <w:t xml:space="preserve"> Se abonan en los meses impares posteriores al vencimiento de la declaración jurada; es decir, en el primer, tercer, quinto y séptimo mes subsiguiente 31, 47, 48. Para contribuyentes con cierre en diciembre, esto corresponde a los meses de </w:t>
      </w:r>
      <w:r w:rsidDel="00000000" w:rsidR="00000000" w:rsidRPr="00000000">
        <w:rPr>
          <w:b w:val="1"/>
          <w:bCs w:val="1"/>
          <w:rtl w:val="0"/>
        </w:rPr>
        <w:t xml:space="preserve">abril, junio, agosto y octubre</w:t>
      </w:r>
      <w:r w:rsidDel="00000000" w:rsidR="00000000" w:rsidRPr="00000000">
        <w:rPr>
          <w:rtl w:val="0"/>
        </w:rPr>
        <w:t xml:space="preserve"> del año en curso 36, 47.</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