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80"/>
      </w:pPr>
      <w:r>
        <w:rPr>
          <w:rFonts w:ascii="Calibri" w:hAnsi="Calibri"/>
          <w:b/>
          <w:i w:val="0"/>
          <w:color w:val="008C9E"/>
          <w:sz w:val="22"/>
        </w:rPr>
        <w:t>PROPOSAL RESPONSE</w:t>
      </w:r>
    </w:p>
    <w:p>
      <w:pPr>
        <w:spacing w:after="80"/>
      </w:pPr>
      <w:r>
        <w:rPr>
          <w:rFonts w:ascii="Calibri" w:hAnsi="Calibri"/>
          <w:b/>
          <w:i w:val="0"/>
          <w:color w:val="0A2A4A"/>
          <w:sz w:val="64"/>
        </w:rPr>
        <w:t>Acme Corp</w:t>
      </w:r>
    </w:p>
    <w:p>
      <w:pPr>
        <w:spacing w:after="400"/>
      </w:pPr>
      <w:r>
        <w:rPr>
          <w:rFonts w:ascii="Calibri" w:hAnsi="Calibri"/>
          <w:b w:val="0"/>
          <w:i w:val="0"/>
          <w:color w:val="0A2A4A"/>
          <w:sz w:val="44"/>
        </w:rPr>
        <w:t>Enterprise Data Platform</w:t>
      </w:r>
    </w:p>
    <w:p>
      <w:pPr>
        <w:pBdr>
          <w:bottom w:val="single" w:sz="6" w:space="1" w:color="008C9E"/>
        </w:pBdr>
        <w:spacing w:after="280"/>
      </w:pPr>
    </w:p>
    <w:p>
      <w:pPr>
        <w:spacing w:after="120"/>
      </w:pPr>
      <w:r>
        <w:rPr>
          <w:rFonts w:ascii="Calibri" w:hAnsi="Calibri"/>
          <w:b/>
          <w:i w:val="0"/>
          <w:color w:val="0A2A4A"/>
          <w:sz w:val="88"/>
        </w:rPr>
        <w:t>BTS</w:t>
      </w:r>
      <w:r>
        <w:rPr>
          <w:rFonts w:ascii="Calibri" w:hAnsi="Calibri"/>
          <w:b/>
          <w:i w:val="0"/>
          <w:color w:val="008C9E"/>
          <w:sz w:val="88"/>
        </w:rPr>
        <w:t>–SYNTHETIC</w:t>
      </w:r>
    </w:p>
    <w:p>
      <w:pPr>
        <w:spacing w:after="720"/>
      </w:pPr>
      <w:r>
        <w:rPr>
          <w:rFonts w:ascii="Calibri" w:hAnsi="Calibri"/>
          <w:b w:val="0"/>
          <w:i w:val="0"/>
          <w:color w:val="4A5568"/>
          <w:sz w:val="22"/>
        </w:rPr>
        <w:t>Enterprise Data Platform  |  Lakehouse  |  Real-Time + Governance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0A2A4A"/>
                <w:sz w:val="20"/>
              </w:rPr>
              <w:t>Prepared for</w:t>
            </w:r>
          </w:p>
        </w:tc>
        <w:tc>
          <w:tcPr>
            <w:tcW w:type="dxa" w:w="623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20"/>
              </w:rPr>
              <w:t>Acme Corp — Sarah Chen (VP Procurement), Marcus Webb (CDO)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0A2A4A"/>
                <w:sz w:val="20"/>
              </w:rPr>
              <w:t>Prepared by</w:t>
            </w:r>
          </w:p>
        </w:tc>
        <w:tc>
          <w:tcPr>
            <w:tcW w:type="dxa" w:w="623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20"/>
              </w:rPr>
              <w:t>BTS-Synthetic, Deal Desk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0A2A4A"/>
                <w:sz w:val="20"/>
              </w:rPr>
              <w:t>RFP reference</w:t>
            </w:r>
          </w:p>
        </w:tc>
        <w:tc>
          <w:tcPr>
            <w:tcW w:type="dxa" w:w="623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20"/>
              </w:rPr>
              <w:t>Acme Corp Enterprise Data Platform RFP, issued 2026-05-12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0A2A4A"/>
                <w:sz w:val="20"/>
              </w:rPr>
              <w:t>Response date</w:t>
            </w:r>
          </w:p>
        </w:tc>
        <w:tc>
          <w:tcPr>
            <w:tcW w:type="dxa" w:w="623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20"/>
              </w:rPr>
              <w:t>2026-05-26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i w:val="0"/>
                <w:color w:val="0A2A4A"/>
                <w:sz w:val="20"/>
              </w:rPr>
              <w:t>Validity</w:t>
            </w:r>
          </w:p>
        </w:tc>
        <w:tc>
          <w:tcPr>
            <w:tcW w:type="dxa" w:w="623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20"/>
              </w:rPr>
              <w:t>60 days from issue</w:t>
            </w:r>
          </w:p>
        </w:tc>
      </w:tr>
    </w:tbl>
    <w:p>
      <w:pPr>
        <w:spacing w:after="1200"/>
      </w:pPr>
    </w:p>
    <w:p>
      <w:pPr>
        <w:jc w:val="left"/>
      </w:pPr>
      <w:r>
        <w:rPr>
          <w:rFonts w:ascii="Calibri" w:hAnsi="Calibri"/>
          <w:b w:val="0"/>
          <w:i/>
          <w:color w:val="4A5568"/>
          <w:sz w:val="16"/>
        </w:rPr>
        <w:t>This document contains confidential and proprietary information of BTS-Synthetic, prepared exclusively for Acme Corp in response to the above RFP. Not for redistribution.</w:t>
      </w:r>
    </w:p>
    <w:p>
      <w:r>
        <w:br w:type="page"/>
      </w:r>
    </w:p>
    <w:p>
      <w:pPr>
        <w:keepNext/>
        <w:spacing w:before="360" w:after="120"/>
        <w:pBdr>
          <w:bottom w:val="single" w:sz="6" w:space="1" w:color="008C9E"/>
        </w:pBdr>
      </w:pPr>
      <w:r>
        <w:rPr>
          <w:rFonts w:ascii="Calibri" w:hAnsi="Calibri"/>
          <w:b/>
          <w:i w:val="0"/>
          <w:color w:val="0A2A4A"/>
          <w:sz w:val="36"/>
        </w:rPr>
        <w:t>1.  Executive Summary</w:t>
      </w:r>
    </w:p>
    <w:p>
      <w:pPr>
        <w:pStyle w:val="ListBullet"/>
        <w:spacing w:after="60" w:line="288" w:lineRule="auto"/>
      </w:pPr>
      <w:r>
        <w:rPr>
          <w:rFonts w:ascii="Calibri" w:hAnsi="Calibri"/>
          <w:b/>
          <w:i w:val="0"/>
          <w:color w:val="0A2A4A"/>
          <w:sz w:val="20"/>
        </w:rPr>
        <w:t xml:space="preserve">Right architecture, right cloud, day-one fit.  </w:t>
      </w:r>
      <w:r>
        <w:rPr>
          <w:rFonts w:ascii="Calibri" w:hAnsi="Calibri"/>
          <w:b w:val="0"/>
          <w:i w:val="0"/>
          <w:color w:val="4A5568"/>
          <w:sz w:val="20"/>
        </w:rPr>
        <w:t>BTS-Synthetic is an Azure-native lakehouse with native Delta, Iceberg, and Parquet support; our certified Power BI DirectQuery adapter is performance-tuned for analytic workloads at Acme's scale and directly addresses the 600-user non-negotiable on day one.</w:t>
      </w:r>
    </w:p>
    <w:p>
      <w:pPr>
        <w:pStyle w:val="ListBullet"/>
        <w:spacing w:after="60" w:line="288" w:lineRule="auto"/>
      </w:pPr>
      <w:r>
        <w:rPr>
          <w:rFonts w:ascii="Calibri" w:hAnsi="Calibri"/>
          <w:b/>
          <w:i w:val="0"/>
          <w:color w:val="0A2A4A"/>
          <w:sz w:val="20"/>
        </w:rPr>
        <w:t xml:space="preserve">Headroom for Acme's growth curve.  </w:t>
      </w:r>
      <w:r>
        <w:rPr>
          <w:rFonts w:ascii="Calibri" w:hAnsi="Calibri"/>
          <w:b w:val="0"/>
          <w:i w:val="0"/>
          <w:color w:val="4A5568"/>
          <w:sz w:val="20"/>
        </w:rPr>
        <w:t>Our streaming layer is tested to 250,000 events/second per region — roughly 3× Acme's 80K eps peak — with per-table EU residency enforcement, attribute-based access control, and a documented Teradata-displacement playbook aligned to Acme's 2027 decommission plan.</w:t>
      </w:r>
    </w:p>
    <w:p>
      <w:pPr>
        <w:pStyle w:val="ListBullet"/>
        <w:spacing w:after="60" w:line="288" w:lineRule="auto"/>
      </w:pPr>
      <w:r>
        <w:rPr>
          <w:rFonts w:ascii="Calibri" w:hAnsi="Calibri"/>
          <w:b/>
          <w:i w:val="0"/>
          <w:color w:val="0A2A4A"/>
          <w:sz w:val="20"/>
        </w:rPr>
        <w:t xml:space="preserve">Commercially and contractually serious.  </w:t>
      </w:r>
      <w:r>
        <w:rPr>
          <w:rFonts w:ascii="Calibri" w:hAnsi="Calibri"/>
          <w:b w:val="0"/>
          <w:i w:val="0"/>
          <w:color w:val="4A5568"/>
          <w:sz w:val="20"/>
        </w:rPr>
        <w:t>We are proposing a 3-year committed term at $680,000/year subscription, plus a transparent professional services and enablement envelope. Several of Acme's contractual asks fall outside what is bankable for any enterprise SaaS vendor; we have proposed market-standard counter-positions in good faith and are ready to engage.</w:t>
      </w:r>
    </w:p>
    <w:p>
      <w:pPr>
        <w:keepNext/>
        <w:spacing w:before="360" w:after="120"/>
        <w:pBdr>
          <w:bottom w:val="single" w:sz="6" w:space="1" w:color="008C9E"/>
        </w:pBdr>
      </w:pPr>
      <w:r>
        <w:rPr>
          <w:rFonts w:ascii="Calibri" w:hAnsi="Calibri"/>
          <w:b/>
          <w:i w:val="0"/>
          <w:color w:val="0A2A4A"/>
          <w:sz w:val="36"/>
        </w:rPr>
        <w:t>2.  Our Understanding of Acme's Need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4A5568"/>
          <w:sz w:val="20"/>
        </w:rPr>
        <w:t>Acme is consolidating a fragmented data estate — Teradata decommission running through 2027, ad-hoc cloud analytics today — into a single enterprise platform with five concurrent jobs:</w:t>
      </w:r>
    </w:p>
    <w:p>
      <w:pPr>
        <w:pStyle w:val="ListNumber"/>
        <w:spacing w:after="60" w:line="288" w:lineRule="auto"/>
      </w:pPr>
      <w:r>
        <w:rPr>
          <w:rFonts w:ascii="Calibri" w:hAnsi="Calibri"/>
          <w:b w:val="0"/>
          <w:i w:val="0"/>
          <w:color w:val="4A5568"/>
          <w:sz w:val="20"/>
        </w:rPr>
        <w:t>Real-time ingest from ~40,000 IoT devices in the field, with 80K eps peaks.</w:t>
      </w:r>
    </w:p>
    <w:p>
      <w:pPr>
        <w:pStyle w:val="ListNumber"/>
        <w:spacing w:after="60" w:line="288" w:lineRule="auto"/>
      </w:pPr>
      <w:r>
        <w:rPr>
          <w:rFonts w:ascii="Calibri" w:hAnsi="Calibri"/>
          <w:b w:val="0"/>
          <w:i w:val="0"/>
          <w:color w:val="4A5568"/>
          <w:sz w:val="20"/>
        </w:rPr>
        <w:t>Batch ETL from 30+ internal sources.</w:t>
      </w:r>
    </w:p>
    <w:p>
      <w:pPr>
        <w:pStyle w:val="ListNumber"/>
        <w:spacing w:after="60" w:line="288" w:lineRule="auto"/>
      </w:pPr>
      <w:r>
        <w:rPr>
          <w:rFonts w:ascii="Calibri" w:hAnsi="Calibri"/>
          <w:b w:val="0"/>
          <w:i w:val="0"/>
          <w:color w:val="4A5568"/>
          <w:sz w:val="20"/>
        </w:rPr>
        <w:t>Power BI service for 600 analysts and executives without compromise.</w:t>
      </w:r>
    </w:p>
    <w:p>
      <w:pPr>
        <w:pStyle w:val="ListNumber"/>
        <w:spacing w:after="60" w:line="288" w:lineRule="auto"/>
      </w:pPr>
      <w:r>
        <w:rPr>
          <w:rFonts w:ascii="Calibri" w:hAnsi="Calibri"/>
          <w:b w:val="0"/>
          <w:i w:val="0"/>
          <w:color w:val="4A5568"/>
          <w:sz w:val="20"/>
        </w:rPr>
        <w:t>A self-service environment for 150 data engineers.</w:t>
      </w:r>
    </w:p>
    <w:p>
      <w:pPr>
        <w:pStyle w:val="ListNumber"/>
        <w:spacing w:after="60" w:line="288" w:lineRule="auto"/>
      </w:pPr>
      <w:r>
        <w:rPr>
          <w:rFonts w:ascii="Calibri" w:hAnsi="Calibri"/>
          <w:b w:val="0"/>
          <w:i w:val="0"/>
          <w:color w:val="4A5568"/>
          <w:sz w:val="20"/>
        </w:rPr>
        <w:t>The foundation for predictive-maintenance ML, planned but not yet active.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4A5568"/>
          <w:sz w:val="20"/>
        </w:rPr>
        <w:t>The platform must run primarily in EU with US-East as secondary, enforce EU data residency for EU customer data, and avoid storage lock-in via open file formats. Acme is an Azure-first organisation with a Microsoft-stack analyst base.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4A5568"/>
          <w:sz w:val="20"/>
        </w:rPr>
        <w:t>BTS-Synthetic was built for this profile.</w:t>
      </w:r>
    </w:p>
    <w:p>
      <w:pPr>
        <w:keepNext/>
        <w:spacing w:before="360" w:after="120"/>
        <w:pBdr>
          <w:bottom w:val="single" w:sz="6" w:space="1" w:color="008C9E"/>
        </w:pBdr>
      </w:pPr>
      <w:r>
        <w:rPr>
          <w:rFonts w:ascii="Calibri" w:hAnsi="Calibri"/>
          <w:b/>
          <w:i w:val="0"/>
          <w:color w:val="0A2A4A"/>
          <w:sz w:val="36"/>
        </w:rPr>
        <w:t>3.  Why BTS-Synthetic Is the Right Fit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A2A4A"/>
          <w:sz w:val="26"/>
        </w:rPr>
        <w:t>3.1  Technical fit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5386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Our position</w:t>
            </w:r>
          </w:p>
        </w:tc>
      </w:tr>
      <w:tr>
        <w:tc>
          <w:tcPr>
            <w:tcW w:type="dxa" w:w="3969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Real-time ingest (80K eps peak, 40K devices)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0A2A4A"/>
                <w:sz w:val="19"/>
              </w:rPr>
              <w:t>Full fit.</w:t>
            </w:r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 xml:space="preserve">  Native Kafka/Kinesis streaming, tested to 250K eps single-region.</w:t>
            </w:r>
          </w:p>
        </w:tc>
      </w:tr>
      <w:tr>
        <w:tc>
          <w:tcPr>
            <w:tcW w:type="dxa" w:w="3969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Batch ETL (30+ sources)</w:t>
            </w:r>
          </w:p>
        </w:tc>
        <w:tc>
          <w:tcPr>
            <w:tcW w:type="dxa" w:w="5386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0A2A4A"/>
                <w:sz w:val="19"/>
              </w:rPr>
              <w:t>Full fit.</w:t>
            </w:r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 xml:space="preserve">  80+ native connectors plus Debezium CDC.</w:t>
            </w:r>
          </w:p>
        </w:tc>
      </w:tr>
      <w:tr>
        <w:tc>
          <w:tcPr>
            <w:tcW w:type="dxa" w:w="3969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Power BI for 600 users (non-negotiable)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0A2A4A"/>
                <w:sz w:val="19"/>
              </w:rPr>
              <w:t>Full fit.</w:t>
            </w:r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 xml:space="preserve">  Certified DirectQuery adapter, performance-tuned for this scale.</w:t>
            </w:r>
          </w:p>
        </w:tc>
      </w:tr>
      <w:tr>
        <w:tc>
          <w:tcPr>
            <w:tcW w:type="dxa" w:w="3969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Self-service prep for 150 engineers</w:t>
            </w:r>
          </w:p>
        </w:tc>
        <w:tc>
          <w:tcPr>
            <w:tcW w:type="dxa" w:w="5386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0A2A4A"/>
                <w:sz w:val="19"/>
              </w:rPr>
              <w:t>Full fit.</w:t>
            </w:r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 xml:space="preserve">  Low-code prep UI plus Python/R/Scala notebooks for complex transforms; dbt-compatible patterns supported.</w:t>
            </w:r>
          </w:p>
        </w:tc>
      </w:tr>
      <w:tr>
        <w:tc>
          <w:tcPr>
            <w:tcW w:type="dxa" w:w="3969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ML for predictive maintenance (planned)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0A2A4A"/>
                <w:sz w:val="19"/>
              </w:rPr>
              <w:t>Full fit.</w:t>
            </w:r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 xml:space="preserve">  Feature store, model registry, native serving with autoscaling.</w:t>
            </w:r>
          </w:p>
        </w:tc>
      </w:tr>
      <w:tr>
        <w:tc>
          <w:tcPr>
            <w:tcW w:type="dxa" w:w="3969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280 TB + 12 TB/month growth</w:t>
            </w:r>
          </w:p>
        </w:tc>
        <w:tc>
          <w:tcPr>
            <w:tcW w:type="dxa" w:w="5386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0A2A4A"/>
                <w:sz w:val="19"/>
              </w:rPr>
              <w:t>Full fit.</w:t>
            </w:r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 xml:space="preserve">  Decoupled compute/storage on Azure Blob; no architectural ceiling.</w:t>
            </w:r>
          </w:p>
        </w:tc>
      </w:tr>
      <w:tr>
        <w:tc>
          <w:tcPr>
            <w:tcW w:type="dxa" w:w="3969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Multi-region EU/US-East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0A2A4A"/>
                <w:sz w:val="19"/>
              </w:rPr>
              <w:t>Full fit.</w:t>
            </w:r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 xml:space="preserve">  Azure multi-region deployment.</w:t>
            </w:r>
          </w:p>
        </w:tc>
      </w:tr>
      <w:tr>
        <w:tc>
          <w:tcPr>
            <w:tcW w:type="dxa" w:w="3969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EU data residency</w:t>
            </w:r>
          </w:p>
        </w:tc>
        <w:tc>
          <w:tcPr>
            <w:tcW w:type="dxa" w:w="5386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0A2A4A"/>
                <w:sz w:val="19"/>
              </w:rPr>
              <w:t>Full fit.</w:t>
            </w:r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 xml:space="preserve">  Per-table residency pinning enforceable at the catalog layer.</w:t>
            </w:r>
          </w:p>
        </w:tc>
      </w:tr>
      <w:tr>
        <w:tc>
          <w:tcPr>
            <w:tcW w:type="dxa" w:w="3969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Lakehouse + open formats (Parquet/Delta/Iceberg)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0A2A4A"/>
                <w:sz w:val="19"/>
              </w:rPr>
              <w:t>Full fit.</w:t>
            </w:r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 xml:space="preserve">  All three native; no storage lock-in.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7F8"/>
            <w:tcBorders>
              <w:top w:val="single" w:sz="4" w:color="C8D2DC"/>
              <w:bottom w:val="single" w:sz="4" w:color="C8D2DC"/>
              <w:right w:val="single" w:sz="4" w:color="C8D2DC"/>
              <w:left w:val="single" w:sz="24" w:color="008C9E"/>
            </w:tcBorders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i w:val="0"/>
                <w:color w:val="0A2A4A"/>
                <w:sz w:val="20"/>
              </w:rPr>
              <w:t>Power BI at 280 TB and 600 concurrent users — how it works</w:t>
            </w:r>
          </w:p>
          <w:p>
            <w:pPr>
              <w:spacing w:after="80" w:line="300" w:lineRule="auto"/>
            </w:pPr>
            <w:r>
              <w:rPr>
                <w:rFonts w:ascii="Calibri" w:hAnsi="Calibri"/>
                <w:b w:val="0"/>
                <w:i w:val="0"/>
                <w:color w:val="4A5568"/>
                <w:sz w:val="20"/>
              </w:rPr>
              <w:t>Our DirectQuery adapter is paired with a tiered semantic-model pattern: hot aggregates and import-mode datasets serve high-concurrency dashboards; DirectQuery handles detail drill-through and large-scan ad-hoc workloads. The lakehouse caches warm data for sub-second SQL up to 10 TB; query routing is transparent to the analyst. We will demonstrate the pattern on Acme's actual dataset shape in the PoC.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7F8"/>
            <w:tcBorders>
              <w:top w:val="single" w:sz="4" w:color="C8D2DC"/>
              <w:bottom w:val="single" w:sz="4" w:color="C8D2DC"/>
              <w:right w:val="single" w:sz="4" w:color="C8D2DC"/>
              <w:left w:val="single" w:sz="24" w:color="008C9E"/>
            </w:tcBorders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i w:val="0"/>
                <w:color w:val="0A2A4A"/>
                <w:sz w:val="20"/>
              </w:rPr>
              <w:t>One clarification we'd like to confirm</w:t>
            </w:r>
          </w:p>
          <w:p>
            <w:pPr>
              <w:spacing w:after="80" w:line="300" w:lineRule="auto"/>
            </w:pPr>
            <w:r>
              <w:rPr>
                <w:rFonts w:ascii="Calibri" w:hAnsi="Calibri"/>
                <w:b w:val="0"/>
                <w:i w:val="0"/>
                <w:color w:val="4A5568"/>
                <w:sz w:val="20"/>
              </w:rPr>
              <w:t>The RFP does not specify an end-to-end latency target for the predictive-maintenance pipeline. Our streaming latency is 250 ms – 1 s. If sub-100 ms is required at the alert layer, we recommend pairing the platform with an edge processing tier; we have reference architectures and can scope this in the PoC.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i w:val="0"/>
          <w:color w:val="0A2A4A"/>
          <w:sz w:val="26"/>
        </w:rPr>
        <w:t>3.2  Why us versus the rest of the field</w:t>
      </w:r>
    </w:p>
    <w:p>
      <w:pPr>
        <w:spacing w:after="120" w:line="300" w:lineRule="auto"/>
      </w:pPr>
      <w:r>
        <w:rPr>
          <w:rFonts w:ascii="Calibri" w:hAnsi="Calibri"/>
          <w:b w:val="0"/>
          <w:i/>
          <w:color w:val="4A5568"/>
          <w:sz w:val="20"/>
        </w:rPr>
        <w:t>We will not compete on slideware; the points below are what we believe survive a technical reviewer's scrutiny.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Competitor</w:t>
            </w:r>
          </w:p>
        </w:tc>
        <w:tc>
          <w:tcPr>
            <w:tcW w:type="dxa" w:w="7087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Where we believe we win</w:t>
            </w:r>
          </w:p>
        </w:tc>
      </w:tr>
      <w:tr>
        <w:tc>
          <w:tcPr>
            <w:tcW w:type="dxa" w:w="226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Microsoft Fabric</w:t>
            </w:r>
          </w:p>
        </w:tc>
        <w:tc>
          <w:tcPr>
            <w:tcW w:type="dxa" w:w="708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Governance maturity (per-table residency + ABAC + lineage), open-format optionality (Iceberg as a first-class peer to Delta, not Delta-preferred), multi-cloud optionality (Acme is Azure today, but a 5-year decision should not foreclose AWS or self-hosted), and 5-year TCO at sustained 80K eps once Fabric capacity reservation, BI Premium, and PS ramp are normalised.</w:t>
            </w:r>
          </w:p>
        </w:tc>
      </w:tr>
      <w:tr>
        <w:tc>
          <w:tcPr>
            <w:tcW w:type="dxa" w:w="2268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Snowflake</w:t>
            </w:r>
          </w:p>
        </w:tc>
        <w:tc>
          <w:tcPr>
            <w:tcW w:type="dxa" w:w="7087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Per-query and per-warehouse economics surprise on the 12 TB/month curve with IoT-shaped semi-structured data. We will model 5-year TCO on Acme's actual workload mix. Open formats (Delta + Iceberg both native) removes storage lock-in that Snowflake's native format does not.</w:t>
            </w:r>
          </w:p>
        </w:tc>
      </w:tr>
      <w:tr>
        <w:tc>
          <w:tcPr>
            <w:tcW w:type="dxa" w:w="226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Databricks</w:t>
            </w:r>
          </w:p>
        </w:tc>
        <w:tc>
          <w:tcPr>
            <w:tcW w:type="dxa" w:w="708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Delta and Iceberg both native — true open-format optionality, not Delta-preferred. Streaming engine is purpose-built for continuous IoT rather than Spark micro-batch; predictable analyst experience layered on top of the lakehouse, not as a separate product.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i w:val="0"/>
          <w:color w:val="0A2A4A"/>
          <w:sz w:val="26"/>
        </w:rPr>
        <w:t>3.3  Customer references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4A5568"/>
          <w:sz w:val="20"/>
        </w:rPr>
        <w:t>We will provide three references on shortlist confirmation, under mutual NDA: a global industrial IoT customer at comparable real-time scale; an industrial manufacturer with a Teradata-displacement profile; and a multi-region, sovereignty-sensitive customer with comparable governance requirements.</w:t>
      </w:r>
    </w:p>
    <w:p>
      <w:r>
        <w:br w:type="page"/>
      </w:r>
    </w:p>
    <w:p>
      <w:pPr>
        <w:keepNext/>
        <w:spacing w:before="360" w:after="120"/>
        <w:pBdr>
          <w:bottom w:val="single" w:sz="6" w:space="1" w:color="008C9E"/>
        </w:pBdr>
      </w:pPr>
      <w:r>
        <w:rPr>
          <w:rFonts w:ascii="Calibri" w:hAnsi="Calibri"/>
          <w:b/>
          <w:i w:val="0"/>
          <w:color w:val="0A2A4A"/>
          <w:sz w:val="36"/>
        </w:rPr>
        <w:t>4.  Commercial Proposal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A2A4A"/>
          <w:sz w:val="26"/>
        </w:rPr>
        <w:t>4.1  Pricing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</w:t>
            </w:r>
          </w:p>
        </w:tc>
        <w:tc>
          <w:tcPr>
            <w:tcW w:type="dxa" w:w="2835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Subscription</w:t>
            </w:r>
          </w:p>
        </w:tc>
        <w:tc>
          <w:tcPr>
            <w:tcW w:type="dxa" w:w="3118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40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Year 1</w:t>
            </w:r>
          </w:p>
        </w:tc>
        <w:tc>
          <w:tcPr>
            <w:tcW w:type="dxa" w:w="283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$680,000</w:t>
            </w:r>
          </w:p>
        </w:tc>
        <w:tc>
          <w:tcPr>
            <w:tcW w:type="dxa" w:w="311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20% off list of $850,000</w:t>
            </w:r>
          </w:p>
        </w:tc>
      </w:tr>
      <w:tr>
        <w:tc>
          <w:tcPr>
            <w:tcW w:type="dxa" w:w="3402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Year 2</w:t>
            </w:r>
          </w:p>
        </w:tc>
        <w:tc>
          <w:tcPr>
            <w:tcW w:type="dxa" w:w="2835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$680,000</w:t>
            </w:r>
          </w:p>
        </w:tc>
        <w:tc>
          <w:tcPr>
            <w:tcW w:type="dxa" w:w="3118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Fixed</w:t>
            </w:r>
          </w:p>
        </w:tc>
      </w:tr>
      <w:tr>
        <w:tc>
          <w:tcPr>
            <w:tcW w:type="dxa" w:w="340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Year 3</w:t>
            </w:r>
          </w:p>
        </w:tc>
        <w:tc>
          <w:tcPr>
            <w:tcW w:type="dxa" w:w="283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$680,000</w:t>
            </w:r>
          </w:p>
        </w:tc>
        <w:tc>
          <w:tcPr>
            <w:tcW w:type="dxa" w:w="311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Fixed</w:t>
            </w:r>
          </w:p>
        </w:tc>
      </w:tr>
      <w:tr>
        <w:tc>
          <w:tcPr>
            <w:tcW w:type="dxa" w:w="3402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3-year committed subscription total</w:t>
            </w:r>
          </w:p>
        </w:tc>
        <w:tc>
          <w:tcPr>
            <w:tcW w:type="dxa" w:w="2835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$2,040,000</w:t>
            </w:r>
          </w:p>
        </w:tc>
        <w:tc>
          <w:tcPr>
            <w:tcW w:type="dxa" w:w="3118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</w:r>
          </w:p>
        </w:tc>
      </w:tr>
      <w:tr>
        <w:tc>
          <w:tcPr>
            <w:tcW w:type="dxa" w:w="340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Year 4 (renewal option)</w:t>
            </w:r>
          </w:p>
        </w:tc>
        <w:tc>
          <w:tcPr>
            <w:tcW w:type="dxa" w:w="283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Year 3 fee × CPI</w:t>
            </w:r>
          </w:p>
        </w:tc>
        <w:tc>
          <w:tcPr>
            <w:tcW w:type="dxa" w:w="311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Capped at +5%</w:t>
            </w:r>
          </w:p>
        </w:tc>
      </w:tr>
      <w:tr>
        <w:tc>
          <w:tcPr>
            <w:tcW w:type="dxa" w:w="3402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Year 5 (renewal option)</w:t>
            </w:r>
          </w:p>
        </w:tc>
        <w:tc>
          <w:tcPr>
            <w:tcW w:type="dxa" w:w="2835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Year 4 fee × CPI</w:t>
            </w:r>
          </w:p>
        </w:tc>
        <w:tc>
          <w:tcPr>
            <w:tcW w:type="dxa" w:w="3118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Capped at +5%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i w:val="0"/>
          <w:color w:val="0A2A4A"/>
          <w:sz w:val="26"/>
        </w:rPr>
        <w:t>4.2  Professional services and enablement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Line item</w:t>
            </w:r>
          </w:p>
        </w:tc>
        <w:tc>
          <w:tcPr>
            <w:tcW w:type="dxa" w:w="6520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Approach</w:t>
            </w:r>
          </w:p>
        </w:tc>
      </w:tr>
      <w:tr>
        <w:tc>
          <w:tcPr>
            <w:tcW w:type="dxa" w:w="283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Implementation (foundation + first production workload)</w:t>
            </w:r>
          </w:p>
        </w:tc>
        <w:tc>
          <w:tcPr>
            <w:tcW w:type="dxa" w:w="652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Fixed-price engagement, $320,000, scope per §6. Includes joint design authority, landing zone, Power BI integration, first 5 source onboardings.</w:t>
            </w:r>
          </w:p>
        </w:tc>
      </w:tr>
      <w:tr>
        <w:tc>
          <w:tcPr>
            <w:tcW w:type="dxa" w:w="2835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Teradata-displacement waves</w:t>
            </w:r>
          </w:p>
        </w:tc>
        <w:tc>
          <w:tcPr>
            <w:tcW w:type="dxa" w:w="6520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T&amp;M against a published rate card with a not-to-exceed envelope per wave; estimate $400K–$600K total across the multi-wave decommission through 2027, scoped wave-by-wave with Acme.</w:t>
            </w:r>
          </w:p>
        </w:tc>
      </w:tr>
      <w:tr>
        <w:tc>
          <w:tcPr>
            <w:tcW w:type="dxa" w:w="283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Enablement</w:t>
            </w:r>
          </w:p>
        </w:tc>
        <w:tc>
          <w:tcPr>
            <w:tcW w:type="dxa" w:w="652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600-analyst rollout programme ($60,000): role-based curriculum, office hours, Power BI authoring clinics. 150-engineer programme ($90,000): hands-on labs, dbt-compatible patterns, governance and ABAC certification.</w:t>
            </w:r>
          </w:p>
        </w:tc>
      </w:tr>
      <w:tr>
        <w:tc>
          <w:tcPr>
            <w:tcW w:type="dxa" w:w="2835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Support tier</w:t>
            </w:r>
          </w:p>
        </w:tc>
        <w:tc>
          <w:tcPr>
            <w:tcW w:type="dxa" w:w="6520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Enterprise 24×7 follow-the-sun, named Technical Account Manager, severity matrix with 15-minute response on Sev 1, 4-hour restore target. Included in subscription.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7F8"/>
            <w:tcBorders>
              <w:top w:val="single" w:sz="4" w:color="C8D2DC"/>
              <w:bottom w:val="single" w:sz="4" w:color="C8D2DC"/>
              <w:right w:val="single" w:sz="4" w:color="C8D2DC"/>
              <w:left w:val="single" w:sz="24" w:color="008C9E"/>
            </w:tcBorders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i w:val="0"/>
                <w:color w:val="0A2A4A"/>
                <w:sz w:val="20"/>
              </w:rPr>
              <w:t>Year 1 all-in indicative</w:t>
            </w:r>
          </w:p>
          <w:p>
            <w:pPr>
              <w:spacing w:after="80" w:line="300" w:lineRule="auto"/>
            </w:pPr>
            <w:r>
              <w:rPr>
                <w:rFonts w:ascii="Calibri" w:hAnsi="Calibri"/>
                <w:b w:val="0"/>
                <w:i w:val="0"/>
                <w:color w:val="4A5568"/>
                <w:sz w:val="20"/>
              </w:rPr>
              <w:t>$680K subscription + $320K fixed-price implementation + $150K enablement = ~$1.15M Year 1, with Teradata-wave PS scoped separately as Acme's decommission plan firms up.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7F8"/>
            <w:tcBorders>
              <w:top w:val="single" w:sz="4" w:color="C8D2DC"/>
              <w:bottom w:val="single" w:sz="4" w:color="C8D2DC"/>
              <w:right w:val="single" w:sz="4" w:color="C8D2DC"/>
              <w:left w:val="single" w:sz="24" w:color="008C9E"/>
            </w:tcBorders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i w:val="0"/>
                <w:color w:val="0A2A4A"/>
                <w:sz w:val="20"/>
              </w:rPr>
              <w:t>3-year all-in indicative</w:t>
            </w:r>
          </w:p>
          <w:p>
            <w:pPr>
              <w:spacing w:after="80" w:line="300" w:lineRule="auto"/>
            </w:pPr>
            <w:r>
              <w:rPr>
                <w:rFonts w:ascii="Calibri" w:hAnsi="Calibri"/>
                <w:b w:val="0"/>
                <w:i w:val="0"/>
                <w:color w:val="4A5568"/>
                <w:sz w:val="20"/>
              </w:rPr>
              <w:t>$2.04M subscription + $320K fixed-price implementation + $150K enablement = ~$2.51M committed, plus wave-scoped Teradata-displacement PS within the published T&amp;M envelope.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i w:val="0"/>
          <w:color w:val="0A2A4A"/>
          <w:sz w:val="26"/>
        </w:rPr>
        <w:t>4.3  Optional 99.99% SLA configuration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4A5568"/>
          <w:sz w:val="20"/>
        </w:rPr>
        <w:t>Our standard Enterprise SLA is 99.95%. A 99.99% multi-region active-active configuration is available as a $100,000/year add-on. This is a real architectural change, not a paper SLA — we will only commit to 99.99% in an active-active topology. We have priced this as optional; we recommend Acme begin on 99.95% and evaluate the add-on after Year 1 production data.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0A2A4A"/>
          <w:sz w:val="26"/>
        </w:rPr>
        <w:t>4.4  Response to Acme's commercial asks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A2A4A"/>
          <w:sz w:val="20"/>
        </w:rPr>
        <w:t xml:space="preserve">Discount (RFP §3.3 — 35% requested).  </w:t>
      </w:r>
      <w:r>
        <w:rPr>
          <w:rFonts w:ascii="Calibri" w:hAnsi="Calibri"/>
          <w:b w:val="0"/>
          <w:i w:val="0"/>
          <w:color w:val="4A5568"/>
          <w:sz w:val="20"/>
        </w:rPr>
        <w:t>Our offer is 20% off list. We compete on 5-year TCO at Acme's actual workload profile, not headline discount, and we are confident in that comparison. We are open to discussing structural moves — extended term, reference contribution, expanded scope — that could justify additional consideration.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A2A4A"/>
          <w:sz w:val="20"/>
        </w:rPr>
        <w:t xml:space="preserve">Pricing fixed for 5 years, no escalator (RFP §3.1).  </w:t>
      </w:r>
      <w:r>
        <w:rPr>
          <w:rFonts w:ascii="Calibri" w:hAnsi="Calibri"/>
          <w:b w:val="0"/>
          <w:i w:val="0"/>
          <w:color w:val="4A5568"/>
          <w:sz w:val="20"/>
        </w:rPr>
        <w:t>Pricing is fixed across the 3-year committed term. Renewal years 4–5 are subject to CPI, capped at +5% per year. This is standard market practice on a 5-year horizon.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A2A4A"/>
          <w:sz w:val="20"/>
        </w:rPr>
        <w:t xml:space="preserve">Net 90 payment (RFP §3.2).  </w:t>
      </w:r>
      <w:r>
        <w:rPr>
          <w:rFonts w:ascii="Calibri" w:hAnsi="Calibri"/>
          <w:b w:val="0"/>
          <w:i w:val="0"/>
          <w:color w:val="4A5568"/>
          <w:sz w:val="20"/>
        </w:rPr>
        <w:t>Our standard is Net 30. We can offer Net 60 given Acme's credit profile.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0A2A4A"/>
          <w:sz w:val="20"/>
        </w:rPr>
        <w:t xml:space="preserve">Most Favoured Nation (RFP §3.4).  </w:t>
      </w:r>
      <w:r>
        <w:rPr>
          <w:rFonts w:ascii="Calibri" w:hAnsi="Calibri"/>
          <w:b w:val="0"/>
          <w:i w:val="0"/>
          <w:color w:val="4A5568"/>
          <w:sz w:val="20"/>
        </w:rPr>
        <w:t>We are not able to offer an MFN warranty. Our customer arrangements vary materially by scope, term, and reference contribution, and a durable MFN cannot be honestly warranted across that variation. We will commit instead to good-faith renewal pricing and a documented benchmarking right at renewal.</w:t>
      </w:r>
    </w:p>
    <w:p>
      <w:r>
        <w:br w:type="page"/>
      </w:r>
    </w:p>
    <w:p>
      <w:pPr>
        <w:keepNext/>
        <w:spacing w:before="360" w:after="120"/>
        <w:pBdr>
          <w:bottom w:val="single" w:sz="6" w:space="1" w:color="008C9E"/>
        </w:pBdr>
      </w:pPr>
      <w:r>
        <w:rPr>
          <w:rFonts w:ascii="Calibri" w:hAnsi="Calibri"/>
          <w:b/>
          <w:i w:val="0"/>
          <w:color w:val="0A2A4A"/>
          <w:sz w:val="36"/>
        </w:rPr>
        <w:t>5.  Contract Approach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4A5568"/>
          <w:sz w:val="20"/>
        </w:rPr>
        <w:t>We have proposed counter-positions for each item below in good faith, drawing on market-standard precedent and on terms we have closed with customers of comparable scale.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RFP clause</w:t>
            </w:r>
          </w:p>
        </w:tc>
        <w:tc>
          <w:tcPr>
            <w:tcW w:type="dxa" w:w="6803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Our counter-position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§3.5  Termination for convenience</w:t>
            </w:r>
          </w:p>
        </w:tc>
        <w:tc>
          <w:tcPr>
            <w:tcW w:type="dxa" w:w="680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90 days' written notice. Fees for the balance of the current contract year are non-refundable.</w:t>
            </w:r>
          </w:p>
        </w:tc>
      </w:tr>
      <w:tr>
        <w:tc>
          <w:tcPr>
            <w:tcW w:type="dxa" w:w="2551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§4.1  Liability</w:t>
            </w:r>
          </w:p>
        </w:tc>
        <w:tc>
          <w:tcPr>
            <w:tcW w:type="dxa" w:w="6803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Aggregate liability for data breach capped at 24 months of fees paid. Regulatory fines and reputational damages excluded. Mutual carve-outs for gross negligence and IP infringement. This cap is a precondition of responsible cyber-insurance coverage.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§4.2  Audit</w:t>
            </w:r>
          </w:p>
        </w:tc>
        <w:tc>
          <w:tcPr>
            <w:tcW w:type="dxa" w:w="680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Maximum 2 audits per year with 30 days' written notice. First audit at vendor cost; subsequent audits at customer cost. Subject to confidentiality.</w:t>
            </w:r>
          </w:p>
        </w:tc>
      </w:tr>
      <w:tr>
        <w:tc>
          <w:tcPr>
            <w:tcW w:type="dxa" w:w="2551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§4.3  SLA</w:t>
            </w:r>
          </w:p>
        </w:tc>
        <w:tc>
          <w:tcPr>
            <w:tcW w:type="dxa" w:w="6803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Standard Enterprise SLA: 99.95%. 99.99% available as a multi-region active-active add-on (see §4.3). Remedy: service credits up to 30% of affected monthly fees. Termination right after cumulative downtime exceeds threshold for three consecutive months.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§4.4  IP</w:t>
            </w:r>
          </w:p>
        </w:tc>
        <w:tc>
          <w:tcPr>
            <w:tcW w:type="dxa" w:w="680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Vendor retains all IP. Acme receives a perpetual, irrevocable, royalty-free licence to use deliverables created specifically for this engagement, including any custom configurations and integrations.</w:t>
            </w:r>
          </w:p>
        </w:tc>
      </w:tr>
      <w:tr>
        <w:tc>
          <w:tcPr>
            <w:tcW w:type="dxa" w:w="2551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§4.5  Subprocessors</w:t>
            </w:r>
          </w:p>
        </w:tc>
        <w:tc>
          <w:tcPr>
            <w:tcW w:type="dxa" w:w="6803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Public subprocessor list maintained. 30 days' advance notice for additions/replacements. Customer may object in writing; vendor uses reasonable efforts to accommodate, or customer may terminate the affected service for cause.</w:t>
            </w:r>
          </w:p>
        </w:tc>
      </w:tr>
    </w:tbl>
    <w:p>
      <w:pPr>
        <w:keepNext/>
        <w:spacing w:before="360" w:after="120"/>
        <w:pBdr>
          <w:bottom w:val="single" w:sz="6" w:space="1" w:color="008C9E"/>
        </w:pBdr>
      </w:pPr>
      <w:r>
        <w:rPr>
          <w:rFonts w:ascii="Calibri" w:hAnsi="Calibri"/>
          <w:b/>
          <w:i w:val="0"/>
          <w:color w:val="0A2A4A"/>
          <w:sz w:val="36"/>
        </w:rPr>
        <w:t>6.  Security, Compliance &amp; Data Protection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4A5568"/>
          <w:sz w:val="20"/>
        </w:rPr>
        <w:t>A 280 TB, multi-region, EU-residency, regulated-industrial deployment requires more than a checklist. The summary below names what we hold today and what we will commit to in the MSA.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Domain</w:t>
            </w:r>
          </w:p>
        </w:tc>
        <w:tc>
          <w:tcPr>
            <w:tcW w:type="dxa" w:w="6803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Position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Certifications</w:t>
            </w:r>
          </w:p>
        </w:tc>
        <w:tc>
          <w:tcPr>
            <w:tcW w:type="dxa" w:w="680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SOC 2 Type II, ISO 27001, ISO 27017, ISO 27018, ISO 27701, HIPAA-eligible (US tier), FedRAMP Moderate (US-Gov tier). Reports available under NDA.</w:t>
            </w:r>
          </w:p>
        </w:tc>
      </w:tr>
      <w:tr>
        <w:tc>
          <w:tcPr>
            <w:tcW w:type="dxa" w:w="2551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GDPR</w:t>
            </w:r>
          </w:p>
        </w:tc>
        <w:tc>
          <w:tcPr>
            <w:tcW w:type="dxa" w:w="6803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DPA available with EU Standard Contractual Clauses; Schrems II transfer-impact assessment on file; Acme as controller, BTS-Synthetic as processor model.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Data residency</w:t>
            </w:r>
          </w:p>
        </w:tc>
        <w:tc>
          <w:tcPr>
            <w:tcW w:type="dxa" w:w="680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Per-table residency pinning enforced at the catalog layer. EU customer data tables pinned to EU regions only; verifiable via audit log and admin UI.</w:t>
            </w:r>
          </w:p>
        </w:tc>
      </w:tr>
      <w:tr>
        <w:tc>
          <w:tcPr>
            <w:tcW w:type="dxa" w:w="2551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Encryption</w:t>
            </w:r>
          </w:p>
        </w:tc>
        <w:tc>
          <w:tcPr>
            <w:tcW w:type="dxa" w:w="6803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TLS 1.2+ in transit; AES-256 at rest. Customer-managed keys via Azure Key Vault (BYOK) included; HYOK available on request.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Key management</w:t>
            </w:r>
          </w:p>
        </w:tc>
        <w:tc>
          <w:tcPr>
            <w:tcW w:type="dxa" w:w="680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Per-tenant key isolation; key rotation policy configurable by customer; key destruction on contract exit.</w:t>
            </w:r>
          </w:p>
        </w:tc>
      </w:tr>
      <w:tr>
        <w:tc>
          <w:tcPr>
            <w:tcW w:type="dxa" w:w="2551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Audit logging</w:t>
            </w:r>
          </w:p>
        </w:tc>
        <w:tc>
          <w:tcPr>
            <w:tcW w:type="dxa" w:w="6803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Every read and write logged; exportable to Acme's SIEM in near real time; 13-month retention default, extendable.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Subprocessors</w:t>
            </w:r>
          </w:p>
        </w:tc>
        <w:tc>
          <w:tcPr>
            <w:tcW w:type="dxa" w:w="680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Maintained public list. 30 days' advance notice for changes (see §5).</w:t>
            </w:r>
          </w:p>
        </w:tc>
      </w:tr>
      <w:tr>
        <w:tc>
          <w:tcPr>
            <w:tcW w:type="dxa" w:w="2551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Business continuity</w:t>
            </w:r>
          </w:p>
        </w:tc>
        <w:tc>
          <w:tcPr>
            <w:tcW w:type="dxa" w:w="6803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RPO 15 minutes, RTO 4 hours for the standard Enterprise tier. Multi-region active-active configuration improves RPO to near-zero and RTO to under 30 minutes.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Penetration testing</w:t>
            </w:r>
          </w:p>
        </w:tc>
        <w:tc>
          <w:tcPr>
            <w:tcW w:type="dxa" w:w="680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Independent third-party penetration testing annually; summary report available under NDA; customer right to commission additional testing per §5 audit terms.</w:t>
            </w:r>
          </w:p>
        </w:tc>
      </w:tr>
    </w:tbl>
    <w:p>
      <w:pPr>
        <w:keepNext/>
        <w:spacing w:before="360" w:after="120"/>
        <w:pBdr>
          <w:bottom w:val="single" w:sz="6" w:space="1" w:color="008C9E"/>
        </w:pBdr>
      </w:pPr>
      <w:r>
        <w:rPr>
          <w:rFonts w:ascii="Calibri" w:hAnsi="Calibri"/>
          <w:b/>
          <w:i w:val="0"/>
          <w:color w:val="0A2A4A"/>
          <w:sz w:val="36"/>
        </w:rPr>
        <w:t>7.  Implementation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1587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5216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Milestone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Mobilisation</w:t>
            </w:r>
          </w:p>
        </w:tc>
        <w:tc>
          <w:tcPr>
            <w:tcW w:type="dxa" w:w="158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Weeks 0–2</w:t>
            </w:r>
          </w:p>
        </w:tc>
        <w:tc>
          <w:tcPr>
            <w:tcW w:type="dxa" w:w="5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Joint design authority stood up; landing zone built in Azure (EU + US-East); identity + network integration.</w:t>
            </w:r>
          </w:p>
        </w:tc>
      </w:tr>
      <w:tr>
        <w:tc>
          <w:tcPr>
            <w:tcW w:type="dxa" w:w="2551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Foundation</w:t>
            </w:r>
          </w:p>
        </w:tc>
        <w:tc>
          <w:tcPr>
            <w:tcW w:type="dxa" w:w="1587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Weeks 2–6</w:t>
            </w:r>
          </w:p>
        </w:tc>
        <w:tc>
          <w:tcPr>
            <w:tcW w:type="dxa" w:w="5216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Lakehouse provisioned; Power BI DirectQuery live; first 5 sources ingesting.</w:t>
            </w:r>
          </w:p>
        </w:tc>
      </w:tr>
      <w:tr>
        <w:tc>
          <w:tcPr>
            <w:tcW w:type="dxa" w:w="255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First production workload</w:t>
            </w:r>
          </w:p>
        </w:tc>
        <w:tc>
          <w:tcPr>
            <w:tcW w:type="dxa" w:w="158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Weeks 6–8</w:t>
            </w:r>
          </w:p>
        </w:tc>
        <w:tc>
          <w:tcPr>
            <w:tcW w:type="dxa" w:w="5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Real-time IoT pipeline live for one product line; first Power BI dashboards in users' hands.</w:t>
            </w:r>
          </w:p>
        </w:tc>
      </w:tr>
      <w:tr>
        <w:tc>
          <w:tcPr>
            <w:tcW w:type="dxa" w:w="2551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Initial Teradata wave + scale-out</w:t>
            </w:r>
          </w:p>
        </w:tc>
        <w:tc>
          <w:tcPr>
            <w:tcW w:type="dxa" w:w="1587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Weeks 8–16</w:t>
            </w:r>
          </w:p>
        </w:tc>
        <w:tc>
          <w:tcPr>
            <w:tcW w:type="dxa" w:w="5216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First tranche of Teradata workloads migrated; 600-user Power BI cutover to the new platform; governance hardening (residency, ABAC, SIEM export).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7F8"/>
            <w:tcBorders>
              <w:top w:val="single" w:sz="4" w:color="C8D2DC"/>
              <w:bottom w:val="single" w:sz="4" w:color="C8D2DC"/>
              <w:right w:val="single" w:sz="4" w:color="C8D2DC"/>
              <w:left w:val="single" w:sz="24" w:color="008C9E"/>
            </w:tcBorders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i w:val="0"/>
                <w:color w:val="0A2A4A"/>
                <w:sz w:val="20"/>
              </w:rPr>
              <w:t>Honest framing on Teradata decommission</w:t>
            </w:r>
          </w:p>
          <w:p>
            <w:pPr>
              <w:spacing w:after="80" w:line="300" w:lineRule="auto"/>
            </w:pPr>
            <w:r>
              <w:rPr>
                <w:rFonts w:ascii="Calibri" w:hAnsi="Calibri"/>
                <w:b w:val="0"/>
                <w:i w:val="0"/>
                <w:color w:val="4A5568"/>
                <w:sz w:val="20"/>
              </w:rPr>
              <w:t>Acme's Teradata decommission runs through 2027. We propose 16 weeks to first production workload and Power BI cutover on BTS-Synthetic, followed by phased Teradata-displacement waves aligned to Acme's decommission timeline through 2027, scoped wave-by-wave with the joint design authority. We will not claim a 16-week full Teradata exit; that is not credible at this scale and not how we deliver.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7F8"/>
            <w:tcBorders>
              <w:top w:val="single" w:sz="4" w:color="C8D2DC"/>
              <w:bottom w:val="single" w:sz="4" w:color="C8D2DC"/>
              <w:right w:val="single" w:sz="4" w:color="C8D2DC"/>
              <w:left w:val="single" w:sz="24" w:color="008C9E"/>
            </w:tcBorders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i w:val="0"/>
                <w:color w:val="0A2A4A"/>
                <w:sz w:val="20"/>
              </w:rPr>
              <w:t>Proof-of-concept offer</w:t>
            </w:r>
          </w:p>
          <w:p>
            <w:pPr>
              <w:spacing w:after="80" w:line="300" w:lineRule="auto"/>
            </w:pPr>
            <w:r>
              <w:rPr>
                <w:rFonts w:ascii="Calibri" w:hAnsi="Calibri"/>
                <w:b w:val="0"/>
                <w:i w:val="0"/>
                <w:color w:val="4A5568"/>
                <w:sz w:val="20"/>
              </w:rPr>
              <w:t>We propose a 3-week paid PoC ($45,000, credited against Year 1 subscription on signature) demonstrating: 80K eps sustained ingest, per-table EU residency enforcement, Power BI DirectQuery at scale on Acme data shapes, and the predictive-maintenance latency profile.</w:t>
            </w:r>
          </w:p>
        </w:tc>
      </w:tr>
    </w:tbl>
    <w:p>
      <w:pPr>
        <w:keepNext/>
        <w:spacing w:before="360" w:after="120"/>
        <w:pBdr>
          <w:bottom w:val="single" w:sz="6" w:space="1" w:color="008C9E"/>
        </w:pBdr>
      </w:pPr>
      <w:r>
        <w:rPr>
          <w:rFonts w:ascii="Calibri" w:hAnsi="Calibri"/>
          <w:b/>
          <w:i w:val="0"/>
          <w:color w:val="0A2A4A"/>
          <w:sz w:val="36"/>
        </w:rPr>
        <w:t>8.  Risks and Mitigations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2268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4252"/>
            <w:shd w:val="clear" w:color="auto" w:fill="0A2A4A"/>
            <w:tcBorders>
              <w:top w:val="single" w:sz="6" w:color="0A2A4A"/>
              <w:left w:val="single" w:sz="6" w:color="0A2A4A"/>
              <w:bottom w:val="single" w:sz="6" w:color="0A2A4A"/>
              <w:right w:val="single" w:sz="6" w:color="0A2A4A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3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Sub-100 ms streaming latency for predictive-maintenance alerts</w:t>
            </w:r>
          </w:p>
        </w:tc>
        <w:tc>
          <w:tcPr>
            <w:tcW w:type="dxa" w:w="226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Could shift fit to partial if alert-layer SLA is sub-100 ms</w:t>
            </w:r>
          </w:p>
        </w:tc>
        <w:tc>
          <w:tcPr>
            <w:tcW w:type="dxa" w:w="425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Confirm latency target with Acme; pair platform with edge processing tier where required; demonstrate latency profile in PoC.</w:t>
            </w:r>
          </w:p>
        </w:tc>
      </w:tr>
      <w:tr>
        <w:tc>
          <w:tcPr>
            <w:tcW w:type="dxa" w:w="2835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600-user Power BI DirectQuery performance at 280 TB</w:t>
            </w:r>
          </w:p>
        </w:tc>
        <w:tc>
          <w:tcPr>
            <w:tcW w:type="dxa" w:w="2268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Analyst experience risk if semantic-model pattern is not adopted</w:t>
            </w:r>
          </w:p>
        </w:tc>
        <w:tc>
          <w:tcPr>
            <w:tcW w:type="dxa" w:w="4252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Tiered semantic-model approach (§3.1); performance benchmarked on Acme data in PoC; Power BI authoring clinics in enablement.</w:t>
            </w:r>
          </w:p>
        </w:tc>
      </w:tr>
      <w:tr>
        <w:tc>
          <w:tcPr>
            <w:tcW w:type="dxa" w:w="283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Commercial gap between RFP asks and our position</w:t>
            </w:r>
          </w:p>
        </w:tc>
        <w:tc>
          <w:tcPr>
            <w:tcW w:type="dxa" w:w="226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Procurement friction</w:t>
            </w:r>
          </w:p>
        </w:tc>
        <w:tc>
          <w:tcPr>
            <w:tcW w:type="dxa" w:w="425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Counter-positions provided transparently in §4 and §5; direct engagement with Sarah's team.</w:t>
            </w:r>
          </w:p>
        </w:tc>
      </w:tr>
      <w:tr>
        <w:tc>
          <w:tcPr>
            <w:tcW w:type="dxa" w:w="2835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Competitive pricing pressure from Microsoft Fabric</w:t>
            </w:r>
          </w:p>
        </w:tc>
        <w:tc>
          <w:tcPr>
            <w:tcW w:type="dxa" w:w="2268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Procurement-led price pull</w:t>
            </w:r>
          </w:p>
        </w:tc>
        <w:tc>
          <w:tcPr>
            <w:tcW w:type="dxa" w:w="4252"/>
            <w:shd w:val="clear" w:color="auto" w:fill="E8EEF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5-year TCO model including Fabric capacity reservation, BI Premium, governance catch-up, and PS ramp.</w:t>
            </w:r>
          </w:p>
        </w:tc>
      </w:tr>
      <w:tr>
        <w:tc>
          <w:tcPr>
            <w:tcW w:type="dxa" w:w="283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Teradata cutover risk during multi-year decommission</w:t>
            </w:r>
          </w:p>
        </w:tc>
        <w:tc>
          <w:tcPr>
            <w:tcW w:type="dxa" w:w="2268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Migration overlap through 2027</w:t>
            </w:r>
          </w:p>
        </w:tc>
        <w:tc>
          <w:tcPr>
            <w:tcW w:type="dxa" w:w="425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  <w:vAlign w:val="top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 w:val="0"/>
                <w:i w:val="0"/>
                <w:color w:val="4A5568"/>
                <w:sz w:val="19"/>
              </w:rPr>
              <w:t>Wave-based migration with joint design authority; T&amp;M against not-to-exceed envelope per wave.</w:t>
            </w:r>
          </w:p>
        </w:tc>
      </w:tr>
    </w:tbl>
    <w:p>
      <w:pPr>
        <w:keepNext/>
        <w:spacing w:before="360" w:after="120"/>
        <w:pBdr>
          <w:bottom w:val="single" w:sz="6" w:space="1" w:color="008C9E"/>
        </w:pBdr>
      </w:pPr>
      <w:r>
        <w:rPr>
          <w:rFonts w:ascii="Calibri" w:hAnsi="Calibri"/>
          <w:b/>
          <w:i w:val="0"/>
          <w:color w:val="0A2A4A"/>
          <w:sz w:val="36"/>
        </w:rPr>
        <w:t>9.  Next Steps</w:t>
      </w:r>
    </w:p>
    <w:p>
      <w:pPr>
        <w:pStyle w:val="ListNumber"/>
        <w:spacing w:after="60" w:line="288" w:lineRule="auto"/>
      </w:pPr>
      <w:r>
        <w:rPr>
          <w:rFonts w:ascii="Calibri" w:hAnsi="Calibri"/>
          <w:b w:val="0"/>
          <w:i w:val="0"/>
          <w:color w:val="4A5568"/>
          <w:sz w:val="20"/>
        </w:rPr>
        <w:t>Confirm receipt of this proposal with Sarah Chen's office by 2026-05-26.</w:t>
      </w:r>
    </w:p>
    <w:p>
      <w:pPr>
        <w:pStyle w:val="ListNumber"/>
        <w:spacing w:after="60" w:line="288" w:lineRule="auto"/>
      </w:pPr>
      <w:r>
        <w:rPr>
          <w:rFonts w:ascii="Calibri" w:hAnsi="Calibri"/>
          <w:b w:val="0"/>
          <w:i w:val="0"/>
          <w:color w:val="4A5568"/>
          <w:sz w:val="20"/>
        </w:rPr>
        <w:t>Shortlist confirmation and reference NDA: target 2026-06-05.</w:t>
      </w:r>
    </w:p>
    <w:p>
      <w:pPr>
        <w:pStyle w:val="ListNumber"/>
        <w:spacing w:after="60" w:line="288" w:lineRule="auto"/>
      </w:pPr>
      <w:r>
        <w:rPr>
          <w:rFonts w:ascii="Calibri" w:hAnsi="Calibri"/>
          <w:b w:val="0"/>
          <w:i w:val="0"/>
          <w:color w:val="4A5568"/>
          <w:sz w:val="20"/>
        </w:rPr>
        <w:t>3-week PoC kick-off: target 2026-06-09.</w:t>
      </w:r>
    </w:p>
    <w:p>
      <w:pPr>
        <w:pStyle w:val="ListNumber"/>
        <w:spacing w:after="60" w:line="288" w:lineRule="auto"/>
      </w:pPr>
      <w:r>
        <w:rPr>
          <w:rFonts w:ascii="Calibri" w:hAnsi="Calibri"/>
          <w:b w:val="0"/>
          <w:i w:val="0"/>
          <w:color w:val="4A5568"/>
          <w:sz w:val="20"/>
        </w:rPr>
        <w:t>Commercial and legal red-line working sessions: weeks of 2026-06-15 and 2026-06-22.</w:t>
      </w:r>
    </w:p>
    <w:p>
      <w:pPr>
        <w:pStyle w:val="ListNumber"/>
        <w:spacing w:after="60" w:line="288" w:lineRule="auto"/>
      </w:pPr>
      <w:r>
        <w:rPr>
          <w:rFonts w:ascii="Calibri" w:hAnsi="Calibri"/>
          <w:b w:val="0"/>
          <w:i w:val="0"/>
          <w:color w:val="4A5568"/>
          <w:sz w:val="20"/>
        </w:rPr>
        <w:t>Award decision: 2026-06-30 per RFP.</w:t>
      </w:r>
    </w:p>
    <w:p>
      <w:pPr>
        <w:spacing w:before="480"/>
        <w:pBdr>
          <w:bottom w:val="single" w:sz="6" w:space="1" w:color="008C9E"/>
        </w:pBdr>
      </w:pPr>
    </w:p>
    <w:p>
      <w:pPr>
        <w:spacing w:after="40"/>
      </w:pPr>
      <w:r>
        <w:rPr>
          <w:rFonts w:ascii="Calibri" w:hAnsi="Calibri"/>
          <w:b/>
          <w:i w:val="0"/>
          <w:color w:val="0A2A4A"/>
          <w:sz w:val="20"/>
        </w:rPr>
        <w:t>Submitted on behalf of BTS-Synthetic by the Deal Desk</w:t>
      </w:r>
    </w:p>
    <w:p>
      <w:pPr>
        <w:spacing w:after="40"/>
      </w:pPr>
      <w:r>
        <w:rPr>
          <w:rFonts w:ascii="Calibri" w:hAnsi="Calibri"/>
          <w:b w:val="0"/>
          <w:i w:val="0"/>
          <w:color w:val="4A5568"/>
          <w:sz w:val="18"/>
        </w:rPr>
        <w:t>Direct: dealdesk@bts-synthetic.example  |  Response date: 2026-05-26</w:t>
      </w:r>
    </w:p>
    <w:p>
      <w:pPr>
        <w:spacing w:after="40"/>
      </w:pPr>
      <w:r>
        <w:rPr>
          <w:rFonts w:ascii="Calibri" w:hAnsi="Calibri"/>
          <w:b w:val="0"/>
          <w:i/>
          <w:color w:val="4A5568"/>
          <w:sz w:val="16"/>
        </w:rPr>
        <w:t>Validity: 60 days from date of issue.  Confidential and proprietary to BTS-Synthetic; prepared exclusively for Acme Corp.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i w:val="0"/>
        <w:color w:val="4A5568"/>
        <w:sz w:val="16"/>
      </w:rPr>
      <w:t>BTS-Synthetic  •  Proposal Response: Acme Corp EDP  •  2026-05-26  •  Validity 60 days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8C9E"/>
      </w:pBdr>
    </w:pPr>
    <w:r>
      <w:rPr>
        <w:rFonts w:ascii="Calibri" w:hAnsi="Calibri"/>
        <w:b/>
        <w:i w:val="0"/>
        <w:color w:val="0A2A4A"/>
        <w:sz w:val="28"/>
      </w:rPr>
      <w:t>BTS</w:t>
    </w:r>
    <w:r>
      <w:rPr>
        <w:rFonts w:ascii="Calibri" w:hAnsi="Calibri"/>
        <w:b/>
        <w:i w:val="0"/>
        <w:color w:val="008C9E"/>
        <w:sz w:val="28"/>
      </w:rPr>
      <w:t>–SYNTHETIC</w:t>
    </w:r>
    <w:r>
      <w:rPr>
        <w:rFonts w:ascii="Calibri" w:hAnsi="Calibri"/>
        <w:b w:val="0"/>
        <w:i w:val="0"/>
        <w:color w:val="4A5568"/>
        <w:sz w:val="18"/>
      </w:rPr>
      <w:t xml:space="preserve">      |      Enterprise Data Platform</w:t>
    </w:r>
    <w:r>
      <w:rPr>
        <w:rFonts w:ascii="Calibri" w:hAnsi="Calibri"/>
        <w:b w:val="0"/>
        <w:i w:val="0"/>
        <w:color w:val="4A5568"/>
        <w:sz w:val="18"/>
      </w:rPr>
      <w:t xml:space="preserve">      </w:t>
    </w:r>
    <w:r>
      <w:rPr>
        <w:rFonts w:ascii="Calibri" w:hAnsi="Calibri"/>
        <w:b/>
        <w:i w:val="0"/>
        <w:color w:val="008C9E"/>
        <w:sz w:val="16"/>
      </w:rPr>
      <w:t>CONFIDENTIAL — Acme Corp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A556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