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4E79"/>
          <w:sz w:val="40"/>
          <w:szCs w:val="40"/>
        </w:rPr>
        <w:t xml:space="preserve">NonprofitCRM</w:t>
      </w:r>
    </w:p>
    <w:p>
      <w:pPr>
        <w:spacing w:before="0" w:after="60"/>
      </w:pPr>
      <w:r>
        <w:rPr>
          <w:rFonts w:ascii="Arial" w:cs="Arial" w:eastAsia="Arial" w:hAnsi="Arial"/>
          <w:color w:val="555555"/>
          <w:sz w:val="22"/>
          <w:szCs w:val="22"/>
        </w:rPr>
        <w:t xml:space="preserve">Open-Source CRM/CMS for Small and Mid-Sized Nonprofits</w:t>
      </w:r>
    </w:p>
    <w:p>
      <w:pPr>
        <w:pBdr>
          <w:bottom w:val="single" w:color="1F4E79" w:sz="12" w:space="4"/>
        </w:pBdr>
        <w:spacing w:before="0" w:after="160"/>
      </w:pPr>
      <w:r>
        <w:rPr>
          <w:rFonts w:ascii="Arial" w:cs="Arial" w:eastAsia="Arial" w:hAnsi="Arial"/>
          <w:i/>
          <w:iCs/>
          <w:color w:val="555555"/>
          <w:sz w:val="18"/>
          <w:szCs w:val="18"/>
        </w:rPr>
        <w:t xml:space="preserve">Seed Investment Overview  —  March 2026</w:t>
      </w:r>
    </w:p>
    <w:p>
      <w:pPr>
        <w:spacing w:before="160" w:after="60"/>
      </w:pPr>
      <w:r>
        <w:rPr>
          <w:rFonts w:ascii="Arial" w:cs="Arial" w:eastAsia="Arial" w:hAnsi="Arial"/>
          <w:b/>
          <w:bCs/>
          <w:color w:val="1F4E79"/>
          <w:sz w:val="22"/>
          <w:szCs w:val="22"/>
        </w:rPr>
        <w:t xml:space="preserve">The Problem</w:t>
      </w:r>
    </w:p>
    <w:p>
      <w:pPr>
        <w:spacing w:before="40" w:after="40"/>
      </w:pPr>
      <w:r>
        <w:rPr>
          <w:rFonts w:ascii="Arial" w:cs="Arial" w:eastAsia="Arial" w:hAnsi="Arial"/>
          <w:color w:val="000000"/>
          <w:sz w:val="20"/>
          <w:szCs w:val="20"/>
        </w:rPr>
        <w:t xml:space="preserve">Small and mid-sized nonprofits are chronically overcharged for software that underdelivers. Viable products exist in this space, but they charge $250–$500/month while attempting to solve far more than a young organization actually needs. The result is bloated feature sets that confuse staff, dated interfaces, and a fundamental mismatch between product scope and organizational reality. Enterprise-grade tools are built to replace a dozen systems at once. Most nonprofits don’t need that — and shouldn’t be paying for it.</w:t>
      </w:r>
    </w:p>
    <w:p>
      <w:pPr>
        <w:spacing w:before="40" w:after="40"/>
      </w:pPr>
      <w:r>
        <w:t xml:space="preserve"/>
      </w:r>
    </w:p>
    <w:p>
      <w:pPr>
        <w:spacing w:before="160" w:after="60"/>
      </w:pPr>
      <w:r>
        <w:rPr>
          <w:rFonts w:ascii="Arial" w:cs="Arial" w:eastAsia="Arial" w:hAnsi="Arial"/>
          <w:b/>
          <w:bCs/>
          <w:color w:val="1F4E79"/>
          <w:sz w:val="22"/>
          <w:szCs w:val="22"/>
        </w:rPr>
        <w:t xml:space="preserve">The Solution</w:t>
      </w:r>
    </w:p>
    <w:p>
      <w:pPr>
        <w:spacing w:before="40" w:after="40"/>
      </w:pPr>
      <w:r>
        <w:rPr>
          <w:rFonts w:ascii="Arial" w:cs="Arial" w:eastAsia="Arial" w:hAnsi="Arial"/>
          <w:color w:val="000000"/>
          <w:sz w:val="20"/>
          <w:szCs w:val="20"/>
        </w:rPr>
        <w:t xml:space="preserve">NonprofitCRM is a unified, open-source CRM/CMS platform built on Laravel and Filament — proven, well-documented PHP frameworks — with a PostgreSQL backend. Its scope is deliberate: CRM, financial tracking, content management, and email list handling. Four systems that genuinely require integration to function well together. Nothing more.</w:t>
      </w:r>
    </w:p>
    <w:p>
      <w:pPr>
        <w:spacing w:before="40" w:after="40"/>
      </w:pPr>
      <w:r>
        <w:t xml:space="preserve"/>
      </w:r>
    </w:p>
    <w:p>
      <w:pPr>
        <w:spacing w:before="40" w:after="40"/>
      </w:pPr>
      <w:r>
        <w:rPr>
          <w:rFonts w:ascii="Arial" w:cs="Arial" w:eastAsia="Arial" w:hAnsi="Arial"/>
          <w:color w:val="000000"/>
          <w:sz w:val="20"/>
          <w:szCs w:val="20"/>
        </w:rPr>
        <w:t xml:space="preserve">Features like document management and analytics are intentionally excluded. Those problems are comprehensively solved by large platforms with generous free tiers — Google Drive, Google Analytics, and dozens of equivalents. Nonprofits are already using these tools and will continue using them throughout their lifecycle. We are not competing with them. We are not trying to be them.</w:t>
      </w:r>
    </w:p>
    <w:p>
      <w:pPr>
        <w:spacing w:before="40" w:after="40"/>
      </w:pPr>
      <w:r>
        <w:t xml:space="preserve"/>
      </w:r>
    </w:p>
    <w:p>
      <w:pPr>
        <w:spacing w:before="40" w:after="40"/>
      </w:pPr>
      <w:r>
        <w:rPr>
          <w:rFonts w:ascii="Arial" w:cs="Arial" w:eastAsia="Arial" w:hAnsi="Arial"/>
          <w:color w:val="000000"/>
          <w:sz w:val="20"/>
          <w:szCs w:val="20"/>
        </w:rPr>
        <w:t xml:space="preserve">Security surface is minimized by design. PII-sensitive and compliance-heavy functions are offloaded to dedicated third-party services:</w:t>
      </w:r>
    </w:p>
    <w:p>
      <w:pPr>
        <w:pStyle w:val="ListParagraph"/>
        <w:numPr>
          <w:ilvl w:val="0"/>
          <w:numId w:val="2"/>
        </w:numPr>
        <w:spacing w:before="30" w:after="30"/>
      </w:pPr>
      <w:r>
        <w:rPr>
          <w:rFonts w:ascii="Arial" w:cs="Arial" w:eastAsia="Arial" w:hAnsi="Arial"/>
          <w:sz w:val="20"/>
          <w:szCs w:val="20"/>
        </w:rPr>
        <w:t xml:space="preserve">Email list management and delivery → Mailchimp</w:t>
      </w:r>
    </w:p>
    <w:p>
      <w:pPr>
        <w:pStyle w:val="ListParagraph"/>
        <w:numPr>
          <w:ilvl w:val="0"/>
          <w:numId w:val="2"/>
        </w:numPr>
        <w:spacing w:before="30" w:after="30"/>
      </w:pPr>
      <w:r>
        <w:rPr>
          <w:rFonts w:ascii="Arial" w:cs="Arial" w:eastAsia="Arial" w:hAnsi="Arial"/>
          <w:sz w:val="20"/>
          <w:szCs w:val="20"/>
        </w:rPr>
        <w:t xml:space="preserve">Payment processing → Stripe</w:t>
      </w:r>
    </w:p>
    <w:p>
      <w:pPr>
        <w:pStyle w:val="ListParagraph"/>
        <w:numPr>
          <w:ilvl w:val="0"/>
          <w:numId w:val="2"/>
        </w:numPr>
        <w:spacing w:before="30" w:after="30"/>
      </w:pPr>
      <w:r>
        <w:rPr>
          <w:rFonts w:ascii="Arial" w:cs="Arial" w:eastAsia="Arial" w:hAnsi="Arial"/>
          <w:sz w:val="20"/>
          <w:szCs w:val="20"/>
        </w:rPr>
        <w:t xml:space="preserve">Transactional system email → Resend</w:t>
      </w:r>
    </w:p>
    <w:p>
      <w:pPr>
        <w:spacing w:before="40" w:after="40"/>
      </w:pPr>
      <w:r>
        <w:t xml:space="preserve"/>
      </w:r>
    </w:p>
    <w:p>
      <w:pPr>
        <w:spacing w:before="40" w:after="40"/>
      </w:pPr>
      <w:r>
        <w:rPr>
          <w:rFonts w:ascii="Arial" w:cs="Arial" w:eastAsia="Arial" w:hAnsi="Arial"/>
          <w:color w:val="000000"/>
          <w:sz w:val="20"/>
          <w:szCs w:val="20"/>
        </w:rPr>
        <w:t xml:space="preserve">The result is a genuinely unified product with a modern interface — not a patchwork of integrations. Entry is easy. Exit is easy. That is a feature, not a concession.</w:t>
      </w:r>
    </w:p>
    <w:p>
      <w:pPr>
        <w:spacing w:before="40" w:after="40"/>
      </w:pPr>
      <w:r>
        <w:t xml:space="preserve"/>
      </w:r>
    </w:p>
    <w:p>
      <w:pPr>
        <w:spacing w:before="160" w:after="60"/>
      </w:pPr>
      <w:r>
        <w:rPr>
          <w:rFonts w:ascii="Arial" w:cs="Arial" w:eastAsia="Arial" w:hAnsi="Arial"/>
          <w:b/>
          <w:bCs/>
          <w:color w:val="1F4E79"/>
          <w:sz w:val="22"/>
          <w:szCs w:val="22"/>
        </w:rPr>
        <w:t xml:space="preserve">Why Now</w:t>
      </w:r>
    </w:p>
    <w:p>
      <w:pPr>
        <w:spacing w:before="40" w:after="40"/>
      </w:pPr>
      <w:r>
        <w:rPr>
          <w:rFonts w:ascii="Arial" w:cs="Arial" w:eastAsia="Arial" w:hAnsi="Arial"/>
          <w:color w:val="000000"/>
          <w:sz w:val="20"/>
          <w:szCs w:val="20"/>
        </w:rPr>
        <w:t xml:space="preserve">Agentically assisted development has fundamentally changed the math of software production. A single competent developer, working with AI coding tools, can now build and maintain a product that would have required a full engineering team five years ago. The era of VC-funded niche SaaS is winding down; the next wave is lean, framework-first, openly extensible software built and supported by specialists. NonprofitCRM is that model applied to a clearly defined, underserved market.</w:t>
      </w:r>
    </w:p>
    <w:p>
      <w:pPr>
        <w:spacing w:before="40" w:after="40"/>
      </w:pPr>
      <w:r>
        <w:t xml:space="preserve"/>
      </w:r>
    </w:p>
    <w:p>
      <w:pPr>
        <w:spacing w:before="40" w:after="40"/>
      </w:pPr>
      <w:r>
        <w:rPr>
          <w:rFonts w:ascii="Arial" w:cs="Arial" w:eastAsia="Arial" w:hAnsi="Arial"/>
          <w:color w:val="000000"/>
          <w:sz w:val="20"/>
          <w:szCs w:val="20"/>
        </w:rPr>
        <w:t xml:space="preserve">This approach is fundamentally opposed to the strategy of our competitors — not sales-heavy, not top-heavy, not venture-funded, not trying to do everything. That is a deliberate philosophy, not a limitation.</w:t>
      </w:r>
    </w:p>
    <w:p>
      <w:pPr>
        <w:spacing w:before="40" w:after="40"/>
      </w:pPr>
      <w:r>
        <w:t xml:space="preserve"/>
      </w:r>
    </w:p>
    <w:p>
      <w:pPr>
        <w:spacing w:before="160" w:after="60"/>
      </w:pPr>
      <w:r>
        <w:rPr>
          <w:rFonts w:ascii="Arial" w:cs="Arial" w:eastAsia="Arial" w:hAnsi="Arial"/>
          <w:b/>
          <w:bCs/>
          <w:color w:val="1F4E79"/>
          <w:sz w:val="22"/>
          <w:szCs w:val="22"/>
        </w:rPr>
        <w:t xml:space="preserve">Business Model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Revenue Stream</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Rate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sz w:val="20"/>
                <w:szCs w:val="20"/>
              </w:rPr>
              <w:t xml:space="preserve">Notes</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Setup &amp; Customization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$75/hr (~3 hrs typical)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Client populates own CMS content</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Monthly Hosting &amp; Maintenance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$150/month per client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sz w:val="20"/>
                <w:szCs w:val="20"/>
              </w:rPr>
              <w:t xml:space="preserve">vs. $250–$500/month competition</w:t>
            </w:r>
          </w:p>
        </w:tc>
      </w:tr>
    </w:tbl>
    <w:p>
      <w:pPr>
        <w:spacing w:before="40" w:after="40"/>
      </w:pPr>
      <w:r>
        <w:t xml:space="preserve"/>
      </w:r>
    </w:p>
    <w:p>
      <w:pPr>
        <w:spacing w:before="40" w:after="40"/>
      </w:pPr>
      <w:r>
        <w:rPr>
          <w:rFonts w:ascii="Arial" w:cs="Arial" w:eastAsia="Arial" w:hAnsi="Arial"/>
          <w:color w:val="000000"/>
          <w:sz w:val="20"/>
          <w:szCs w:val="20"/>
        </w:rPr>
        <w:t xml:space="preserve">At $150/month per client, the economics are straightforward. A roster of 20 clients covers comfortable solo-operator overhead with margin for growth. Additional revenue comes from feature development billed at the same hourly rate. The software is MIT-licensed — no vendor lock-in, no captive audience. Clients stay because the product is good and the service is responsive, not because exit is painful.</w:t>
      </w:r>
    </w:p>
    <w:p>
      <w:pPr>
        <w:spacing w:before="40" w:after="40"/>
      </w:pPr>
      <w:r>
        <w:t xml:space="preserve"/>
      </w:r>
    </w:p>
    <w:p>
      <w:pPr>
        <w:spacing w:before="160" w:after="60"/>
      </w:pPr>
      <w:r>
        <w:rPr>
          <w:rFonts w:ascii="Arial" w:cs="Arial" w:eastAsia="Arial" w:hAnsi="Arial"/>
          <w:b/>
          <w:bCs/>
          <w:color w:val="1F4E79"/>
          <w:sz w:val="22"/>
          <w:szCs w:val="22"/>
        </w:rPr>
        <w:t xml:space="preserve">The Ask</w:t>
      </w:r>
    </w:p>
    <w:p>
      <w:pPr>
        <w:spacing w:before="40" w:after="40"/>
      </w:pPr>
      <w:r>
        <w:rPr>
          <w:rFonts w:ascii="Arial" w:cs="Arial" w:eastAsia="Arial" w:hAnsi="Arial"/>
          <w:color w:val="000000"/>
          <w:sz w:val="20"/>
          <w:szCs w:val="20"/>
        </w:rPr>
        <w:t xml:space="preserve">We are seeking $40,000 in seed funding, representing approximately six months of runway. This covers living and operating expenses while the product reaches demo-ready state and the first paying clients are onboarded. The actual minimum to reach sustainability is closer to $25,000; the ask reflects reasonable negotiating room. This is not a venture return play — it is a loan-style friendly investment in a lean, technically credible business with a clear path to cash-flow positive operations within the funding window.</w:t>
      </w:r>
    </w:p>
    <w:p>
      <w:pPr>
        <w:spacing w:before="40" w:after="40"/>
      </w:pPr>
      <w:r>
        <w:t xml:space="preserve"/>
      </w:r>
    </w:p>
    <w:p>
      <w:pPr>
        <w:spacing w:before="40" w:after="40"/>
      </w:pPr>
      <w:r>
        <w:rPr>
          <w:rFonts w:ascii="Arial" w:cs="Arial" w:eastAsia="Arial" w:hAnsi="Arial"/>
          <w:color w:val="555555"/>
          <w:sz w:val="20"/>
          <w:szCs w:val="20"/>
        </w:rPr>
        <w:t xml:space="preserve">There is no equity on offer at this stage. Return terms are open to discussion and can be structured as a simple revenue-share or fixed-term repayment once the business is operational.</w:t>
      </w:r>
    </w:p>
    <w:p>
      <w:pPr>
        <w:spacing w:before="40" w:after="40"/>
      </w:pPr>
      <w:r>
        <w:t xml:space="preserve"/>
      </w:r>
    </w:p>
    <w:p>
      <w:pPr>
        <w:pBdr>
          <w:top w:val="single" w:color="1F4E79" w:sz="6" w:space="4"/>
        </w:pBdr>
        <w:spacing w:before="120" w:after="0"/>
      </w:pPr>
      <w:r>
        <w:rPr>
          <w:rFonts w:ascii="Arial" w:cs="Arial" w:eastAsia="Arial" w:hAnsi="Arial"/>
          <w:color w:val="555555"/>
          <w:sz w:val="18"/>
          <w:szCs w:val="18"/>
        </w:rPr>
        <w:t xml:space="preserve">Al Briggs  —  Amherst, MA  —  Independent Consultant, 25+ years  —  </w:t>
      </w:r>
      <w:r>
        <w:rPr>
          <w:rFonts w:ascii="Arial" w:cs="Arial" w:eastAsia="Arial" w:hAnsi="Arial"/>
          <w:i/>
          <w:iCs/>
          <w:color w:val="555555"/>
          <w:sz w:val="18"/>
          <w:szCs w:val="18"/>
        </w:rPr>
        <w:t xml:space="preserve">Available for questions at any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2026-03-17T20:34:52.738Z</dcterms:created>
  <dcterms:modified xsi:type="dcterms:W3CDTF">2026-03-17T20:34:52.739Z</dcterms:modified>
</cp:coreProperties>
</file>

<file path=docProps/custom.xml><?xml version="1.0" encoding="utf-8"?>
<Properties xmlns="http://schemas.openxmlformats.org/officeDocument/2006/custom-properties" xmlns:vt="http://schemas.openxmlformats.org/officeDocument/2006/docPropsVTypes"/>
</file>