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general-sample-1"/>
    <w:p>
      <w:pPr>
        <w:pStyle w:val="Heading1"/>
      </w:pPr>
      <w:r>
        <w:t xml:space="preserve">GENERAL SAMPLE 1</w:t>
      </w:r>
    </w:p>
    <w:bookmarkStart w:id="9" w:name="innovation-rd-template"/>
    <w:p>
      <w:pPr>
        <w:pStyle w:val="Heading2"/>
      </w:pPr>
      <w:r>
        <w:t xml:space="preserve">Innovation / R&amp;D Template</w:t>
      </w:r>
    </w:p>
    <w:p>
      <w:pPr>
        <w:pStyle w:val="BlockText"/>
      </w:pPr>
      <w:r>
        <w:rPr>
          <w:b/>
          <w:bCs/>
        </w:rPr>
        <w:t xml:space="preserve">HOW TO USE THIS SAMPLE</w:t>
      </w:r>
    </w:p>
    <w:p>
      <w:pPr>
        <w:pStyle w:val="BlockText"/>
      </w:pPr>
      <w:r>
        <w:t xml:space="preserve">This is a general-purpose template for an unsolicited proposal centered on a</w:t>
      </w:r>
      <w:r>
        <w:t xml:space="preserve"> </w:t>
      </w:r>
      <w:r>
        <w:rPr>
          <w:b/>
          <w:bCs/>
        </w:rPr>
        <w:t xml:space="preserve">novel technology or research-driven innovation</w:t>
      </w:r>
      <w:r>
        <w:t xml:space="preserve">. Use it when your idea involves a new invention, a proof of concept, a patent, a proprietary process, or an applied research effort that you would like a federal research-oriented agency to fund, pilot, or adopt.</w:t>
      </w:r>
    </w:p>
    <w:p>
      <w:pPr>
        <w:pStyle w:val="BlockText"/>
      </w:pPr>
      <w:r>
        <w:t xml:space="preserve">The sample below is a fully-written fictional proposal. Company, people, technology, and numbers are all made up. The</w:t>
      </w:r>
      <w:r>
        <w:t xml:space="preserve"> </w:t>
      </w:r>
      <w:r>
        <w:rPr>
          <w:b/>
          <w:bCs/>
        </w:rPr>
        <w:t xml:space="preserve">structure, regulation citations, and FAR 15.609 markings are real and compliant</w:t>
      </w:r>
      <w:r>
        <w:t xml:space="preserve">. To adapt this template to your own situation, replace the company name, key personnel, technical approach, and dollar figures. Keep the structural order, the required legends, and the mission-alignment pattern intact.</w:t>
      </w:r>
    </w:p>
    <w:p>
      <w:pPr>
        <w:pStyle w:val="BlockText"/>
      </w:pPr>
      <w:r>
        <w:t xml:space="preserve">A</w:t>
      </w:r>
      <w:r>
        <w:t xml:space="preserve"> </w:t>
      </w:r>
      <w:r>
        <w:t xml:space="preserve">“HOW TO ADAPT THIS TEMPLATE”</w:t>
      </w:r>
      <w:r>
        <w:t xml:space="preserve"> </w:t>
      </w:r>
      <w:r>
        <w:t xml:space="preserve">section appears at the end of this document with a checklist of everything you should change.</w:t>
      </w:r>
    </w:p>
    <w:p>
      <w:r>
        <w:pict>
          <v:rect style="width:0;height:1.5pt" o:hralign="center" o:hrstd="t" o:hr="t"/>
        </w:pict>
      </w:r>
    </w:p>
    <w:bookmarkEnd w:id="9"/>
    <w:bookmarkStart w:id="10" w:name="title-page"/>
    <w:p>
      <w:pPr>
        <w:pStyle w:val="Heading2"/>
      </w:pPr>
      <w:r>
        <w:t xml:space="preserve">[TITLE PAGE]</w:t>
      </w:r>
    </w:p>
    <w:p>
      <w:pPr>
        <w:pStyle w:val="FirstParagraph"/>
      </w:pPr>
      <w:r>
        <w:rPr>
          <w:b/>
          <w:bCs/>
        </w:rPr>
        <w:t xml:space="preserve">NOVA MATERIALS, INC.</w:t>
      </w:r>
      <w:r>
        <w:t xml:space="preserve"> </w:t>
      </w:r>
      <w:r>
        <w:t xml:space="preserve">1400 Innovation Drive, Suite 300</w:t>
      </w:r>
      <w:r>
        <w:t xml:space="preserve"> </w:t>
      </w:r>
      <w:r>
        <w:t xml:space="preserve">Raleigh, NC 27603</w:t>
      </w:r>
      <w:r>
        <w:t xml:space="preserve"> </w:t>
      </w:r>
      <w:r>
        <w:t xml:space="preserve">Phone: (919) 555-0142 | Email: contracts@novamaterials.example</w:t>
      </w:r>
      <w:r>
        <w:t xml:space="preserve"> </w:t>
      </w:r>
      <w:r>
        <w:t xml:space="preserve">CAGE Code: 8ZR44 | UEI: NM9A1B2C3D4E | NAICS: 541715</w:t>
      </w:r>
    </w:p>
    <w:p>
      <w:r>
        <w:pict>
          <v:rect style="width:0;height:1.5pt" o:hralign="center" o:hrstd="t" o:hr="t"/>
        </w:pict>
      </w:r>
    </w:p>
    <w:p>
      <w:pPr>
        <w:pStyle w:val="FirstParagraph"/>
      </w:pPr>
      <w:r>
        <w:rPr>
          <w:b/>
          <w:bCs/>
        </w:rPr>
        <w:t xml:space="preserve">UNSOLICITED PROPOSAL</w:t>
      </w:r>
    </w:p>
    <w:p>
      <w:pPr>
        <w:pStyle w:val="BodyText"/>
      </w:pPr>
      <w:r>
        <w:rPr>
          <w:b/>
          <w:bCs/>
        </w:rPr>
        <w:t xml:space="preserve">Title:</w:t>
      </w:r>
      <w:r>
        <w:t xml:space="preserve"> </w:t>
      </w:r>
      <w:r>
        <w:t xml:space="preserve">Graphene-Composite Reverse Osmosis Membranes for Extended Shipboard Potable Water Generation</w:t>
      </w:r>
    </w:p>
    <w:p>
      <w:pPr>
        <w:pStyle w:val="BodyText"/>
      </w:pPr>
      <w:r>
        <w:rPr>
          <w:b/>
          <w:bCs/>
        </w:rPr>
        <w:t xml:space="preserve">Submitted to:</w:t>
      </w:r>
      <w:r>
        <w:t xml:space="preserve"> </w:t>
      </w:r>
      <w:r>
        <w:t xml:space="preserve">Office of Naval Research (ONR), Code 33 — Sea Warfare and Weapons</w:t>
      </w:r>
      <w:r>
        <w:t xml:space="preserve"> </w:t>
      </w:r>
      <w:r>
        <w:rPr>
          <w:b/>
          <w:bCs/>
        </w:rPr>
        <w:t xml:space="preserve">Date of Submission:</w:t>
      </w:r>
      <w:r>
        <w:t xml:space="preserve"> </w:t>
      </w:r>
      <w:r>
        <w:t xml:space="preserve">[Month Day, Year]</w:t>
      </w:r>
      <w:r>
        <w:t xml:space="preserve"> </w:t>
      </w:r>
      <w:r>
        <w:rPr>
          <w:b/>
          <w:bCs/>
        </w:rPr>
        <w:t xml:space="preserve">Period of Validity:</w:t>
      </w:r>
      <w:r>
        <w:t xml:space="preserve"> </w:t>
      </w:r>
      <w:r>
        <w:t xml:space="preserve">Twelve (12) months from date of submission</w:t>
      </w:r>
    </w:p>
    <w:p>
      <w:r>
        <w:pict>
          <v:rect style="width:0;height:1.5pt" o:hralign="center" o:hrstd="t" o:hr="t"/>
        </w:pict>
      </w:r>
    </w:p>
    <w:p>
      <w:pPr>
        <w:pStyle w:val="FirstParagraph"/>
      </w:pPr>
      <w:r>
        <w:rPr>
          <w:b/>
          <w:bCs/>
        </w:rPr>
        <w:t xml:space="preserve">USE AND DISCLOSURE OF DATA</w:t>
      </w:r>
    </w:p>
    <w:p>
      <w:pPr>
        <w:pStyle w:val="BodyText"/>
      </w:pPr>
      <w:r>
        <w:t xml:space="preserve">This proposal includes data that shall not be disclosed outside the Government and shall not be duplicated, used, or disclosed — in whole or in part — for any purpose other than to evaluate this proposal. However, if a contract is awarded to this offeror as a result of — or in connection with — the submission of these data, the Government shall have the right to duplicate, use, or disclose the data to the extent provided in the resulting contract. This restriction does not limit the Government’s right to use information contained in these data if they are obtained from another source without restriction. The data subject to this restriction are contained in</w:t>
      </w:r>
      <w:r>
        <w:t xml:space="preserve"> </w:t>
      </w:r>
      <w:r>
        <w:rPr>
          <w:b/>
          <w:bCs/>
        </w:rPr>
        <w:t xml:space="preserve">Sheets 3, 5–7, and 9</w:t>
      </w:r>
      <w:r>
        <w:t xml:space="preserve">.</w:t>
      </w:r>
    </w:p>
    <w:p>
      <w:r>
        <w:pict>
          <v:rect style="width:0;height:1.5pt" o:hralign="center" o:hrstd="t" o:hr="t"/>
        </w:pict>
      </w:r>
    </w:p>
    <w:p>
      <w:pPr>
        <w:pStyle w:val="FirstParagraph"/>
      </w:pPr>
      <w:r>
        <w:rPr>
          <w:i/>
          <w:iCs/>
        </w:rPr>
        <w:t xml:space="preserve">Authorized Representative:</w:t>
      </w:r>
    </w:p>
    <w:p>
      <w:pPr>
        <w:pStyle w:val="BodyText"/>
      </w:pPr>
      <w:r>
        <w:t xml:space="preserve">Dr. Elena Vasquez, Chief Executive Officer</w:t>
      </w:r>
      <w:r>
        <w:t xml:space="preserve"> </w:t>
      </w:r>
      <w:r>
        <w:t xml:space="preserve">Nova Materials, Inc.</w:t>
      </w:r>
      <w:r>
        <w:t xml:space="preserve"> </w:t>
      </w:r>
      <w:r>
        <w:t xml:space="preserve">Signature: ________________________________ Date: ____________</w:t>
      </w:r>
    </w:p>
    <w:p>
      <w:r>
        <w:pict>
          <v:rect style="width:0;height:1.5pt" o:hralign="center" o:hrstd="t" o:hr="t"/>
        </w:pict>
      </w:r>
    </w:p>
    <w:bookmarkEnd w:id="10"/>
    <w:bookmarkStart w:id="11" w:name="part-1-basic-information-far-15.605a"/>
    <w:p>
      <w:pPr>
        <w:pStyle w:val="Heading2"/>
      </w:pPr>
      <w:r>
        <w:t xml:space="preserve">PART 1 — BASIC INFORMATION (FAR 15.605(a))</w:t>
      </w:r>
    </w:p>
    <w:p>
      <w:pPr>
        <w:pStyle w:val="FirstParagraph"/>
      </w:pPr>
      <w:r>
        <w:rPr>
          <w:b/>
          <w:bCs/>
        </w:rPr>
        <w:t xml:space="preserve">1.1 Offeror</w:t>
      </w:r>
    </w:p>
    <w:p>
      <w:pPr>
        <w:pStyle w:val="BodyText"/>
      </w:pPr>
      <w:r>
        <w:t xml:space="preserve">Nova Materials, Inc. is a for-profit small business incorporated in Delaware and headquartered in Raleigh, North Carolina. Nova Materials is certified by the U.S. Small Business Administration as a Women-Owned Small Business (WOSB). The company was founded in 2018 as a spinout from the Research Triangle Materials Science Consortium and currently employs 23 full-time researchers, engineers, and production staff.</w:t>
      </w:r>
    </w:p>
    <w:p>
      <w:pPr>
        <w:pStyle w:val="Compact"/>
        <w:numPr>
          <w:ilvl w:val="0"/>
          <w:numId w:val="1001"/>
        </w:numPr>
      </w:pPr>
      <w:r>
        <w:t xml:space="preserve">Registered in SAM.gov: Active</w:t>
      </w:r>
    </w:p>
    <w:p>
      <w:pPr>
        <w:pStyle w:val="Compact"/>
        <w:numPr>
          <w:ilvl w:val="0"/>
          <w:numId w:val="1001"/>
        </w:numPr>
      </w:pPr>
      <w:r>
        <w:t xml:space="preserve">NAICS Code: 541715 (Research and Development in the Physical, Engineering, and Life Sciences)</w:t>
      </w:r>
    </w:p>
    <w:p>
      <w:pPr>
        <w:pStyle w:val="Compact"/>
        <w:numPr>
          <w:ilvl w:val="0"/>
          <w:numId w:val="1001"/>
        </w:numPr>
      </w:pPr>
      <w:r>
        <w:t xml:space="preserve">Size Standard: 1,000 employees (Nova Materials qualifies as small)</w:t>
      </w:r>
    </w:p>
    <w:p>
      <w:pPr>
        <w:pStyle w:val="Compact"/>
        <w:numPr>
          <w:ilvl w:val="0"/>
          <w:numId w:val="1001"/>
        </w:numPr>
      </w:pPr>
      <w:r>
        <w:t xml:space="preserve">Certifications: WOSB (SBA-certified)</w:t>
      </w:r>
    </w:p>
    <w:p>
      <w:pPr>
        <w:pStyle w:val="FirstParagraph"/>
      </w:pPr>
      <w:r>
        <w:rPr>
          <w:b/>
          <w:bCs/>
        </w:rPr>
        <w:t xml:space="preserve">1.2 Points of Contact</w:t>
      </w:r>
    </w:p>
    <w:tbl>
      <w:tblPr>
        <w:tblStyle w:val="Table"/>
        <w:tblW w:type="pct" w:w="5000"/>
        <w:tblLayout w:type="fixed"/>
        <w:tblLook w:firstRow="1" w:lastRow="0" w:firstColumn="0" w:lastColumn="0" w:noHBand="0" w:noVBand="0" w:val="0020"/>
      </w:tblPr>
      <w:tblGrid>
        <w:gridCol w:w="1827"/>
        <w:gridCol w:w="1827"/>
        <w:gridCol w:w="2132"/>
        <w:gridCol w:w="2132"/>
      </w:tblGrid>
      <w:tr>
        <w:trPr>
          <w:tblHeader w:val="on"/>
        </w:trPr>
        <w:tc>
          <w:tcPr/>
          <w:p>
            <w:pPr>
              <w:pStyle w:val="Compact"/>
            </w:pPr>
            <w:r>
              <w:t xml:space="preserve">Role</w:t>
            </w:r>
          </w:p>
        </w:tc>
        <w:tc>
          <w:tcPr/>
          <w:p>
            <w:pPr>
              <w:pStyle w:val="Compact"/>
            </w:pPr>
            <w:r>
              <w:t xml:space="preserve">Name</w:t>
            </w:r>
          </w:p>
        </w:tc>
        <w:tc>
          <w:tcPr/>
          <w:p>
            <w:pPr>
              <w:pStyle w:val="Compact"/>
            </w:pPr>
            <w:r>
              <w:t xml:space="preserve">Phone</w:t>
            </w:r>
          </w:p>
        </w:tc>
        <w:tc>
          <w:tcPr/>
          <w:p>
            <w:pPr>
              <w:pStyle w:val="Compact"/>
            </w:pPr>
            <w:r>
              <w:t xml:space="preserve">Email</w:t>
            </w:r>
          </w:p>
        </w:tc>
      </w:tr>
      <w:tr>
        <w:tc>
          <w:tcPr/>
          <w:p>
            <w:pPr>
              <w:pStyle w:val="Compact"/>
            </w:pPr>
            <w:r>
              <w:t xml:space="preserve">Technical Point of Contact</w:t>
            </w:r>
          </w:p>
        </w:tc>
        <w:tc>
          <w:tcPr/>
          <w:p>
            <w:pPr>
              <w:pStyle w:val="Compact"/>
            </w:pPr>
            <w:r>
              <w:t xml:space="preserve">Dr. Marcus Okoye, Chief Technology Officer</w:t>
            </w:r>
          </w:p>
        </w:tc>
        <w:tc>
          <w:tcPr/>
          <w:p>
            <w:pPr>
              <w:pStyle w:val="Compact"/>
            </w:pPr>
            <w:r>
              <w:t xml:space="preserve">(919) 555-0143</w:t>
            </w:r>
          </w:p>
        </w:tc>
        <w:tc>
          <w:tcPr/>
          <w:p>
            <w:pPr>
              <w:pStyle w:val="Compact"/>
            </w:pPr>
            <w:r>
              <w:t xml:space="preserve">m.okoye@novamaterials.example</w:t>
            </w:r>
          </w:p>
        </w:tc>
      </w:tr>
      <w:tr>
        <w:tc>
          <w:tcPr/>
          <w:p>
            <w:pPr>
              <w:pStyle w:val="Compact"/>
            </w:pPr>
            <w:r>
              <w:t xml:space="preserve">Business Point of Contact</w:t>
            </w:r>
          </w:p>
        </w:tc>
        <w:tc>
          <w:tcPr/>
          <w:p>
            <w:pPr>
              <w:pStyle w:val="Compact"/>
            </w:pPr>
            <w:r>
              <w:t xml:space="preserve">Rachel Park, Director of Federal Programs</w:t>
            </w:r>
          </w:p>
        </w:tc>
        <w:tc>
          <w:tcPr/>
          <w:p>
            <w:pPr>
              <w:pStyle w:val="Compact"/>
            </w:pPr>
            <w:r>
              <w:t xml:space="preserve">(919) 555-0144</w:t>
            </w:r>
          </w:p>
        </w:tc>
        <w:tc>
          <w:tcPr/>
          <w:p>
            <w:pPr>
              <w:pStyle w:val="Compact"/>
            </w:pPr>
            <w:r>
              <w:t xml:space="preserve">r.park@novamaterials.example</w:t>
            </w:r>
          </w:p>
        </w:tc>
      </w:tr>
      <w:tr>
        <w:tc>
          <w:tcPr/>
          <w:p>
            <w:pPr>
              <w:pStyle w:val="Compact"/>
            </w:pPr>
            <w:r>
              <w:t xml:space="preserve">Authorized Representative</w:t>
            </w:r>
          </w:p>
        </w:tc>
        <w:tc>
          <w:tcPr/>
          <w:p>
            <w:pPr>
              <w:pStyle w:val="Compact"/>
            </w:pPr>
            <w:r>
              <w:t xml:space="preserve">Dr. Elena Vasquez, CEO</w:t>
            </w:r>
          </w:p>
        </w:tc>
        <w:tc>
          <w:tcPr/>
          <w:p>
            <w:pPr>
              <w:pStyle w:val="Compact"/>
            </w:pPr>
            <w:r>
              <w:t xml:space="preserve">(919) 555-0142</w:t>
            </w:r>
          </w:p>
        </w:tc>
        <w:tc>
          <w:tcPr/>
          <w:p>
            <w:pPr>
              <w:pStyle w:val="Compact"/>
            </w:pPr>
            <w:r>
              <w:t xml:space="preserve">e.vasquez@novamaterials.example</w:t>
            </w:r>
          </w:p>
        </w:tc>
      </w:tr>
    </w:tbl>
    <w:p>
      <w:pPr>
        <w:pStyle w:val="BodyText"/>
      </w:pPr>
      <w:r>
        <w:rPr>
          <w:b/>
          <w:bCs/>
        </w:rPr>
        <w:t xml:space="preserve">1.3 Proprietary Data</w:t>
      </w:r>
    </w:p>
    <w:p>
      <w:pPr>
        <w:pStyle w:val="BodyText"/>
      </w:pPr>
      <w:r>
        <w:t xml:space="preserve">This proposal contains proprietary data on Sheets 3, 5–7, and 9. These sheets describe Nova Materials’ proprietary graphene-oxide functionalization process (U.S. Patent Pending 18/XXX,XXX), performance test data from internal laboratory trials, and the cost structure of the pilot effort. Each proprietary sheet is marked with the per-sheet legend in accordance with FAR 15.609(b).</w:t>
      </w:r>
    </w:p>
    <w:p>
      <w:pPr>
        <w:pStyle w:val="BodyText"/>
      </w:pPr>
      <w:r>
        <w:rPr>
          <w:b/>
          <w:bCs/>
        </w:rPr>
        <w:t xml:space="preserve">1.4 Other Parties Receiving This Proposal</w:t>
      </w:r>
    </w:p>
    <w:p>
      <w:pPr>
        <w:pStyle w:val="BodyText"/>
      </w:pPr>
      <w:r>
        <w:t xml:space="preserve">This proposal is being submitted only to the Office of Naval Research. An earlier concept paper on the same technology was submitted to the Department of Energy’s Advanced Manufacturing Office in [previous month] and was not selected for DOE funding. Nova Materials has not received or currently holds any federal research grant or contract for the work described in this proposal.</w:t>
      </w:r>
    </w:p>
    <w:p>
      <w:pPr>
        <w:pStyle w:val="BodyText"/>
      </w:pPr>
      <w:r>
        <w:rPr>
          <w:b/>
          <w:bCs/>
        </w:rPr>
        <w:t xml:space="preserve">1.5 Date of Submission</w:t>
      </w:r>
    </w:p>
    <w:p>
      <w:pPr>
        <w:pStyle w:val="BodyText"/>
      </w:pPr>
      <w:r>
        <w:t xml:space="preserve">[Month Day, Year]</w:t>
      </w:r>
    </w:p>
    <w:p>
      <w:pPr>
        <w:pStyle w:val="BodyText"/>
      </w:pPr>
      <w:r>
        <w:rPr>
          <w:b/>
          <w:bCs/>
        </w:rPr>
        <w:t xml:space="preserve">1.6 Signature of Authorized Representative</w:t>
      </w:r>
    </w:p>
    <w:p>
      <w:pPr>
        <w:pStyle w:val="BodyText"/>
      </w:pPr>
      <w:r>
        <w:t xml:space="preserve">See title page.</w:t>
      </w:r>
    </w:p>
    <w:p>
      <w:r>
        <w:pict>
          <v:rect style="width:0;height:1.5pt" o:hralign="center" o:hrstd="t" o:hr="t"/>
        </w:pict>
      </w:r>
    </w:p>
    <w:bookmarkEnd w:id="11"/>
    <w:bookmarkStart w:id="12" w:name="part-2-technical-information-far-15.605b"/>
    <w:p>
      <w:pPr>
        <w:pStyle w:val="Heading2"/>
      </w:pPr>
      <w:r>
        <w:t xml:space="preserve">PART 2 — TECHNICAL INFORMATION (FAR 15.605(b))</w:t>
      </w:r>
    </w:p>
    <w:p>
      <w:pPr>
        <w:pStyle w:val="FirstParagraph"/>
      </w:pPr>
      <w:r>
        <w:rPr>
          <w:b/>
          <w:bCs/>
        </w:rPr>
        <w:t xml:space="preserve">2.1 Title and Abstract</w:t>
      </w:r>
    </w:p>
    <w:p>
      <w:pPr>
        <w:pStyle w:val="BodyText"/>
      </w:pPr>
      <w:r>
        <w:rPr>
          <w:b/>
          <w:bCs/>
        </w:rPr>
        <w:t xml:space="preserve">Title:</w:t>
      </w:r>
      <w:r>
        <w:t xml:space="preserve"> </w:t>
      </w:r>
      <w:r>
        <w:t xml:space="preserve">Graphene-Composite Reverse Osmosis Membranes for Extended Shipboard Potable Water Generation</w:t>
      </w:r>
    </w:p>
    <w:p>
      <w:pPr>
        <w:pStyle w:val="BodyText"/>
      </w:pPr>
      <w:r>
        <w:rPr>
          <w:b/>
          <w:bCs/>
        </w:rPr>
        <w:t xml:space="preserve">Abstract (197 words):</w:t>
      </w:r>
    </w:p>
    <w:p>
      <w:pPr>
        <w:pStyle w:val="BodyText"/>
      </w:pPr>
      <w:r>
        <w:t xml:space="preserve">Nova Materials, Inc. proposes an 18-month research and development effort to qualify a next-generation graphene-composite reverse osmosis (RO) membrane for shipboard potable water generation on U.S. Navy vessels. Current shipboard RO membranes require replacement every 3–5 years due to biofouling and performance degradation, consuming significant logistics resources and creating maintenance downtime during deployments. Nova Materials has developed a proprietary graphene-oxide functionalization process that produces RO membranes with 2.3 times the operational lifespan and 18% lower energy consumption than current Navy-standard membranes, based on 14 months of laboratory testing. This proposal seeks ONR support to (1) complete accelerated life-cycle testing of the membrane against Navy-standard operating profiles, (2) produce a pilot quantity of full-size membranes for shipboard evaluation, and (3) generate the qualification data package necessary for formal Navy adoption consideration. Total estimated effort: $1,847,500 over 18 months. Nova Materials holds U.S. Patent Pending 18/XXX,XXX on the underlying functionalization process and is the sole entity with the capability to produce membranes with the performance characteristics demonstrated in internal testing. This work directly supports ONR Code 33’s mission area in shipboard systems and crew sustainment.</w:t>
      </w:r>
    </w:p>
    <w:p>
      <w:pPr>
        <w:pStyle w:val="BodyText"/>
      </w:pPr>
      <w:r>
        <w:rPr>
          <w:b/>
          <w:bCs/>
        </w:rPr>
        <w:t xml:space="preserve">2.2 Objectives</w:t>
      </w:r>
    </w:p>
    <w:p>
      <w:pPr>
        <w:pStyle w:val="BodyText"/>
      </w:pPr>
      <w:r>
        <w:t xml:space="preserve">Nova Materials proposes the following specific, measurable objectives for this effort:</w:t>
      </w:r>
    </w:p>
    <w:p>
      <w:pPr>
        <w:numPr>
          <w:ilvl w:val="0"/>
          <w:numId w:val="1002"/>
        </w:numPr>
      </w:pPr>
      <w:r>
        <w:rPr>
          <w:b/>
          <w:bCs/>
        </w:rPr>
        <w:t xml:space="preserve">Complete accelerated life-cycle testing</w:t>
      </w:r>
      <w:r>
        <w:t xml:space="preserve"> </w:t>
      </w:r>
      <w:r>
        <w:t xml:space="preserve">of the graphene-composite RO membrane against Navy-standard operating profiles, demonstrating ≥ 2.0x operational lifespan improvement and ≥ 15% energy reduction compared to incumbent membranes, measured against MIL-STD-2036 and applicable NAVSEA standards.</w:t>
      </w:r>
    </w:p>
    <w:p>
      <w:pPr>
        <w:numPr>
          <w:ilvl w:val="0"/>
          <w:numId w:val="1002"/>
        </w:numPr>
      </w:pPr>
      <w:r>
        <w:rPr>
          <w:b/>
          <w:bCs/>
        </w:rPr>
        <w:t xml:space="preserve">Produce a pilot quantity</w:t>
      </w:r>
      <w:r>
        <w:t xml:space="preserve"> </w:t>
      </w:r>
      <w:r>
        <w:t xml:space="preserve">of 40 full-size (8-inch diameter × 40-inch length) membranes meeting Navy physical and performance specifications, suitable for at-sea evaluation aboard a single qualifying vessel class.</w:t>
      </w:r>
    </w:p>
    <w:p>
      <w:pPr>
        <w:numPr>
          <w:ilvl w:val="0"/>
          <w:numId w:val="1002"/>
        </w:numPr>
      </w:pPr>
      <w:r>
        <w:rPr>
          <w:b/>
          <w:bCs/>
        </w:rPr>
        <w:t xml:space="preserve">Deliver a complete qualification data package</w:t>
      </w:r>
      <w:r>
        <w:t xml:space="preserve"> </w:t>
      </w:r>
      <w:r>
        <w:t xml:space="preserve">including test protocols, raw test data, failure-mode analysis, maintenance requirements, and cost-of-ownership modeling, formatted to support a Navy formal adoption decision.</w:t>
      </w:r>
    </w:p>
    <w:p>
      <w:pPr>
        <w:numPr>
          <w:ilvl w:val="0"/>
          <w:numId w:val="1002"/>
        </w:numPr>
      </w:pPr>
      <w:r>
        <w:rPr>
          <w:b/>
          <w:bCs/>
        </w:rPr>
        <w:t xml:space="preserve">Develop a transition path</w:t>
      </w:r>
      <w:r>
        <w:t xml:space="preserve"> </w:t>
      </w:r>
      <w:r>
        <w:t xml:space="preserve">to support Navy formal adoption, including identification of qualified production facilities, supply chain risk assessment, and a preliminary cost model for full-fleet deployment.</w:t>
      </w:r>
    </w:p>
    <w:p>
      <w:pPr>
        <w:pStyle w:val="FirstParagraph"/>
      </w:pPr>
      <w:r>
        <w:rPr>
          <w:b/>
          <w:bCs/>
        </w:rPr>
        <w:t xml:space="preserve">2.3 Method of Approach</w:t>
      </w:r>
    </w:p>
    <w:p>
      <w:pPr>
        <w:pStyle w:val="BodyText"/>
      </w:pPr>
      <w:r>
        <w:t xml:space="preserve">The proposed effort will execute in four phases over 18 months.</w:t>
      </w:r>
    </w:p>
    <w:p>
      <w:pPr>
        <w:pStyle w:val="BodyText"/>
      </w:pPr>
      <w:r>
        <w:rPr>
          <w:b/>
          <w:bCs/>
        </w:rPr>
        <w:t xml:space="preserve">Phase 1 — Design Refinement and Test Planning (Months 1–3).</w:t>
      </w:r>
      <w:r>
        <w:t xml:space="preserve"> </w:t>
      </w:r>
      <w:r>
        <w:t xml:space="preserve">Nova Materials will finalize the membrane design against Navy requirements documents provided under a non-disclosure agreement. Our team will collaborate with Navy subject matter experts at NAVSEA to ensure the membrane specifications match operational profiles for the target vessel class. Deliverables include a Test Plan, a Design Requirements Document, and a Hazard Analysis.</w:t>
      </w:r>
    </w:p>
    <w:p>
      <w:pPr>
        <w:pStyle w:val="BodyText"/>
      </w:pPr>
      <w:r>
        <w:rPr>
          <w:b/>
          <w:bCs/>
        </w:rPr>
        <w:t xml:space="preserve">Phase 2 — Accelerated Life-Cycle Testing (Months 4–10).</w:t>
      </w:r>
      <w:r>
        <w:t xml:space="preserve"> </w:t>
      </w:r>
      <w:r>
        <w:t xml:space="preserve">The membranes will undergo accelerated testing in Nova Materials’ existing test facility, which houses two MIL-STD-compliant flow loops. Testing will simulate 10 years of shipboard operation compressed into 7 months. Biofouling exposure, salinity variation, temperature cycling, and pressure variation will all be applied. Deliverables include Monthly Test Reports, a Mid-Phase Data Review with ONR, and an End-of-Phase Test Report.</w:t>
      </w:r>
    </w:p>
    <w:p>
      <w:pPr>
        <w:pStyle w:val="BodyText"/>
      </w:pPr>
      <w:r>
        <w:rPr>
          <w:b/>
          <w:bCs/>
        </w:rPr>
        <w:t xml:space="preserve">Phase 3 — Pilot Production (Months 9–14, overlapping Phase 2).</w:t>
      </w:r>
      <w:r>
        <w:t xml:space="preserve"> </w:t>
      </w:r>
      <w:r>
        <w:t xml:space="preserve">In parallel with the final months of testing, Nova Materials will produce 40 full-size pilot membranes for Navy at-sea evaluation. Production will occur at Nova Materials’ existing Raleigh facility, which has the capacity to produce approximately 200 units per year at pilot scale. Deliverables include 40 production-quality membranes packaged to Navy shipping and storage requirements.</w:t>
      </w:r>
    </w:p>
    <w:p>
      <w:pPr>
        <w:pStyle w:val="BodyText"/>
      </w:pPr>
      <w:r>
        <w:rPr>
          <w:b/>
          <w:bCs/>
        </w:rPr>
        <w:t xml:space="preserve">Phase 4 — Qualification Data Package and Transition Planning (Months 15–18).</w:t>
      </w:r>
      <w:r>
        <w:t xml:space="preserve"> </w:t>
      </w:r>
      <w:r>
        <w:t xml:space="preserve">Nova Materials will consolidate all test data, production records, and supplier information into a single Qualification Data Package formatted to the Navy’s preferred review structure. Nova Materials will also conduct a transition workshop with ONR and NAVSEA to brief the results and identify the most likely path to formal adoption. Deliverables include the Qualification Data Package and a Final Technical Report.</w:t>
      </w:r>
    </w:p>
    <w:p>
      <w:pPr>
        <w:pStyle w:val="BodyText"/>
      </w:pPr>
      <w:r>
        <w:rPr>
          <w:b/>
          <w:bCs/>
        </w:rPr>
        <w:t xml:space="preserve">2.4 Anticipated Results</w:t>
      </w:r>
    </w:p>
    <w:p>
      <w:pPr>
        <w:pStyle w:val="BodyText"/>
      </w:pPr>
      <w:r>
        <w:t xml:space="preserve">At the conclusion of this 18-month effort, the Navy will have:</w:t>
      </w:r>
    </w:p>
    <w:p>
      <w:pPr>
        <w:pStyle w:val="Compact"/>
        <w:numPr>
          <w:ilvl w:val="0"/>
          <w:numId w:val="1003"/>
        </w:numPr>
      </w:pPr>
      <w:r>
        <w:t xml:space="preserve">A fully-tested, mission-ready alternative RO membrane demonstrating (per Nova Materials’ internal testing expectations) more than double the service lifespan and ~15–20% lower energy consumption than incumbent membranes.</w:t>
      </w:r>
    </w:p>
    <w:p>
      <w:pPr>
        <w:pStyle w:val="Compact"/>
        <w:numPr>
          <w:ilvl w:val="0"/>
          <w:numId w:val="1003"/>
        </w:numPr>
      </w:pPr>
      <w:r>
        <w:t xml:space="preserve">A complete qualification data package suitable for submission to the Navy’s formal adoption review process.</w:t>
      </w:r>
    </w:p>
    <w:p>
      <w:pPr>
        <w:pStyle w:val="Compact"/>
        <w:numPr>
          <w:ilvl w:val="0"/>
          <w:numId w:val="1003"/>
        </w:numPr>
      </w:pPr>
      <w:r>
        <w:t xml:space="preserve">Forty full-size pilot membranes available for at-sea installation and evaluation on a qualifying vessel class.</w:t>
      </w:r>
    </w:p>
    <w:p>
      <w:pPr>
        <w:pStyle w:val="Compact"/>
        <w:numPr>
          <w:ilvl w:val="0"/>
          <w:numId w:val="1003"/>
        </w:numPr>
      </w:pPr>
      <w:r>
        <w:t xml:space="preserve">A clear transition path for full-fleet deployment, including supply chain and production capacity analysis.</w:t>
      </w:r>
    </w:p>
    <w:p>
      <w:pPr>
        <w:pStyle w:val="FirstParagraph"/>
      </w:pPr>
      <w:r>
        <w:rPr>
          <w:b/>
          <w:bCs/>
        </w:rPr>
        <w:t xml:space="preserve">Potential value to the Navy over a 10-year fleet deployment</w:t>
      </w:r>
      <w:r>
        <w:t xml:space="preserve"> </w:t>
      </w:r>
      <w:r>
        <w:t xml:space="preserve">(based on Nova Materials’ preliminary modeling): approximately $60–80 million in reduced membrane replacement costs across the fleet, plus reduced fuel consumption from improved energy efficiency, plus reduced maintenance downtime during deployments. Nova Materials acknowledges these are estimates based on internal modeling and would be refined during the qualification effort.</w:t>
      </w:r>
    </w:p>
    <w:p>
      <w:pPr>
        <w:pStyle w:val="BodyText"/>
      </w:pPr>
      <w:r>
        <w:rPr>
          <w:b/>
          <w:bCs/>
        </w:rPr>
        <w:t xml:space="preserve">2.5 Mission Support Statement</w:t>
      </w:r>
    </w:p>
    <w:p>
      <w:pPr>
        <w:pStyle w:val="BodyText"/>
      </w:pPr>
      <w:r>
        <w:t xml:space="preserve">This effort directly supports the Office of Naval Research’s mission to</w:t>
      </w:r>
      <w:r>
        <w:t xml:space="preserve"> </w:t>
      </w:r>
      <w:r>
        <w:rPr>
          <w:i/>
          <w:iCs/>
        </w:rPr>
        <w:t xml:space="preserve">“plan, foster, and encourage scientific research in recognition of its paramount importance as related to the maintenance of future naval power, and the preservation of national security,”</w:t>
      </w:r>
      <w:r>
        <w:t xml:space="preserve"> </w:t>
      </w:r>
      <w:r>
        <w:t xml:space="preserve">as specified in 10 U.S.C. § 8911. Specifically, the proposed work falls within ONR Code 33 (Sea Warfare and Weapons), which sponsors research into shipboard systems that improve crew sustainment, operational endurance, and at-sea logistics independence.</w:t>
      </w:r>
    </w:p>
    <w:p>
      <w:pPr>
        <w:pStyle w:val="BodyText"/>
      </w:pPr>
      <w:r>
        <w:t xml:space="preserve">The ONR Naval Science and Technology Strategy identifies</w:t>
      </w:r>
      <w:r>
        <w:t xml:space="preserve"> </w:t>
      </w:r>
      <w:r>
        <w:rPr>
          <w:b/>
          <w:bCs/>
        </w:rPr>
        <w:t xml:space="preserve">crew health and sustainment</w:t>
      </w:r>
      <w:r>
        <w:t xml:space="preserve"> </w:t>
      </w:r>
      <w:r>
        <w:t xml:space="preserve">and</w:t>
      </w:r>
      <w:r>
        <w:t xml:space="preserve"> </w:t>
      </w:r>
      <w:r>
        <w:rPr>
          <w:b/>
          <w:bCs/>
        </w:rPr>
        <w:t xml:space="preserve">reduced logistics footprint</w:t>
      </w:r>
      <w:r>
        <w:t xml:space="preserve"> </w:t>
      </w:r>
      <w:r>
        <w:t xml:space="preserve">as priority investment areas. The graphene-composite RO membrane directly addresses both priorities: by extending membrane life and reducing energy consumption, the technology reduces the logistics burden on the fleet (fewer replacement membranes to ship and store) and improves operational endurance (less unplanned maintenance downtime during deployments).</w:t>
      </w:r>
    </w:p>
    <w:p>
      <w:pPr>
        <w:pStyle w:val="BodyText"/>
      </w:pPr>
      <w:r>
        <w:t xml:space="preserve">Nova Materials believes this effort represents an opportunity for ONR to take a validated laboratory-scale innovation across the technology readiness</w:t>
      </w:r>
      <w:r>
        <w:t xml:space="preserve"> </w:t>
      </w:r>
      <w:r>
        <w:t xml:space="preserve">“valley of death”</w:t>
      </w:r>
      <w:r>
        <w:t xml:space="preserve"> </w:t>
      </w:r>
      <w:r>
        <w:t xml:space="preserve">into an operational Navy capability, consistent with ONR’s mandate to transition research into fleet capability.</w:t>
      </w:r>
    </w:p>
    <w:p>
      <w:pPr>
        <w:pStyle w:val="BodyText"/>
      </w:pPr>
      <w:r>
        <w:rPr>
          <w:b/>
          <w:bCs/>
        </w:rPr>
        <w:t xml:space="preserve">2.6 Key Personnel</w:t>
      </w:r>
    </w:p>
    <w:p>
      <w:pPr>
        <w:pStyle w:val="BodyText"/>
      </w:pPr>
      <w:r>
        <w:rPr>
          <w:b/>
          <w:bCs/>
        </w:rPr>
        <w:t xml:space="preserve">Dr. Marcus Okoye, Chief Technology Officer (Principal Investigator).</w:t>
      </w:r>
      <w:r>
        <w:t xml:space="preserve"> </w:t>
      </w:r>
      <w:r>
        <w:t xml:space="preserve">Dr. Okoye holds a Ph.D. in Materials Science and Engineering from North Carolina State University (2012). Prior to co-founding Nova Materials in 2018, he served as a Senior Research Scientist at [example major chemicals company], where he led a team of 14 researchers working on advanced membrane technologies for commercial desalination. Dr. Okoye is the lead inventor on U.S. Patent Pending 18/XXX,XXX. He holds a Secret-level security clearance. He will commit 60% of his time to this effort.</w:t>
      </w:r>
    </w:p>
    <w:p>
      <w:pPr>
        <w:pStyle w:val="BodyText"/>
      </w:pPr>
      <w:r>
        <w:rPr>
          <w:b/>
          <w:bCs/>
        </w:rPr>
        <w:t xml:space="preserve">Dr. Aiyana Strongbow, Principal Research Scientist.</w:t>
      </w:r>
      <w:r>
        <w:t xml:space="preserve"> </w:t>
      </w:r>
      <w:r>
        <w:t xml:space="preserve">Dr. Strongbow holds a Ph.D. in Chemical Engineering from MIT (2015). She leads Nova Materials’ membrane test facility and has over 11 years of experience in accelerated life-cycle testing of separation membranes, including prior work on membranes for offshore oil and gas applications. She holds an active Secret clearance. She will commit 80% of her time to this effort.</w:t>
      </w:r>
    </w:p>
    <w:p>
      <w:pPr>
        <w:pStyle w:val="BodyText"/>
      </w:pPr>
      <w:r>
        <w:rPr>
          <w:b/>
          <w:bCs/>
        </w:rPr>
        <w:t xml:space="preserve">James Harker, Director of Production.</w:t>
      </w:r>
      <w:r>
        <w:t xml:space="preserve"> </w:t>
      </w:r>
      <w:r>
        <w:t xml:space="preserve">Mr. Harker has 22 years of experience in specialty materials production, including 8 years at a Navy-qualified membrane supplier. He oversees Nova Materials’ pilot production line and is responsible for the Phase 3 membrane fabrication. He will commit 50% of his time to this effort.</w:t>
      </w:r>
    </w:p>
    <w:p>
      <w:pPr>
        <w:pStyle w:val="BodyText"/>
      </w:pPr>
      <w:r>
        <w:rPr>
          <w:b/>
          <w:bCs/>
        </w:rPr>
        <w:t xml:space="preserve">Rachel Park, Director of Federal Programs.</w:t>
      </w:r>
      <w:r>
        <w:t xml:space="preserve"> </w:t>
      </w:r>
      <w:r>
        <w:t xml:space="preserve">Ms. Park manages all federal program activities for Nova Materials, including contract administration, reporting, and government customer relations. She has 14 years of federal contracting experience. She will commit 30% of her time to this effort as program manager.</w:t>
      </w:r>
    </w:p>
    <w:p>
      <w:pPr>
        <w:pStyle w:val="BodyText"/>
      </w:pPr>
      <w:r>
        <w:t xml:space="preserve">Full resumes for all key personnel are available on request.</w:t>
      </w:r>
    </w:p>
    <w:p>
      <w:pPr>
        <w:pStyle w:val="BodyText"/>
      </w:pPr>
      <w:r>
        <w:rPr>
          <w:b/>
          <w:bCs/>
        </w:rPr>
        <w:t xml:space="preserve">2.7 Type of Support Needed from the Government</w:t>
      </w:r>
    </w:p>
    <w:p>
      <w:pPr>
        <w:pStyle w:val="BodyText"/>
      </w:pPr>
      <w:r>
        <w:t xml:space="preserve">Nova Materials will conduct all laboratory testing and pilot production at its existing Raleigh, NC facility and does not require government facilities for the research work. The following government support is requested:</w:t>
      </w:r>
    </w:p>
    <w:p>
      <w:pPr>
        <w:pStyle w:val="Compact"/>
        <w:numPr>
          <w:ilvl w:val="0"/>
          <w:numId w:val="1004"/>
        </w:numPr>
      </w:pPr>
      <w:r>
        <w:rPr>
          <w:b/>
          <w:bCs/>
        </w:rPr>
        <w:t xml:space="preserve">Access to Navy subject matter experts at NAVSEA</w:t>
      </w:r>
      <w:r>
        <w:t xml:space="preserve"> </w:t>
      </w:r>
      <w:r>
        <w:t xml:space="preserve">during Phase 1 and Phase 4 for requirements clarification and transition planning (estimated 40–60 hours of SME time over the 18 months).</w:t>
      </w:r>
    </w:p>
    <w:p>
      <w:pPr>
        <w:pStyle w:val="Compact"/>
        <w:numPr>
          <w:ilvl w:val="0"/>
          <w:numId w:val="1004"/>
        </w:numPr>
      </w:pPr>
      <w:r>
        <w:rPr>
          <w:b/>
          <w:bCs/>
        </w:rPr>
        <w:t xml:space="preserve">Access to applicable MIL-STD and NAVSEA design documents</w:t>
      </w:r>
      <w:r>
        <w:t xml:space="preserve"> </w:t>
      </w:r>
      <w:r>
        <w:t xml:space="preserve">under non-disclosure as necessary.</w:t>
      </w:r>
    </w:p>
    <w:p>
      <w:pPr>
        <w:pStyle w:val="Compact"/>
        <w:numPr>
          <w:ilvl w:val="0"/>
          <w:numId w:val="1004"/>
        </w:numPr>
      </w:pPr>
      <w:r>
        <w:rPr>
          <w:b/>
          <w:bCs/>
        </w:rPr>
        <w:t xml:space="preserve">Navy participation in quarterly program reviews</w:t>
      </w:r>
      <w:r>
        <w:t xml:space="preserve"> </w:t>
      </w:r>
      <w:r>
        <w:t xml:space="preserve">(estimated 4 reviews, 2 hours each).</w:t>
      </w:r>
    </w:p>
    <w:p>
      <w:pPr>
        <w:pStyle w:val="Compact"/>
        <w:numPr>
          <w:ilvl w:val="0"/>
          <w:numId w:val="1004"/>
        </w:numPr>
      </w:pPr>
      <w:r>
        <w:rPr>
          <w:b/>
          <w:bCs/>
        </w:rPr>
        <w:t xml:space="preserve">Navy identification of a qualifying vessel class</w:t>
      </w:r>
      <w:r>
        <w:t xml:space="preserve"> </w:t>
      </w:r>
      <w:r>
        <w:t xml:space="preserve">for pilot at-sea evaluation following Phase 4, with at-sea evaluation funded separately as a follow-on effort.</w:t>
      </w:r>
    </w:p>
    <w:p>
      <w:r>
        <w:pict>
          <v:rect style="width:0;height:1.5pt" o:hralign="center" o:hrstd="t" o:hr="t"/>
        </w:pict>
      </w:r>
    </w:p>
    <w:bookmarkEnd w:id="12"/>
    <w:bookmarkStart w:id="13" w:name="X28136ab4ee65456fbfc26342004afea7ffa49cd"/>
    <w:p>
      <w:pPr>
        <w:pStyle w:val="Heading2"/>
      </w:pPr>
      <w:r>
        <w:t xml:space="preserve">PART 3 — SUPPORTING INFORMATION (FAR 15.605(c))</w:t>
      </w:r>
    </w:p>
    <w:p>
      <w:pPr>
        <w:pStyle w:val="FirstParagraph"/>
      </w:pPr>
      <w:r>
        <w:rPr>
          <w:b/>
          <w:bCs/>
        </w:rPr>
        <w:t xml:space="preserve">3.1 Proposed Price</w:t>
      </w:r>
    </w:p>
    <w:p>
      <w:pPr>
        <w:pStyle w:val="BodyText"/>
      </w:pPr>
      <w:r>
        <w:t xml:space="preserve">Total estimated price:</w:t>
      </w:r>
      <w:r>
        <w:t xml:space="preserve"> </w:t>
      </w:r>
      <w:r>
        <w:rPr>
          <w:b/>
          <w:bCs/>
        </w:rPr>
        <w:t xml:space="preserve">$1,847,500</w:t>
      </w:r>
      <w:r>
        <w:t xml:space="preserve"> </w:t>
      </w:r>
      <w:r>
        <w:t xml:space="preserve">(firm-fixed-price).</w:t>
      </w:r>
    </w:p>
    <w:p>
      <w:pPr>
        <w:pStyle w:val="BodyText"/>
      </w:pPr>
      <w:r>
        <w:t xml:space="preserve">Preliminary cost breakdown:</w:t>
      </w:r>
    </w:p>
    <w:tbl>
      <w:tblPr>
        <w:tblStyle w:val="Table"/>
        <w:tblW w:type="pct" w:w="5000"/>
        <w:tblLayout w:type="fixed"/>
        <w:tblLook w:firstRow="1" w:lastRow="0" w:firstColumn="0" w:lastColumn="0" w:noHBand="0" w:noVBand="0" w:val="0020"/>
      </w:tblPr>
      <w:tblGrid>
        <w:gridCol w:w="5040"/>
        <w:gridCol w:w="2880"/>
      </w:tblGrid>
      <w:tr>
        <w:trPr>
          <w:tblHeader w:val="on"/>
        </w:trPr>
        <w:tc>
          <w:tcPr/>
          <w:p>
            <w:pPr>
              <w:pStyle w:val="Compact"/>
            </w:pPr>
            <w:r>
              <w:t xml:space="preserve">Cost Element</w:t>
            </w:r>
          </w:p>
        </w:tc>
        <w:tc>
          <w:tcPr/>
          <w:p>
            <w:pPr>
              <w:pStyle w:val="Compact"/>
            </w:pPr>
            <w:r>
              <w:t xml:space="preserve">Amount</w:t>
            </w:r>
          </w:p>
        </w:tc>
      </w:tr>
      <w:tr>
        <w:tc>
          <w:tcPr/>
          <w:p>
            <w:pPr>
              <w:pStyle w:val="Compact"/>
            </w:pPr>
            <w:r>
              <w:t xml:space="preserve">Direct Labor (4 key personnel + 6 additional staff)</w:t>
            </w:r>
          </w:p>
        </w:tc>
        <w:tc>
          <w:tcPr/>
          <w:p>
            <w:pPr>
              <w:pStyle w:val="Compact"/>
            </w:pPr>
            <w:r>
              <w:t xml:space="preserve">$812,000</w:t>
            </w:r>
          </w:p>
        </w:tc>
      </w:tr>
      <w:tr>
        <w:tc>
          <w:tcPr/>
          <w:p>
            <w:pPr>
              <w:pStyle w:val="Compact"/>
            </w:pPr>
            <w:r>
              <w:t xml:space="preserve">Materials and Supplies (raw graphene oxide, substrate materials, test consumables)</w:t>
            </w:r>
          </w:p>
        </w:tc>
        <w:tc>
          <w:tcPr/>
          <w:p>
            <w:pPr>
              <w:pStyle w:val="Compact"/>
            </w:pPr>
            <w:r>
              <w:t xml:space="preserve">$384,000</w:t>
            </w:r>
          </w:p>
        </w:tc>
      </w:tr>
      <w:tr>
        <w:tc>
          <w:tcPr/>
          <w:p>
            <w:pPr>
              <w:pStyle w:val="Compact"/>
            </w:pPr>
            <w:r>
              <w:t xml:space="preserve">Test Facility Operations (flow loops, instrumentation, utilities)</w:t>
            </w:r>
          </w:p>
        </w:tc>
        <w:tc>
          <w:tcPr/>
          <w:p>
            <w:pPr>
              <w:pStyle w:val="Compact"/>
            </w:pPr>
            <w:r>
              <w:t xml:space="preserve">$156,000</w:t>
            </w:r>
          </w:p>
        </w:tc>
      </w:tr>
      <w:tr>
        <w:tc>
          <w:tcPr/>
          <w:p>
            <w:pPr>
              <w:pStyle w:val="Compact"/>
            </w:pPr>
            <w:r>
              <w:t xml:space="preserve">Subcontracts (independent test lab verification, ~$120k)</w:t>
            </w:r>
          </w:p>
        </w:tc>
        <w:tc>
          <w:tcPr/>
          <w:p>
            <w:pPr>
              <w:pStyle w:val="Compact"/>
            </w:pPr>
            <w:r>
              <w:t xml:space="preserve">$120,000</w:t>
            </w:r>
          </w:p>
        </w:tc>
      </w:tr>
      <w:tr>
        <w:tc>
          <w:tcPr/>
          <w:p>
            <w:pPr>
              <w:pStyle w:val="Compact"/>
            </w:pPr>
            <w:r>
              <w:t xml:space="preserve">Travel (4 ONR program reviews, NAVSEA coordination)</w:t>
            </w:r>
          </w:p>
        </w:tc>
        <w:tc>
          <w:tcPr/>
          <w:p>
            <w:pPr>
              <w:pStyle w:val="Compact"/>
            </w:pPr>
            <w:r>
              <w:t xml:space="preserve">$24,500</w:t>
            </w:r>
          </w:p>
        </w:tc>
      </w:tr>
      <w:tr>
        <w:tc>
          <w:tcPr/>
          <w:p>
            <w:pPr>
              <w:pStyle w:val="Compact"/>
            </w:pPr>
            <w:r>
              <w:t xml:space="preserve">Indirect Costs and Overhead</w:t>
            </w:r>
          </w:p>
        </w:tc>
        <w:tc>
          <w:tcPr/>
          <w:p>
            <w:pPr>
              <w:pStyle w:val="Compact"/>
            </w:pPr>
            <w:r>
              <w:t xml:space="preserve">$278,000</w:t>
            </w:r>
          </w:p>
        </w:tc>
      </w:tr>
      <w:tr>
        <w:tc>
          <w:tcPr/>
          <w:p>
            <w:pPr>
              <w:pStyle w:val="Compact"/>
            </w:pPr>
            <w:r>
              <w:t xml:space="preserve">Fee</w:t>
            </w:r>
          </w:p>
        </w:tc>
        <w:tc>
          <w:tcPr/>
          <w:p>
            <w:pPr>
              <w:pStyle w:val="Compact"/>
            </w:pPr>
            <w:r>
              <w:t xml:space="preserve">$73,000</w:t>
            </w:r>
          </w:p>
        </w:tc>
      </w:tr>
      <w:tr>
        <w:tc>
          <w:tcPr/>
          <w:p>
            <w:pPr>
              <w:pStyle w:val="Compact"/>
            </w:pPr>
            <w:r>
              <w:rPr>
                <w:b/>
                <w:bCs/>
              </w:rPr>
              <w:t xml:space="preserve">Total</w:t>
            </w:r>
          </w:p>
        </w:tc>
        <w:tc>
          <w:tcPr/>
          <w:p>
            <w:pPr>
              <w:pStyle w:val="Compact"/>
            </w:pPr>
            <w:r>
              <w:rPr>
                <w:b/>
                <w:bCs/>
              </w:rPr>
              <w:t xml:space="preserve">$1,847,500</w:t>
            </w:r>
          </w:p>
        </w:tc>
      </w:tr>
    </w:tbl>
    <w:p>
      <w:pPr>
        <w:pStyle w:val="BodyText"/>
      </w:pPr>
      <w:r>
        <w:t xml:space="preserve">A detailed line-item budget is available on request under FAR 15.609(a) proprietary protection.</w:t>
      </w:r>
    </w:p>
    <w:p>
      <w:pPr>
        <w:pStyle w:val="BodyText"/>
      </w:pPr>
      <w:r>
        <w:rPr>
          <w:b/>
          <w:bCs/>
        </w:rPr>
        <w:t xml:space="preserve">3.2 Period of Validity</w:t>
      </w:r>
    </w:p>
    <w:p>
      <w:pPr>
        <w:pStyle w:val="BodyText"/>
      </w:pPr>
      <w:r>
        <w:t xml:space="preserve">This proposal is valid for</w:t>
      </w:r>
      <w:r>
        <w:t xml:space="preserve"> </w:t>
      </w:r>
      <w:r>
        <w:rPr>
          <w:b/>
          <w:bCs/>
        </w:rPr>
        <w:t xml:space="preserve">twelve (12) months</w:t>
      </w:r>
      <w:r>
        <w:t xml:space="preserve"> </w:t>
      </w:r>
      <w:r>
        <w:t xml:space="preserve">from the date of submission.</w:t>
      </w:r>
    </w:p>
    <w:p>
      <w:pPr>
        <w:pStyle w:val="BodyText"/>
      </w:pPr>
      <w:r>
        <w:rPr>
          <w:b/>
          <w:bCs/>
        </w:rPr>
        <w:t xml:space="preserve">3.3 Type of Contract Preferred</w:t>
      </w:r>
    </w:p>
    <w:p>
      <w:pPr>
        <w:pStyle w:val="BodyText"/>
      </w:pPr>
      <w:r>
        <w:t xml:space="preserve">Nova Materials proposes a</w:t>
      </w:r>
      <w:r>
        <w:t xml:space="preserve"> </w:t>
      </w:r>
      <w:r>
        <w:rPr>
          <w:b/>
          <w:bCs/>
        </w:rPr>
        <w:t xml:space="preserve">firm-fixed-price (FFP)</w:t>
      </w:r>
      <w:r>
        <w:t xml:space="preserve"> </w:t>
      </w:r>
      <w:r>
        <w:t xml:space="preserve">contract structured around deliverables rather than level of effort. Nova Materials believes FFP is appropriate because the scope, deliverables, and testing approach are well-defined, and FFP aligns incentives for on-time, on-budget performance. Nova Materials is open to discussing a cost-plus-fixed-fee (CPFF) structure if ONR prefers that approach for R&amp;D contracting reasons.</w:t>
      </w:r>
    </w:p>
    <w:p>
      <w:pPr>
        <w:pStyle w:val="BodyText"/>
      </w:pPr>
      <w:r>
        <w:rPr>
          <w:b/>
          <w:bCs/>
        </w:rPr>
        <w:t xml:space="preserve">3.4 Proposed Duration of Effort</w:t>
      </w:r>
    </w:p>
    <w:p>
      <w:pPr>
        <w:pStyle w:val="BodyText"/>
      </w:pPr>
      <w:r>
        <w:t xml:space="preserve">Eighteen (18) months from contract award to final deliverable, broken into four phases as described in Section 2.3.</w:t>
      </w:r>
    </w:p>
    <w:p>
      <w:pPr>
        <w:pStyle w:val="BodyText"/>
      </w:pPr>
      <w:r>
        <w:rPr>
          <w:b/>
          <w:bCs/>
        </w:rPr>
        <w:t xml:space="preserve">3.5 Organization Description, Experience, and Facilities</w:t>
      </w:r>
    </w:p>
    <w:p>
      <w:pPr>
        <w:pStyle w:val="BodyText"/>
      </w:pPr>
      <w:r>
        <w:t xml:space="preserve">Nova Materials, Inc. is a specialty materials research and development company founded in 2018. The company has grown from 4 to 23 full-time employees over six years and currently operates a 12,000-square-foot research and pilot-production facility in Raleigh, NC, equipped with two MIL-STD-compliant flow loops, analytical chemistry instrumentation, and a clean-room fabrication area suitable for membrane production up to pilot scale.</w:t>
      </w:r>
    </w:p>
    <w:p>
      <w:pPr>
        <w:pStyle w:val="BodyText"/>
      </w:pPr>
      <w:r>
        <w:t xml:space="preserve">Nova Materials holds U.S. Patent Pending 18/XXX,XXX on its graphene-oxide functionalization process. Two additional patents are in preparation.</w:t>
      </w:r>
    </w:p>
    <w:p>
      <w:pPr>
        <w:pStyle w:val="BodyText"/>
      </w:pPr>
      <w:r>
        <w:rPr>
          <w:b/>
          <w:bCs/>
        </w:rPr>
        <w:t xml:space="preserve">Past Performance:</w:t>
      </w:r>
    </w:p>
    <w:p>
      <w:pPr>
        <w:pStyle w:val="Compact"/>
        <w:numPr>
          <w:ilvl w:val="0"/>
          <w:numId w:val="1005"/>
        </w:numPr>
      </w:pPr>
      <w:r>
        <w:rPr>
          <w:b/>
          <w:bCs/>
        </w:rPr>
        <w:t xml:space="preserve">National Science Foundation SBIR Phase II</w:t>
      </w:r>
      <w:r>
        <w:t xml:space="preserve"> </w:t>
      </w:r>
      <w:r>
        <w:t xml:space="preserve">— Graphene Membrane R&amp;D, $1.2M, 2021–2023. Completed on time and on budget. NSF program manager available as reference.</w:t>
      </w:r>
    </w:p>
    <w:p>
      <w:pPr>
        <w:pStyle w:val="Compact"/>
        <w:numPr>
          <w:ilvl w:val="0"/>
          <w:numId w:val="1005"/>
        </w:numPr>
      </w:pPr>
      <w:r>
        <w:rPr>
          <w:b/>
          <w:bCs/>
        </w:rPr>
        <w:t xml:space="preserve">Department of Energy SBIR Phase I</w:t>
      </w:r>
      <w:r>
        <w:t xml:space="preserve"> </w:t>
      </w:r>
      <w:r>
        <w:t xml:space="preserve">— Advanced Separation Membranes, $275k, 2020–2021. Completed on time; selected for Phase II follow-on.</w:t>
      </w:r>
    </w:p>
    <w:p>
      <w:pPr>
        <w:pStyle w:val="Compact"/>
        <w:numPr>
          <w:ilvl w:val="0"/>
          <w:numId w:val="1005"/>
        </w:numPr>
      </w:pPr>
      <w:r>
        <w:rPr>
          <w:b/>
          <w:bCs/>
        </w:rPr>
        <w:t xml:space="preserve">[Commercial Fortune-500 Customer]</w:t>
      </w:r>
      <w:r>
        <w:t xml:space="preserve"> </w:t>
      </w:r>
      <w:r>
        <w:t xml:space="preserve">— Pilot membrane production, $650k, 2022–2024. Ongoing production agreement.</w:t>
      </w:r>
    </w:p>
    <w:p>
      <w:pPr>
        <w:pStyle w:val="Compact"/>
        <w:numPr>
          <w:ilvl w:val="0"/>
          <w:numId w:val="1005"/>
        </w:numPr>
      </w:pPr>
      <w:r>
        <w:rPr>
          <w:b/>
          <w:bCs/>
        </w:rPr>
        <w:t xml:space="preserve">[State University Research Partnership]</w:t>
      </w:r>
      <w:r>
        <w:t xml:space="preserve"> </w:t>
      </w:r>
      <w:r>
        <w:t xml:space="preserve">— Joint research agreement on functionalized membranes, ~$400k/yr, 2019–present.</w:t>
      </w:r>
    </w:p>
    <w:p>
      <w:pPr>
        <w:pStyle w:val="FirstParagraph"/>
      </w:pPr>
      <w:r>
        <w:t xml:space="preserve">Contact information for all past performance references is available on request.</w:t>
      </w:r>
    </w:p>
    <w:p>
      <w:pPr>
        <w:pStyle w:val="BodyText"/>
      </w:pPr>
      <w:r>
        <w:rPr>
          <w:b/>
          <w:bCs/>
        </w:rPr>
        <w:t xml:space="preserve">3.6 Organizational Conflicts of Interest, Security Clearances, Environmental</w:t>
      </w:r>
    </w:p>
    <w:p>
      <w:pPr>
        <w:pStyle w:val="BodyText"/>
      </w:pPr>
      <w:r>
        <w:rPr>
          <w:b/>
          <w:bCs/>
        </w:rPr>
        <w:t xml:space="preserve">Conflicts of Interest:</w:t>
      </w:r>
      <w:r>
        <w:t xml:space="preserve"> </w:t>
      </w:r>
      <w:r>
        <w:t xml:space="preserve">Nova Materials is not aware of any organizational conflicts of interest that would affect its ability to perform this effort objectively.</w:t>
      </w:r>
    </w:p>
    <w:p>
      <w:pPr>
        <w:pStyle w:val="BodyText"/>
      </w:pPr>
      <w:r>
        <w:rPr>
          <w:b/>
          <w:bCs/>
        </w:rPr>
        <w:t xml:space="preserve">Security Clearances:</w:t>
      </w:r>
      <w:r>
        <w:t xml:space="preserve"> </w:t>
      </w:r>
      <w:r>
        <w:t xml:space="preserve">Nova Materials holds a facility clearance at the Secret level. Both of the principal investigators (Dr. Okoye and Dr. Strongbow) hold active Secret clearances. Two additional members of the proposed team hold Confidential clearances.</w:t>
      </w:r>
    </w:p>
    <w:p>
      <w:pPr>
        <w:pStyle w:val="BodyText"/>
      </w:pPr>
      <w:r>
        <w:rPr>
          <w:b/>
          <w:bCs/>
        </w:rPr>
        <w:t xml:space="preserve">Environmental Impacts:</w:t>
      </w:r>
      <w:r>
        <w:t xml:space="preserve"> </w:t>
      </w:r>
      <w:r>
        <w:t xml:space="preserve">The proposed work is standard laboratory and pilot-production research. All work will be conducted at Nova Materials’ existing facility, which operates under current EPA and North Carolina environmental permits. No new environmental impact is expected.</w:t>
      </w:r>
    </w:p>
    <w:p>
      <w:pPr>
        <w:pStyle w:val="BodyText"/>
      </w:pPr>
      <w:r>
        <w:rPr>
          <w:b/>
          <w:bCs/>
        </w:rPr>
        <w:t xml:space="preserve">3.7 Prior Agency Contacts</w:t>
      </w:r>
    </w:p>
    <w:p>
      <w:pPr>
        <w:pStyle w:val="BodyText"/>
      </w:pPr>
      <w:r>
        <w:t xml:space="preserve">The following preliminary contacts were made in preparation of this proposal, in accordance with FAR 15.604:</w:t>
      </w:r>
    </w:p>
    <w:p>
      <w:pPr>
        <w:pStyle w:val="Compact"/>
        <w:numPr>
          <w:ilvl w:val="0"/>
          <w:numId w:val="1006"/>
        </w:numPr>
      </w:pPr>
      <w:r>
        <w:rPr>
          <w:b/>
          <w:bCs/>
        </w:rPr>
        <w:t xml:space="preserve">Dr. [Name], ONR Code 33 Program Officer</w:t>
      </w:r>
      <w:r>
        <w:t xml:space="preserve"> </w:t>
      </w:r>
      <w:r>
        <w:t xml:space="preserve">— One 30-minute telephone call on [date], for the limited purpose of confirming ONR’s mission interest in shipboard RO membrane technology and confirming the correct submission process for an unsolicited proposal.</w:t>
      </w:r>
    </w:p>
    <w:p>
      <w:pPr>
        <w:pStyle w:val="Compact"/>
        <w:numPr>
          <w:ilvl w:val="0"/>
          <w:numId w:val="1006"/>
        </w:numPr>
      </w:pPr>
      <w:r>
        <w:rPr>
          <w:b/>
          <w:bCs/>
        </w:rPr>
        <w:t xml:space="preserve">[Name], ONR Small Business Office</w:t>
      </w:r>
      <w:r>
        <w:t xml:space="preserve"> </w:t>
      </w:r>
      <w:r>
        <w:t xml:space="preserve">— Email exchange on [date] confirming the correct submission email address.</w:t>
      </w:r>
    </w:p>
    <w:p>
      <w:pPr>
        <w:pStyle w:val="FirstParagraph"/>
      </w:pPr>
      <w:r>
        <w:t xml:space="preserve">No government personnel reviewed drafts of this proposal, provided guidance on its content, or directed any portion of its preparation.</w:t>
      </w:r>
    </w:p>
    <w:p>
      <w:r>
        <w:pict>
          <v:rect style="width:0;height:1.5pt" o:hralign="center" o:hrstd="t" o:hr="t"/>
        </w:pict>
      </w:r>
    </w:p>
    <w:bookmarkEnd w:id="13"/>
    <w:bookmarkStart w:id="14" w:name="how-to-adapt-this-template"/>
    <w:p>
      <w:pPr>
        <w:pStyle w:val="Heading2"/>
      </w:pPr>
      <w:r>
        <w:t xml:space="preserve">HOW TO ADAPT THIS TEMPLATE</w:t>
      </w:r>
    </w:p>
    <w:p>
      <w:pPr>
        <w:pStyle w:val="FirstParagraph"/>
      </w:pPr>
      <w:r>
        <w:t xml:space="preserve">Use this checklist to customize this template for your own situation. Replace every item in brackets or italics, and update the content to match your actual technology, team, and target agency.</w:t>
      </w:r>
    </w:p>
    <w:p>
      <w:pPr>
        <w:pStyle w:val="BodyText"/>
      </w:pPr>
      <w:r>
        <w:rPr>
          <w:b/>
          <w:bCs/>
        </w:rPr>
        <w:t xml:space="preserve">Things you must change:</w:t>
      </w:r>
    </w:p>
    <w:p>
      <w:pPr>
        <w:pStyle w:val="Compact"/>
        <w:numPr>
          <w:ilvl w:val="0"/>
          <w:numId w:val="1007"/>
        </w:numPr>
      </w:pPr>
      <w:r>
        <w:t xml:space="preserve">Company name, address, contact information throughout</w:t>
      </w:r>
    </w:p>
    <w:p>
      <w:pPr>
        <w:pStyle w:val="Compact"/>
        <w:numPr>
          <w:ilvl w:val="0"/>
          <w:numId w:val="1008"/>
        </w:numPr>
      </w:pPr>
      <w:r>
        <w:t xml:space="preserve">Key personnel names and biographies in Section 2.6</w:t>
      </w:r>
    </w:p>
    <w:p>
      <w:pPr>
        <w:pStyle w:val="Compact"/>
        <w:numPr>
          <w:ilvl w:val="0"/>
          <w:numId w:val="1009"/>
        </w:numPr>
      </w:pPr>
      <w:r>
        <w:t xml:space="preserve">Technical content of the title, abstract, objectives, approach, and results (Sections 2.1–2.4)</w:t>
      </w:r>
    </w:p>
    <w:p>
      <w:pPr>
        <w:pStyle w:val="Compact"/>
        <w:numPr>
          <w:ilvl w:val="0"/>
          <w:numId w:val="1010"/>
        </w:numPr>
      </w:pPr>
      <w:r>
        <w:t xml:space="preserve">Target agency and mission support statement (Section 2.5) — cite YOUR target agency’s actual strategic priorities, not ONR’s</w:t>
      </w:r>
    </w:p>
    <w:p>
      <w:pPr>
        <w:pStyle w:val="Compact"/>
        <w:numPr>
          <w:ilvl w:val="0"/>
          <w:numId w:val="1011"/>
        </w:numPr>
      </w:pPr>
      <w:r>
        <w:t xml:space="preserve">Government support needed (Section 2.7) — customize to what you actually need</w:t>
      </w:r>
    </w:p>
    <w:p>
      <w:pPr>
        <w:pStyle w:val="Compact"/>
        <w:numPr>
          <w:ilvl w:val="0"/>
          <w:numId w:val="1012"/>
        </w:numPr>
      </w:pPr>
      <w:r>
        <w:t xml:space="preserve">Cost estimates (Section 3.1) — use your real numbers</w:t>
      </w:r>
    </w:p>
    <w:p>
      <w:pPr>
        <w:pStyle w:val="Compact"/>
        <w:numPr>
          <w:ilvl w:val="0"/>
          <w:numId w:val="1013"/>
        </w:numPr>
      </w:pPr>
      <w:r>
        <w:t xml:space="preserve">Past performance (Section 3.5) — use your actual contracts and references</w:t>
      </w:r>
    </w:p>
    <w:p>
      <w:pPr>
        <w:pStyle w:val="Compact"/>
        <w:numPr>
          <w:ilvl w:val="0"/>
          <w:numId w:val="1014"/>
        </w:numPr>
      </w:pPr>
      <w:r>
        <w:t xml:space="preserve">Certifications on cover page (WOSB, 8(a), HUBZone, etc.) — use yours</w:t>
      </w:r>
    </w:p>
    <w:p>
      <w:pPr>
        <w:pStyle w:val="Compact"/>
        <w:numPr>
          <w:ilvl w:val="0"/>
          <w:numId w:val="1015"/>
        </w:numPr>
      </w:pPr>
      <w:r>
        <w:t xml:space="preserve">Patent or proprietary process language — use your actual IP situation</w:t>
      </w:r>
    </w:p>
    <w:p>
      <w:pPr>
        <w:pStyle w:val="Compact"/>
        <w:numPr>
          <w:ilvl w:val="0"/>
          <w:numId w:val="1016"/>
        </w:numPr>
      </w:pPr>
      <w:r>
        <w:t xml:space="preserve">Prior agency contacts (Section 3.7) — list your actual contacts</w:t>
      </w:r>
    </w:p>
    <w:p>
      <w:pPr>
        <w:pStyle w:val="FirstParagraph"/>
      </w:pPr>
      <w:r>
        <w:rPr>
          <w:b/>
          <w:bCs/>
        </w:rPr>
        <w:t xml:space="preserve">Things you must keep unchanged:</w:t>
      </w:r>
    </w:p>
    <w:p>
      <w:pPr>
        <w:pStyle w:val="Compact"/>
        <w:numPr>
          <w:ilvl w:val="0"/>
          <w:numId w:val="1017"/>
        </w:numPr>
      </w:pPr>
      <w:r>
        <w:t xml:space="preserve">The exact text of the FAR 15.609(a) title-page legend</w:t>
      </w:r>
    </w:p>
    <w:p>
      <w:pPr>
        <w:pStyle w:val="Compact"/>
        <w:numPr>
          <w:ilvl w:val="0"/>
          <w:numId w:val="1018"/>
        </w:numPr>
      </w:pPr>
      <w:r>
        <w:t xml:space="preserve">The three-part structure (Basic / Technical / Supporting)</w:t>
      </w:r>
    </w:p>
    <w:p>
      <w:pPr>
        <w:pStyle w:val="Compact"/>
        <w:numPr>
          <w:ilvl w:val="0"/>
          <w:numId w:val="1019"/>
        </w:numPr>
      </w:pPr>
      <w:r>
        <w:t xml:space="preserve">The FAR section citations in the headings</w:t>
      </w:r>
    </w:p>
    <w:p>
      <w:pPr>
        <w:pStyle w:val="Compact"/>
        <w:numPr>
          <w:ilvl w:val="0"/>
          <w:numId w:val="1020"/>
        </w:numPr>
      </w:pPr>
      <w:r>
        <w:t xml:space="preserve">The date of submission, period of validity, signature block on the title page</w:t>
      </w:r>
    </w:p>
    <w:p>
      <w:pPr>
        <w:pStyle w:val="Compact"/>
        <w:numPr>
          <w:ilvl w:val="0"/>
          <w:numId w:val="1021"/>
        </w:numPr>
      </w:pPr>
      <w:r>
        <w:t xml:space="preserve">The disclosure of other parties receiving the proposal (Section 1.4)</w:t>
      </w:r>
    </w:p>
    <w:p>
      <w:pPr>
        <w:pStyle w:val="Compact"/>
        <w:numPr>
          <w:ilvl w:val="0"/>
          <w:numId w:val="1022"/>
        </w:numPr>
      </w:pPr>
      <w:r>
        <w:t xml:space="preserve">The prior agency contacts disclosure (Section 3.7)</w:t>
      </w:r>
    </w:p>
    <w:p>
      <w:pPr>
        <w:pStyle w:val="FirstParagraph"/>
      </w:pPr>
      <w:r>
        <w:rPr>
          <w:b/>
          <w:bCs/>
        </w:rPr>
        <w:t xml:space="preserve">Final checks before you submit:</w:t>
      </w:r>
    </w:p>
    <w:p>
      <w:pPr>
        <w:pStyle w:val="Compact"/>
        <w:numPr>
          <w:ilvl w:val="0"/>
          <w:numId w:val="1023"/>
        </w:numPr>
      </w:pPr>
      <w:r>
        <w:t xml:space="preserve">Run through the Eligibility Self-Assessment Worksheet in Appendix E of the Govafy Guide</w:t>
      </w:r>
    </w:p>
    <w:p>
      <w:pPr>
        <w:pStyle w:val="Compact"/>
        <w:numPr>
          <w:ilvl w:val="0"/>
          <w:numId w:val="1024"/>
        </w:numPr>
      </w:pPr>
      <w:r>
        <w:t xml:space="preserve">Run through the Pre-Submission Checklist in Appendix F of the Govafy Guide</w:t>
      </w:r>
    </w:p>
    <w:p>
      <w:pPr>
        <w:pStyle w:val="Compact"/>
        <w:numPr>
          <w:ilvl w:val="0"/>
          <w:numId w:val="1025"/>
        </w:numPr>
      </w:pPr>
      <w:r>
        <w:t xml:space="preserve">Verify the current submission address on the agency’s public website</w:t>
      </w:r>
    </w:p>
    <w:p>
      <w:pPr>
        <w:pStyle w:val="Compact"/>
        <w:numPr>
          <w:ilvl w:val="0"/>
          <w:numId w:val="1026"/>
        </w:numPr>
      </w:pPr>
      <w:r>
        <w:t xml:space="preserve">Confirm your SAM.gov registration is active</w:t>
      </w:r>
    </w:p>
    <w:p>
      <w:r>
        <w:pict>
          <v:rect style="width:0;height:1.5pt" o:hralign="center" o:hrstd="t" o:hr="t"/>
        </w:pict>
      </w:r>
    </w:p>
    <w:p>
      <w:pPr>
        <w:pStyle w:val="FirstParagraph"/>
      </w:pPr>
      <w:r>
        <w:rPr>
          <w:i/>
          <w:iCs/>
        </w:rPr>
        <w:t xml:space="preserve">End of General Sample 1 — Innovation / R&amp;D Template</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2026-04-11T19:52:26Z</dcterms:created>
  <dcterms:modified xsi:type="dcterms:W3CDTF">2026-04-11T19:52:26Z</dcterms:modified>
</cp:coreProperties>
</file>

<file path=docProps/custom.xml><?xml version="1.0" encoding="utf-8"?>
<Properties xmlns="http://schemas.openxmlformats.org/officeDocument/2006/custom-properties" xmlns:vt="http://schemas.openxmlformats.org/officeDocument/2006/docPropsVTypes"/>
</file>