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general-sample-3"/>
    <w:p>
      <w:pPr>
        <w:pStyle w:val="Heading1"/>
      </w:pPr>
      <w:r>
        <w:t xml:space="preserve">GENERAL SAMPLE 3</w:t>
      </w:r>
    </w:p>
    <w:bookmarkStart w:id="9" w:name="crisis-rapid-response-template"/>
    <w:p>
      <w:pPr>
        <w:pStyle w:val="Heading2"/>
      </w:pPr>
      <w:r>
        <w:t xml:space="preserve">Crisis / Rapid-Response Template</w:t>
      </w:r>
    </w:p>
    <w:p>
      <w:pPr>
        <w:pStyle w:val="BlockText"/>
      </w:pPr>
      <w:r>
        <w:rPr>
          <w:b/>
          <w:bCs/>
        </w:rPr>
        <w:t xml:space="preserve">HOW TO USE THIS SAMPLE</w:t>
      </w:r>
    </w:p>
    <w:p>
      <w:pPr>
        <w:pStyle w:val="BlockText"/>
      </w:pPr>
      <w:r>
        <w:t xml:space="preserve">This is a template for an unsolicited proposal offering a</w:t>
      </w:r>
      <w:r>
        <w:t xml:space="preserve"> </w:t>
      </w:r>
      <w:r>
        <w:rPr>
          <w:b/>
          <w:bCs/>
        </w:rPr>
        <w:t xml:space="preserve">turnkey capability to an agency facing an urgent or emerging need</w:t>
      </w:r>
      <w:r>
        <w:t xml:space="preserve">. Use it when there is a time-bound crisis — a natural disaster, a public health emergency, a surge in demand, a sudden mission requirement — and you can mobilize quickly. The distinguishing features of a Crisis / Rapid-Response proposal are: (1) a compressed timeline, (2) an emphasis on</w:t>
      </w:r>
      <w:r>
        <w:t xml:space="preserve"> </w:t>
      </w:r>
      <w:r>
        <w:t xml:space="preserve">“turnkey”</w:t>
      </w:r>
      <w:r>
        <w:t xml:space="preserve"> </w:t>
      </w:r>
      <w:r>
        <w:t xml:space="preserve">deployability, and (3) a clear argument that traditional competitive procurement cannot deliver fast enough.</w:t>
      </w:r>
    </w:p>
    <w:p>
      <w:pPr>
        <w:pStyle w:val="BlockText"/>
      </w:pPr>
      <w:r>
        <w:t xml:space="preserve">The sample below is a fictional proposal. Company, people, and numbers are invented. The structure, regulation citations, and FAR 15.609 markings are real and compliant.</w:t>
      </w:r>
    </w:p>
    <w:p>
      <w:pPr>
        <w:pStyle w:val="BlockText"/>
      </w:pPr>
      <w:r>
        <w:t xml:space="preserve">A</w:t>
      </w:r>
      <w:r>
        <w:t xml:space="preserve"> </w:t>
      </w:r>
      <w:r>
        <w:t xml:space="preserve">“HOW TO ADAPT THIS TEMPLATE”</w:t>
      </w:r>
      <w:r>
        <w:t xml:space="preserve"> </w:t>
      </w:r>
      <w:r>
        <w:t xml:space="preserve">section appears at the end.</w:t>
      </w:r>
    </w:p>
    <w:p>
      <w:pPr>
        <w:pStyle w:val="BlockText"/>
      </w:pPr>
      <w:r>
        <w:rPr>
          <w:b/>
          <w:bCs/>
        </w:rPr>
        <w:t xml:space="preserve">IMPORTANT:</w:t>
      </w:r>
      <w:r>
        <w:t xml:space="preserve"> </w:t>
      </w:r>
      <w:r>
        <w:t xml:space="preserve">Crisis / Rapid-Response proposals have a higher rejection risk than other types because agencies frequently already have standing contracts and pre-positioned resources for known crisis types. Read the How-to-Adapt section carefully before using this template.</w:t>
      </w:r>
    </w:p>
    <w:p>
      <w:r>
        <w:pict>
          <v:rect style="width:0;height:1.5pt" o:hralign="center" o:hrstd="t" o:hr="t"/>
        </w:pict>
      </w:r>
    </w:p>
    <w:bookmarkEnd w:id="9"/>
    <w:bookmarkStart w:id="10" w:name="title-page"/>
    <w:p>
      <w:pPr>
        <w:pStyle w:val="Heading2"/>
      </w:pPr>
      <w:r>
        <w:t xml:space="preserve">[TITLE PAGE]</w:t>
      </w:r>
    </w:p>
    <w:p>
      <w:pPr>
        <w:pStyle w:val="FirstParagraph"/>
      </w:pPr>
      <w:r>
        <w:rPr>
          <w:b/>
          <w:bCs/>
        </w:rPr>
        <w:t xml:space="preserve">RAPIDRESPONSE WATER SYSTEMS, LLC</w:t>
      </w:r>
      <w:r>
        <w:t xml:space="preserve"> </w:t>
      </w:r>
      <w:r>
        <w:t xml:space="preserve">830 Industrial Parkway</w:t>
      </w:r>
      <w:r>
        <w:t xml:space="preserve"> </w:t>
      </w:r>
      <w:r>
        <w:t xml:space="preserve">Chattanooga, TN 37421</w:t>
      </w:r>
      <w:r>
        <w:t xml:space="preserve"> </w:t>
      </w:r>
      <w:r>
        <w:t xml:space="preserve">Phone: (423) 555-0166 | Email: gov@rapidresponsewater.example</w:t>
      </w:r>
      <w:r>
        <w:t xml:space="preserve"> </w:t>
      </w:r>
      <w:r>
        <w:t xml:space="preserve">CAGE Code: 9TR11 | UEI: RR1L2M3N4P5Q | NAICS: 221310</w:t>
      </w:r>
    </w:p>
    <w:p>
      <w:r>
        <w:pict>
          <v:rect style="width:0;height:1.5pt" o:hralign="center" o:hrstd="t" o:hr="t"/>
        </w:pict>
      </w:r>
    </w:p>
    <w:p>
      <w:pPr>
        <w:pStyle w:val="FirstParagraph"/>
      </w:pPr>
      <w:r>
        <w:rPr>
          <w:b/>
          <w:bCs/>
        </w:rPr>
        <w:t xml:space="preserve">UNSOLICITED PROPOSAL</w:t>
      </w:r>
    </w:p>
    <w:p>
      <w:pPr>
        <w:pStyle w:val="BodyText"/>
      </w:pPr>
      <w:r>
        <w:rPr>
          <w:b/>
          <w:bCs/>
        </w:rPr>
        <w:t xml:space="preserve">Title:</w:t>
      </w:r>
      <w:r>
        <w:t xml:space="preserve"> </w:t>
      </w:r>
      <w:r>
        <w:t xml:space="preserve">Turnkey Mobile Drinking Water Treatment Units for Rapid Deployment During Contamination Emergencies</w:t>
      </w:r>
    </w:p>
    <w:p>
      <w:pPr>
        <w:pStyle w:val="BodyText"/>
      </w:pPr>
      <w:r>
        <w:rPr>
          <w:b/>
          <w:bCs/>
        </w:rPr>
        <w:t xml:space="preserve">Submitted to:</w:t>
      </w:r>
      <w:r>
        <w:t xml:space="preserve"> </w:t>
      </w:r>
      <w:r>
        <w:t xml:space="preserve">U.S. Environmental Protection Agency, Office of Water, Drinking Water Protection Division</w:t>
      </w:r>
      <w:r>
        <w:t xml:space="preserve"> </w:t>
      </w:r>
      <w:r>
        <w:rPr>
          <w:b/>
          <w:bCs/>
        </w:rPr>
        <w:t xml:space="preserve">Date of Submission:</w:t>
      </w:r>
      <w:r>
        <w:t xml:space="preserve"> </w:t>
      </w:r>
      <w:r>
        <w:t xml:space="preserve">[Month Day, Year]</w:t>
      </w:r>
      <w:r>
        <w:t xml:space="preserve"> </w:t>
      </w:r>
      <w:r>
        <w:rPr>
          <w:b/>
          <w:bCs/>
        </w:rPr>
        <w:t xml:space="preserve">Period of Validity:</w:t>
      </w:r>
      <w:r>
        <w:t xml:space="preserve"> </w:t>
      </w:r>
      <w:r>
        <w:t xml:space="preserve">Twelve (12) months from date of submission</w:t>
      </w:r>
    </w:p>
    <w:p>
      <w:r>
        <w:pict>
          <v:rect style="width:0;height:1.5pt" o:hralign="center" o:hrstd="t" o:hr="t"/>
        </w:pict>
      </w:r>
    </w:p>
    <w:p>
      <w:pPr>
        <w:pStyle w:val="FirstParagraph"/>
      </w:pPr>
      <w:r>
        <w:rPr>
          <w:b/>
          <w:bCs/>
        </w:rPr>
        <w:t xml:space="preserve">USE AND DISCLOSURE OF DATA</w:t>
      </w:r>
    </w:p>
    <w:p>
      <w:pPr>
        <w:pStyle w:val="BodyText"/>
      </w:pPr>
      <w:r>
        <w:t xml:space="preserve">This proposal includes data that shall not be disclosed outside the Government and shall not be duplicated, used, or disclosed — in whole or in part — for any purpose other than to evaluate this proposal. However, if a contract is awarded to this offeror as a result of — or in connection with — the submission of these data, the Government shall have the right to duplicate, use, or disclose the data to the extent provided in the resulting contract. This restriction does not limit the Government’s right to use information contained in these data if they are obtained from another source without restriction. The data subject to this restriction are contained in</w:t>
      </w:r>
      <w:r>
        <w:t xml:space="preserve"> </w:t>
      </w:r>
      <w:r>
        <w:rPr>
          <w:b/>
          <w:bCs/>
        </w:rPr>
        <w:t xml:space="preserve">Sheets 3, 5, 7, and 9</w:t>
      </w:r>
      <w:r>
        <w:t xml:space="preserve">.</w:t>
      </w:r>
    </w:p>
    <w:p>
      <w:r>
        <w:pict>
          <v:rect style="width:0;height:1.5pt" o:hralign="center" o:hrstd="t" o:hr="t"/>
        </w:pict>
      </w:r>
    </w:p>
    <w:p>
      <w:pPr>
        <w:pStyle w:val="FirstParagraph"/>
      </w:pPr>
      <w:r>
        <w:rPr>
          <w:i/>
          <w:iCs/>
        </w:rPr>
        <w:t xml:space="preserve">Authorized Representative:</w:t>
      </w:r>
    </w:p>
    <w:p>
      <w:pPr>
        <w:pStyle w:val="BodyText"/>
      </w:pPr>
      <w:r>
        <w:t xml:space="preserve">Michael Brennan, Chief Executive Officer</w:t>
      </w:r>
      <w:r>
        <w:t xml:space="preserve"> </w:t>
      </w:r>
      <w:r>
        <w:t xml:space="preserve">RapidResponse Water Systems, LLC</w:t>
      </w:r>
      <w:r>
        <w:t xml:space="preserve"> </w:t>
      </w:r>
      <w:r>
        <w:t xml:space="preserve">Signature: ________________________________ Date: ____________</w:t>
      </w:r>
    </w:p>
    <w:p>
      <w:r>
        <w:pict>
          <v:rect style="width:0;height:1.5pt" o:hralign="center" o:hrstd="t" o:hr="t"/>
        </w:pict>
      </w:r>
    </w:p>
    <w:bookmarkEnd w:id="10"/>
    <w:bookmarkStart w:id="11" w:name="part-1-basic-information-far-15.605a"/>
    <w:p>
      <w:pPr>
        <w:pStyle w:val="Heading2"/>
      </w:pPr>
      <w:r>
        <w:t xml:space="preserve">PART 1 — BASIC INFORMATION (FAR 15.605(a))</w:t>
      </w:r>
    </w:p>
    <w:p>
      <w:pPr>
        <w:pStyle w:val="FirstParagraph"/>
      </w:pPr>
      <w:r>
        <w:rPr>
          <w:b/>
          <w:bCs/>
        </w:rPr>
        <w:t xml:space="preserve">1.1 Offeror</w:t>
      </w:r>
    </w:p>
    <w:p>
      <w:pPr>
        <w:pStyle w:val="BodyText"/>
      </w:pPr>
      <w:r>
        <w:t xml:space="preserve">RapidResponse Water Systems, LLC is a for-profit small business headquartered in Chattanooga, Tennessee. The company is SBA-certified as a HUBZone small business and has been in continuous operation since 2011. RapidResponse designs, builds, and operates modular and mobile water treatment systems for municipal, industrial, and emergency response customers, and employs 67 full-time staff including licensed water operators, engineers, and logistics personnel.</w:t>
      </w:r>
    </w:p>
    <w:p>
      <w:pPr>
        <w:pStyle w:val="Compact"/>
        <w:numPr>
          <w:ilvl w:val="0"/>
          <w:numId w:val="1001"/>
        </w:numPr>
      </w:pPr>
      <w:r>
        <w:t xml:space="preserve">Registered in SAM.gov: Active</w:t>
      </w:r>
    </w:p>
    <w:p>
      <w:pPr>
        <w:pStyle w:val="Compact"/>
        <w:numPr>
          <w:ilvl w:val="0"/>
          <w:numId w:val="1001"/>
        </w:numPr>
      </w:pPr>
      <w:r>
        <w:t xml:space="preserve">NAICS Code: 221310 (Water Supply and Irrigation Systems)</w:t>
      </w:r>
    </w:p>
    <w:p>
      <w:pPr>
        <w:pStyle w:val="Compact"/>
        <w:numPr>
          <w:ilvl w:val="0"/>
          <w:numId w:val="1001"/>
        </w:numPr>
      </w:pPr>
      <w:r>
        <w:t xml:space="preserve">Size Standard: $34.0M average annual receipts (RapidResponse qualifies as small)</w:t>
      </w:r>
    </w:p>
    <w:p>
      <w:pPr>
        <w:pStyle w:val="Compact"/>
        <w:numPr>
          <w:ilvl w:val="0"/>
          <w:numId w:val="1001"/>
        </w:numPr>
      </w:pPr>
      <w:r>
        <w:t xml:space="preserve">Certifications: HUBZone (SBA-certified), NSF/ANSI 61 equipment certified</w:t>
      </w:r>
    </w:p>
    <w:p>
      <w:pPr>
        <w:pStyle w:val="Compact"/>
        <w:numPr>
          <w:ilvl w:val="0"/>
          <w:numId w:val="1001"/>
        </w:numPr>
      </w:pPr>
      <w:r>
        <w:t xml:space="preserve">Facility clearance: Not applicable for this work</w:t>
      </w:r>
    </w:p>
    <w:p>
      <w:pPr>
        <w:pStyle w:val="FirstParagraph"/>
      </w:pPr>
      <w:r>
        <w:rPr>
          <w:b/>
          <w:bCs/>
        </w:rPr>
        <w:t xml:space="preserve">1.2 Points of Contact</w:t>
      </w:r>
    </w:p>
    <w:tbl>
      <w:tblPr>
        <w:tblStyle w:val="Table"/>
        <w:tblW w:type="pct" w:w="5000"/>
        <w:tblLayout w:type="fixed"/>
        <w:tblLook w:firstRow="1" w:lastRow="0" w:firstColumn="0" w:lastColumn="0" w:noHBand="0" w:noVBand="0" w:val="0020"/>
      </w:tblPr>
      <w:tblGrid>
        <w:gridCol w:w="1827"/>
        <w:gridCol w:w="1827"/>
        <w:gridCol w:w="2132"/>
        <w:gridCol w:w="2132"/>
      </w:tblGrid>
      <w:tr>
        <w:trPr>
          <w:tblHeader w:val="on"/>
        </w:trPr>
        <w:tc>
          <w:tcPr/>
          <w:p>
            <w:pPr>
              <w:pStyle w:val="Compact"/>
            </w:pPr>
            <w:r>
              <w:t xml:space="preserve">Role</w:t>
            </w:r>
          </w:p>
        </w:tc>
        <w:tc>
          <w:tcPr/>
          <w:p>
            <w:pPr>
              <w:pStyle w:val="Compact"/>
            </w:pPr>
            <w:r>
              <w:t xml:space="preserve">Name</w:t>
            </w:r>
          </w:p>
        </w:tc>
        <w:tc>
          <w:tcPr/>
          <w:p>
            <w:pPr>
              <w:pStyle w:val="Compact"/>
            </w:pPr>
            <w:r>
              <w:t xml:space="preserve">Phone</w:t>
            </w:r>
          </w:p>
        </w:tc>
        <w:tc>
          <w:tcPr/>
          <w:p>
            <w:pPr>
              <w:pStyle w:val="Compact"/>
            </w:pPr>
            <w:r>
              <w:t xml:space="preserve">Email</w:t>
            </w:r>
          </w:p>
        </w:tc>
      </w:tr>
      <w:tr>
        <w:tc>
          <w:tcPr/>
          <w:p>
            <w:pPr>
              <w:pStyle w:val="Compact"/>
            </w:pPr>
            <w:r>
              <w:t xml:space="preserve">Technical Point of Contact</w:t>
            </w:r>
          </w:p>
        </w:tc>
        <w:tc>
          <w:tcPr/>
          <w:p>
            <w:pPr>
              <w:pStyle w:val="Compact"/>
            </w:pPr>
            <w:r>
              <w:t xml:space="preserve">Emma Vogel, P.E., Director of Engineering</w:t>
            </w:r>
          </w:p>
        </w:tc>
        <w:tc>
          <w:tcPr/>
          <w:p>
            <w:pPr>
              <w:pStyle w:val="Compact"/>
            </w:pPr>
            <w:r>
              <w:t xml:space="preserve">(423) 555-0167</w:t>
            </w:r>
          </w:p>
        </w:tc>
        <w:tc>
          <w:tcPr/>
          <w:p>
            <w:pPr>
              <w:pStyle w:val="Compact"/>
            </w:pPr>
            <w:r>
              <w:t xml:space="preserve">e.vogel@rapidresponsewater.example</w:t>
            </w:r>
          </w:p>
        </w:tc>
      </w:tr>
      <w:tr>
        <w:tc>
          <w:tcPr/>
          <w:p>
            <w:pPr>
              <w:pStyle w:val="Compact"/>
            </w:pPr>
            <w:r>
              <w:t xml:space="preserve">Business Point of Contact</w:t>
            </w:r>
          </w:p>
        </w:tc>
        <w:tc>
          <w:tcPr/>
          <w:p>
            <w:pPr>
              <w:pStyle w:val="Compact"/>
            </w:pPr>
            <w:r>
              <w:t xml:space="preserve">Daniel Fischer, VP Business Development</w:t>
            </w:r>
          </w:p>
        </w:tc>
        <w:tc>
          <w:tcPr/>
          <w:p>
            <w:pPr>
              <w:pStyle w:val="Compact"/>
            </w:pPr>
            <w:r>
              <w:t xml:space="preserve">(423) 555-0168</w:t>
            </w:r>
          </w:p>
        </w:tc>
        <w:tc>
          <w:tcPr/>
          <w:p>
            <w:pPr>
              <w:pStyle w:val="Compact"/>
            </w:pPr>
            <w:r>
              <w:t xml:space="preserve">d.fischer@rapidresponsewater.example</w:t>
            </w:r>
          </w:p>
        </w:tc>
      </w:tr>
      <w:tr>
        <w:tc>
          <w:tcPr/>
          <w:p>
            <w:pPr>
              <w:pStyle w:val="Compact"/>
            </w:pPr>
            <w:r>
              <w:t xml:space="preserve">Authorized Representative</w:t>
            </w:r>
          </w:p>
        </w:tc>
        <w:tc>
          <w:tcPr/>
          <w:p>
            <w:pPr>
              <w:pStyle w:val="Compact"/>
            </w:pPr>
            <w:r>
              <w:t xml:space="preserve">Michael Brennan, CEO</w:t>
            </w:r>
          </w:p>
        </w:tc>
        <w:tc>
          <w:tcPr/>
          <w:p>
            <w:pPr>
              <w:pStyle w:val="Compact"/>
            </w:pPr>
            <w:r>
              <w:t xml:space="preserve">(423) 555-0166</w:t>
            </w:r>
          </w:p>
        </w:tc>
        <w:tc>
          <w:tcPr/>
          <w:p>
            <w:pPr>
              <w:pStyle w:val="Compact"/>
            </w:pPr>
            <w:r>
              <w:t xml:space="preserve">m.brennan@rapidresponsewater.example</w:t>
            </w:r>
          </w:p>
        </w:tc>
      </w:tr>
    </w:tbl>
    <w:p>
      <w:pPr>
        <w:pStyle w:val="BodyText"/>
      </w:pPr>
      <w:r>
        <w:rPr>
          <w:b/>
          <w:bCs/>
        </w:rPr>
        <w:t xml:space="preserve">1.3 Proprietary Data</w:t>
      </w:r>
    </w:p>
    <w:p>
      <w:pPr>
        <w:pStyle w:val="BodyText"/>
      </w:pPr>
      <w:r>
        <w:t xml:space="preserve">This proposal contains proprietary data on Sheets 3, 5, 7, and 9. These sheets describe RapidResponse’s proprietary Modular Treatment Skid design, membrane-and-adsorbent cartridge selection logic, cost structure, and logistics deployment model. Each proprietary sheet is marked with the per-sheet legend in accordance with FAR 15.609(b).</w:t>
      </w:r>
    </w:p>
    <w:p>
      <w:pPr>
        <w:pStyle w:val="BodyText"/>
      </w:pPr>
      <w:r>
        <w:rPr>
          <w:b/>
          <w:bCs/>
        </w:rPr>
        <w:t xml:space="preserve">1.4 Other Parties Receiving This Proposal</w:t>
      </w:r>
    </w:p>
    <w:p>
      <w:pPr>
        <w:pStyle w:val="BodyText"/>
      </w:pPr>
      <w:r>
        <w:t xml:space="preserve">This proposal is being submitted only to the U.S. Environmental Protection Agency. RapidResponse has previously provided mobile treatment units to two state environmental agencies under commercial agreements and holds a GSA Multiple Award Schedule contract under Schedule 899 (Environmental Services), but has not provided these services to EPA or any federal agency under a federal contract.</w:t>
      </w:r>
    </w:p>
    <w:p>
      <w:pPr>
        <w:pStyle w:val="BodyText"/>
      </w:pPr>
      <w:r>
        <w:rPr>
          <w:b/>
          <w:bCs/>
        </w:rPr>
        <w:t xml:space="preserve">1.5 Date of Submission</w:t>
      </w:r>
    </w:p>
    <w:p>
      <w:pPr>
        <w:pStyle w:val="BodyText"/>
      </w:pPr>
      <w:r>
        <w:t xml:space="preserve">[Month Day, Year]</w:t>
      </w:r>
    </w:p>
    <w:p>
      <w:pPr>
        <w:pStyle w:val="BodyText"/>
      </w:pPr>
      <w:r>
        <w:rPr>
          <w:b/>
          <w:bCs/>
        </w:rPr>
        <w:t xml:space="preserve">1.6 Signature of Authorized Representative</w:t>
      </w:r>
    </w:p>
    <w:p>
      <w:pPr>
        <w:pStyle w:val="BodyText"/>
      </w:pPr>
      <w:r>
        <w:t xml:space="preserve">See title page.</w:t>
      </w:r>
    </w:p>
    <w:p>
      <w:r>
        <w:pict>
          <v:rect style="width:0;height:1.5pt" o:hralign="center" o:hrstd="t" o:hr="t"/>
        </w:pict>
      </w:r>
    </w:p>
    <w:bookmarkEnd w:id="11"/>
    <w:bookmarkStart w:id="12" w:name="part-2-technical-information-far-15.605b"/>
    <w:p>
      <w:pPr>
        <w:pStyle w:val="Heading2"/>
      </w:pPr>
      <w:r>
        <w:t xml:space="preserve">PART 2 — TECHNICAL INFORMATION (FAR 15.605(b))</w:t>
      </w:r>
    </w:p>
    <w:p>
      <w:pPr>
        <w:pStyle w:val="FirstParagraph"/>
      </w:pPr>
      <w:r>
        <w:rPr>
          <w:b/>
          <w:bCs/>
        </w:rPr>
        <w:t xml:space="preserve">2.1 Title and Abstract</w:t>
      </w:r>
    </w:p>
    <w:p>
      <w:pPr>
        <w:pStyle w:val="BodyText"/>
      </w:pPr>
      <w:r>
        <w:rPr>
          <w:b/>
          <w:bCs/>
        </w:rPr>
        <w:t xml:space="preserve">Title:</w:t>
      </w:r>
      <w:r>
        <w:t xml:space="preserve"> </w:t>
      </w:r>
      <w:r>
        <w:t xml:space="preserve">Turnkey Mobile Drinking Water Treatment Units for Rapid Deployment During Contamination Emergencies</w:t>
      </w:r>
    </w:p>
    <w:p>
      <w:pPr>
        <w:pStyle w:val="BodyText"/>
      </w:pPr>
      <w:r>
        <w:rPr>
          <w:b/>
          <w:bCs/>
        </w:rPr>
        <w:t xml:space="preserve">Abstract (199 words):</w:t>
      </w:r>
    </w:p>
    <w:p>
      <w:pPr>
        <w:pStyle w:val="BodyText"/>
      </w:pPr>
      <w:r>
        <w:t xml:space="preserve">RapidResponse Water Systems, LLC proposes to provide the Environmental Protection Agency’s Office of Water with pre-staged, turnkey mobile drinking water treatment units capable of rapid deployment to communities experiencing acute drinking water contamination emergencies. The proposed capability consists of six (6) trailer-mounted treatment units, each capable of producing 50,000 gallons per day of finished water meeting EPA Safe Drinking Water Act standards, using a modular combination of coagulation, multi-stage filtration, GAC adsorption, membrane filtration, and UV disinfection. Each unit can be deployed from a pre-staged location to a contamination event site within 24 hours using commercial trucking and can be operational within 6 hours of arrival. The units are specifically designed to handle the chemical and biological contamination profiles that have become increasingly common in recent years — including post-wildfire VOC contamination, cyanotoxin blooms, and PFAS incidents — without requiring incident-specific engineering. RapidResponse proposes a 24-month deployment-ready contract structure: six months for unit build and pre-staging, followed by 18 months of on-call readiness with response deployments billed separately under firm-fixed-price task orders. Total build and pre-staging price: $6,840,000. This effort directly supports EPA’s Drinking Water Protection Division emergency response mission.</w:t>
      </w:r>
    </w:p>
    <w:p>
      <w:pPr>
        <w:pStyle w:val="BodyText"/>
      </w:pPr>
      <w:r>
        <w:rPr>
          <w:b/>
          <w:bCs/>
        </w:rPr>
        <w:t xml:space="preserve">2.2 Objectives</w:t>
      </w:r>
    </w:p>
    <w:p>
      <w:pPr>
        <w:pStyle w:val="BodyText"/>
      </w:pPr>
      <w:r>
        <w:t xml:space="preserve">RapidResponse proposes the following specific, measurable objectives:</w:t>
      </w:r>
    </w:p>
    <w:p>
      <w:pPr>
        <w:numPr>
          <w:ilvl w:val="0"/>
          <w:numId w:val="1002"/>
        </w:numPr>
      </w:pPr>
      <w:r>
        <w:rPr>
          <w:b/>
          <w:bCs/>
        </w:rPr>
        <w:t xml:space="preserve">Design, build, and certify six (6) mobile drinking water treatment units</w:t>
      </w:r>
      <w:r>
        <w:t xml:space="preserve"> </w:t>
      </w:r>
      <w:r>
        <w:t xml:space="preserve">meeting EPA Safe Drinking Water Act finished-water quality standards, within six months of contract award, using RapidResponse’s existing validated treatment train design.</w:t>
      </w:r>
    </w:p>
    <w:p>
      <w:pPr>
        <w:numPr>
          <w:ilvl w:val="0"/>
          <w:numId w:val="1002"/>
        </w:numPr>
      </w:pPr>
      <w:r>
        <w:rPr>
          <w:b/>
          <w:bCs/>
        </w:rPr>
        <w:t xml:space="preserve">Pre-stage the six units</w:t>
      </w:r>
      <w:r>
        <w:t xml:space="preserve"> </w:t>
      </w:r>
      <w:r>
        <w:t xml:space="preserve">at three EPA-coordinated locations across the continental United States (two units per location), providing regional response coverage with a maximum 600-mile deployment radius to any continental U.S. location.</w:t>
      </w:r>
    </w:p>
    <w:p>
      <w:pPr>
        <w:numPr>
          <w:ilvl w:val="0"/>
          <w:numId w:val="1002"/>
        </w:numPr>
      </w:pPr>
      <w:r>
        <w:rPr>
          <w:b/>
          <w:bCs/>
        </w:rPr>
        <w:t xml:space="preserve">Maintain 24-hour deployment readiness</w:t>
      </w:r>
      <w:r>
        <w:t xml:space="preserve"> </w:t>
      </w:r>
      <w:r>
        <w:t xml:space="preserve">for each unit throughout an 18-month contract period, including routine maintenance, consumable replenishment, and on-call operator availability.</w:t>
      </w:r>
    </w:p>
    <w:p>
      <w:pPr>
        <w:numPr>
          <w:ilvl w:val="0"/>
          <w:numId w:val="1002"/>
        </w:numPr>
      </w:pPr>
      <w:r>
        <w:rPr>
          <w:b/>
          <w:bCs/>
        </w:rPr>
        <w:t xml:space="preserve">Demonstrate operational deployment</w:t>
      </w:r>
      <w:r>
        <w:t xml:space="preserve"> </w:t>
      </w:r>
      <w:r>
        <w:t xml:space="preserve">in a no-incident exercise during month 8, showing arrival within 24 hours and operational water production within 6 hours of arrival.</w:t>
      </w:r>
    </w:p>
    <w:p>
      <w:pPr>
        <w:numPr>
          <w:ilvl w:val="0"/>
          <w:numId w:val="1002"/>
        </w:numPr>
      </w:pPr>
      <w:r>
        <w:rPr>
          <w:b/>
          <w:bCs/>
        </w:rPr>
        <w:t xml:space="preserve">Provide EPA Regional Response Coordinators</w:t>
      </w:r>
      <w:r>
        <w:t xml:space="preserve"> </w:t>
      </w:r>
      <w:r>
        <w:t xml:space="preserve">with a single point of contact, a documented activation procedure, and a cost-transparent task order mechanism for real deployments.</w:t>
      </w:r>
    </w:p>
    <w:p>
      <w:pPr>
        <w:pStyle w:val="FirstParagraph"/>
      </w:pPr>
      <w:r>
        <w:rPr>
          <w:b/>
          <w:bCs/>
        </w:rPr>
        <w:t xml:space="preserve">2.3 Method of Approach</w:t>
      </w:r>
    </w:p>
    <w:p>
      <w:pPr>
        <w:pStyle w:val="BodyText"/>
      </w:pPr>
      <w:r>
        <w:t xml:space="preserve">The proposed effort will execute in three phases over 24 months.</w:t>
      </w:r>
    </w:p>
    <w:p>
      <w:pPr>
        <w:pStyle w:val="BodyText"/>
      </w:pPr>
      <w:r>
        <w:rPr>
          <w:b/>
          <w:bCs/>
        </w:rPr>
        <w:t xml:space="preserve">Phase 1 — Unit Build and Pre-Staging (Months 1–6).</w:t>
      </w:r>
      <w:r>
        <w:t xml:space="preserve"> </w:t>
      </w:r>
      <w:r>
        <w:t xml:space="preserve">RapidResponse will manufacture six mobile treatment units at its Chattanooga facility using its existing Modular Treatment Skid design and validated component catalog. Each unit consists of:</w:t>
      </w:r>
    </w:p>
    <w:p>
      <w:pPr>
        <w:pStyle w:val="Compact"/>
        <w:numPr>
          <w:ilvl w:val="0"/>
          <w:numId w:val="1003"/>
        </w:numPr>
      </w:pPr>
      <w:r>
        <w:t xml:space="preserve">A 45-foot enclosed flatbed trailer with hardened mechanical room</w:t>
      </w:r>
    </w:p>
    <w:p>
      <w:pPr>
        <w:pStyle w:val="Compact"/>
        <w:numPr>
          <w:ilvl w:val="0"/>
          <w:numId w:val="1003"/>
        </w:numPr>
      </w:pPr>
      <w:r>
        <w:t xml:space="preserve">Pre-treatment module (coagulation, sedimentation, pre-filtration)</w:t>
      </w:r>
    </w:p>
    <w:p>
      <w:pPr>
        <w:pStyle w:val="Compact"/>
        <w:numPr>
          <w:ilvl w:val="0"/>
          <w:numId w:val="1003"/>
        </w:numPr>
      </w:pPr>
      <w:r>
        <w:t xml:space="preserve">Granular activated carbon (GAC) adsorption train for VOCs and PFAS</w:t>
      </w:r>
    </w:p>
    <w:p>
      <w:pPr>
        <w:pStyle w:val="Compact"/>
        <w:numPr>
          <w:ilvl w:val="0"/>
          <w:numId w:val="1003"/>
        </w:numPr>
      </w:pPr>
      <w:r>
        <w:t xml:space="preserve">Low-pressure reverse osmosis membrane module</w:t>
      </w:r>
    </w:p>
    <w:p>
      <w:pPr>
        <w:pStyle w:val="Compact"/>
        <w:numPr>
          <w:ilvl w:val="0"/>
          <w:numId w:val="1003"/>
        </w:numPr>
      </w:pPr>
      <w:r>
        <w:t xml:space="preserve">UV disinfection and chlorine residual injection</w:t>
      </w:r>
    </w:p>
    <w:p>
      <w:pPr>
        <w:pStyle w:val="Compact"/>
        <w:numPr>
          <w:ilvl w:val="0"/>
          <w:numId w:val="1003"/>
        </w:numPr>
      </w:pPr>
      <w:r>
        <w:t xml:space="preserve">Onboard generator, water-quality sensors, and SCADA telemetry</w:t>
      </w:r>
    </w:p>
    <w:p>
      <w:pPr>
        <w:pStyle w:val="Compact"/>
        <w:numPr>
          <w:ilvl w:val="0"/>
          <w:numId w:val="1003"/>
        </w:numPr>
      </w:pPr>
      <w:r>
        <w:t xml:space="preserve">Connection hardware for raw water intake and finished water dispensing</w:t>
      </w:r>
    </w:p>
    <w:p>
      <w:pPr>
        <w:pStyle w:val="Compact"/>
        <w:numPr>
          <w:ilvl w:val="0"/>
          <w:numId w:val="1003"/>
        </w:numPr>
      </w:pPr>
      <w:r>
        <w:t xml:space="preserve">Storage capacity for 72 hours of consumables</w:t>
      </w:r>
    </w:p>
    <w:p>
      <w:pPr>
        <w:pStyle w:val="FirstParagraph"/>
      </w:pPr>
      <w:r>
        <w:t xml:space="preserve">Following manufacture, each unit will undergo NSF/ANSI 61 equipment certification and a 30-day validation run before being transported to its pre-staged location. RapidResponse will coordinate with EPA Regional Response Coordinators to select three pre-staging locations based on historical incident distribution, reasonable drive time, and host-site availability.</w:t>
      </w:r>
    </w:p>
    <w:p>
      <w:pPr>
        <w:pStyle w:val="BodyText"/>
      </w:pPr>
      <w:r>
        <w:rPr>
          <w:b/>
          <w:bCs/>
        </w:rPr>
        <w:t xml:space="preserve">Phase 2 — Readiness and Exercise (Months 7–18).</w:t>
      </w:r>
      <w:r>
        <w:t xml:space="preserve"> </w:t>
      </w:r>
      <w:r>
        <w:t xml:space="preserve">During this phase the six units will be maintained in 24-hour deployment-ready status. RapidResponse will provide:</w:t>
      </w:r>
    </w:p>
    <w:p>
      <w:pPr>
        <w:pStyle w:val="Compact"/>
        <w:numPr>
          <w:ilvl w:val="0"/>
          <w:numId w:val="1004"/>
        </w:numPr>
      </w:pPr>
      <w:r>
        <w:t xml:space="preserve">Monthly preventive maintenance at each pre-staged location</w:t>
      </w:r>
    </w:p>
    <w:p>
      <w:pPr>
        <w:pStyle w:val="Compact"/>
        <w:numPr>
          <w:ilvl w:val="0"/>
          <w:numId w:val="1004"/>
        </w:numPr>
      </w:pPr>
      <w:r>
        <w:t xml:space="preserve">Quarterly consumables inspection and replacement</w:t>
      </w:r>
    </w:p>
    <w:p>
      <w:pPr>
        <w:pStyle w:val="Compact"/>
        <w:numPr>
          <w:ilvl w:val="0"/>
          <w:numId w:val="1004"/>
        </w:numPr>
      </w:pPr>
      <w:r>
        <w:t xml:space="preserve">24/7 on-call operator roster (three operators per region, rotating)</w:t>
      </w:r>
    </w:p>
    <w:p>
      <w:pPr>
        <w:pStyle w:val="Compact"/>
        <w:numPr>
          <w:ilvl w:val="0"/>
          <w:numId w:val="1004"/>
        </w:numPr>
      </w:pPr>
      <w:r>
        <w:t xml:space="preserve">Activation phone line with a target 15-minute response-time to EPA activation calls</w:t>
      </w:r>
    </w:p>
    <w:p>
      <w:pPr>
        <w:pStyle w:val="Compact"/>
        <w:numPr>
          <w:ilvl w:val="0"/>
          <w:numId w:val="1004"/>
        </w:numPr>
      </w:pPr>
      <w:r>
        <w:t xml:space="preserve">A no-incident exercise in month 8 demonstrating full activation, deployment, and operational startup</w:t>
      </w:r>
    </w:p>
    <w:p>
      <w:pPr>
        <w:pStyle w:val="FirstParagraph"/>
      </w:pPr>
      <w:r>
        <w:rPr>
          <w:b/>
          <w:bCs/>
        </w:rPr>
        <w:t xml:space="preserve">Phase 3 — Steady-State Readiness (Months 19–24).</w:t>
      </w:r>
      <w:r>
        <w:t xml:space="preserve"> </w:t>
      </w:r>
      <w:r>
        <w:t xml:space="preserve">Continued readiness maintenance with quarterly reviews and an end-of-period readiness report to EPA.</w:t>
      </w:r>
    </w:p>
    <w:p>
      <w:pPr>
        <w:pStyle w:val="BodyText"/>
      </w:pPr>
      <w:r>
        <w:rPr>
          <w:b/>
          <w:bCs/>
        </w:rPr>
        <w:t xml:space="preserve">Separately</w:t>
      </w:r>
      <w:r>
        <w:t xml:space="preserve">, any actual incident deployments during Phases 2–3 will be billed under firm-fixed-price task orders with transparent pricing: a per-deployment activation fee, a daily operation fee, and materials-cost pass-through for consumables. Pricing for deployment task orders is specified in Section 3.1.</w:t>
      </w:r>
    </w:p>
    <w:p>
      <w:pPr>
        <w:pStyle w:val="BodyText"/>
      </w:pPr>
      <w:r>
        <w:rPr>
          <w:b/>
          <w:bCs/>
        </w:rPr>
        <w:t xml:space="preserve">2.4 Anticipated Results</w:t>
      </w:r>
    </w:p>
    <w:p>
      <w:pPr>
        <w:pStyle w:val="BodyText"/>
      </w:pPr>
      <w:r>
        <w:t xml:space="preserve">At the conclusion of the build and pre-staging phase (month 6), EPA will have:</w:t>
      </w:r>
    </w:p>
    <w:p>
      <w:pPr>
        <w:pStyle w:val="Compact"/>
        <w:numPr>
          <w:ilvl w:val="0"/>
          <w:numId w:val="1005"/>
        </w:numPr>
      </w:pPr>
      <w:r>
        <w:rPr>
          <w:b/>
          <w:bCs/>
        </w:rPr>
        <w:t xml:space="preserve">Six certified mobile drinking water treatment units</w:t>
      </w:r>
      <w:r>
        <w:t xml:space="preserve"> </w:t>
      </w:r>
      <w:r>
        <w:t xml:space="preserve">positioned at three regional locations covering the continental United States.</w:t>
      </w:r>
    </w:p>
    <w:p>
      <w:pPr>
        <w:pStyle w:val="Compact"/>
        <w:numPr>
          <w:ilvl w:val="0"/>
          <w:numId w:val="1005"/>
        </w:numPr>
      </w:pPr>
      <w:r>
        <w:rPr>
          <w:b/>
          <w:bCs/>
        </w:rPr>
        <w:t xml:space="preserve">A documented activation procedure</w:t>
      </w:r>
      <w:r>
        <w:t xml:space="preserve"> </w:t>
      </w:r>
      <w:r>
        <w:t xml:space="preserve">and single point of contact for EPA Regional Response Coordinators.</w:t>
      </w:r>
    </w:p>
    <w:p>
      <w:pPr>
        <w:pStyle w:val="Compact"/>
        <w:numPr>
          <w:ilvl w:val="0"/>
          <w:numId w:val="1005"/>
        </w:numPr>
      </w:pPr>
      <w:r>
        <w:rPr>
          <w:b/>
          <w:bCs/>
        </w:rPr>
        <w:t xml:space="preserve">A cost-transparent task order mechanism</w:t>
      </w:r>
      <w:r>
        <w:t xml:space="preserve"> </w:t>
      </w:r>
      <w:r>
        <w:t xml:space="preserve">for real incident deployments, avoiding the delay of issuing new solicitations during active crises.</w:t>
      </w:r>
    </w:p>
    <w:p>
      <w:pPr>
        <w:pStyle w:val="FirstParagraph"/>
      </w:pPr>
      <w:r>
        <w:t xml:space="preserve">At the conclusion of the 24-month contract period, EPA will have:</w:t>
      </w:r>
    </w:p>
    <w:p>
      <w:pPr>
        <w:pStyle w:val="Compact"/>
        <w:numPr>
          <w:ilvl w:val="0"/>
          <w:numId w:val="1006"/>
        </w:numPr>
      </w:pPr>
      <w:r>
        <w:t xml:space="preserve">A full readiness history, maintenance record, and exercise validation for each unit.</w:t>
      </w:r>
    </w:p>
    <w:p>
      <w:pPr>
        <w:pStyle w:val="Compact"/>
        <w:numPr>
          <w:ilvl w:val="0"/>
          <w:numId w:val="1006"/>
        </w:numPr>
      </w:pPr>
      <w:r>
        <w:t xml:space="preserve">Operational data from any real incident deployments that occurred during the period.</w:t>
      </w:r>
    </w:p>
    <w:p>
      <w:pPr>
        <w:pStyle w:val="Compact"/>
        <w:numPr>
          <w:ilvl w:val="0"/>
          <w:numId w:val="1006"/>
        </w:numPr>
      </w:pPr>
      <w:r>
        <w:t xml:space="preserve">A transition plan for continued readiness beyond the initial contract period, including a formal option for continued service.</w:t>
      </w:r>
    </w:p>
    <w:p>
      <w:pPr>
        <w:pStyle w:val="FirstParagraph"/>
      </w:pPr>
      <w:r>
        <w:rPr>
          <w:b/>
          <w:bCs/>
        </w:rPr>
        <w:t xml:space="preserve">Time-to-deploy advantage.</w:t>
      </w:r>
      <w:r>
        <w:t xml:space="preserve"> </w:t>
      </w:r>
      <w:r>
        <w:t xml:space="preserve">The single most important outcome is response time. A community experiencing a drinking water contamination emergency needs alternative finished water within 24–48 hours. The current EPA and FEMA response model relies on issuing task orders against existing contracts or mobilizing mutual-aid resources, both of which typically take 3–7 days. The proposed pre-staging model reduces response time to under 24 hours because the units and operators are already in place, already trained, already covered by contract, and already eligible for deployment.</w:t>
      </w:r>
    </w:p>
    <w:p>
      <w:pPr>
        <w:pStyle w:val="BodyText"/>
      </w:pPr>
      <w:r>
        <w:rPr>
          <w:b/>
          <w:bCs/>
        </w:rPr>
        <w:t xml:space="preserve">2.5 Mission Support Statement</w:t>
      </w:r>
    </w:p>
    <w:p>
      <w:pPr>
        <w:pStyle w:val="BodyText"/>
      </w:pPr>
      <w:r>
        <w:t xml:space="preserve">This effort directly supports the U.S. Environmental Protection Agency’s Office of Water, specifically the Drinking Water Protection Division’s responsibility to</w:t>
      </w:r>
      <w:r>
        <w:t xml:space="preserve"> </w:t>
      </w:r>
      <w:r>
        <w:rPr>
          <w:i/>
          <w:iCs/>
        </w:rPr>
        <w:t xml:space="preserve">“protect the safety of our nation’s drinking water supplies”</w:t>
      </w:r>
      <w:r>
        <w:t xml:space="preserve"> </w:t>
      </w:r>
      <w:r>
        <w:t xml:space="preserve">as authorized under the Safe Drinking Water Act (42 U.S.C. § 300f et seq.). The Drinking Water Protection Division coordinates with EPA Regional offices and state primacy agencies to respond to drinking water contamination emergencies.</w:t>
      </w:r>
    </w:p>
    <w:p>
      <w:pPr>
        <w:pStyle w:val="BodyText"/>
      </w:pPr>
      <w:r>
        <w:t xml:space="preserve">The proposed capability directly addresses three publicly recognized gaps in current emergency drinking water response:</w:t>
      </w:r>
    </w:p>
    <w:p>
      <w:pPr>
        <w:numPr>
          <w:ilvl w:val="0"/>
          <w:numId w:val="1007"/>
        </w:numPr>
      </w:pPr>
      <w:r>
        <w:rPr>
          <w:b/>
          <w:bCs/>
        </w:rPr>
        <w:t xml:space="preserve">Growing frequency of post-wildfire VOC contamination events.</w:t>
      </w:r>
      <w:r>
        <w:t xml:space="preserve"> </w:t>
      </w:r>
      <w:r>
        <w:t xml:space="preserve">Communities downstream of wildfires have experienced VOC contamination of drinking water supplies caused by burned plastic infrastructure, requiring extended alternative water supply. The proposed treatment train includes GAC adsorption specifically sized for VOC removal.</w:t>
      </w:r>
    </w:p>
    <w:p>
      <w:pPr>
        <w:numPr>
          <w:ilvl w:val="0"/>
          <w:numId w:val="1007"/>
        </w:numPr>
      </w:pPr>
      <w:r>
        <w:rPr>
          <w:b/>
          <w:bCs/>
        </w:rPr>
        <w:t xml:space="preserve">Harmful algal bloom (HAB) cyanotoxin events.</w:t>
      </w:r>
      <w:r>
        <w:t xml:space="preserve"> </w:t>
      </w:r>
      <w:r>
        <w:t xml:space="preserve">HAB events affecting source water have caused drinking water emergencies in multiple states, with limited available response infrastructure. The proposed membrane-plus-GAC train is effective against the common cyanotoxins of concern.</w:t>
      </w:r>
    </w:p>
    <w:p>
      <w:pPr>
        <w:numPr>
          <w:ilvl w:val="0"/>
          <w:numId w:val="1007"/>
        </w:numPr>
      </w:pPr>
      <w:r>
        <w:rPr>
          <w:b/>
          <w:bCs/>
        </w:rPr>
        <w:t xml:space="preserve">Emerging PFAS contamination events.</w:t>
      </w:r>
      <w:r>
        <w:t xml:space="preserve"> </w:t>
      </w:r>
      <w:r>
        <w:t xml:space="preserve">PFAS contamination has been detected in an increasing number of drinking water sources, and emergency response capability for PFAS-specific events is limited. The proposed treatment train includes GAC with PFAS-rated media for acute response.</w:t>
      </w:r>
    </w:p>
    <w:p>
      <w:pPr>
        <w:pStyle w:val="FirstParagraph"/>
      </w:pPr>
      <w:r>
        <w:t xml:space="preserve">RapidResponse’s HUBZone certification, existing GSA Schedule coverage, and validated equipment provide EPA with a direct contracting pathway that does not require a FAR 6.302-2 unusual-and-compelling-urgency J&amp;A for the readiness contract itself. Individual deployment task orders under the contract can then be activated rapidly under the established pricing and procedures.</w:t>
      </w:r>
    </w:p>
    <w:p>
      <w:pPr>
        <w:pStyle w:val="BodyText"/>
      </w:pPr>
      <w:r>
        <w:rPr>
          <w:b/>
          <w:bCs/>
        </w:rPr>
        <w:t xml:space="preserve">2.6 Key Personnel</w:t>
      </w:r>
    </w:p>
    <w:p>
      <w:pPr>
        <w:pStyle w:val="BodyText"/>
      </w:pPr>
      <w:r>
        <w:rPr>
          <w:b/>
          <w:bCs/>
        </w:rPr>
        <w:t xml:space="preserve">Emma Vogel, P.E., Director of Engineering (Technical Lead).</w:t>
      </w:r>
      <w:r>
        <w:t xml:space="preserve"> </w:t>
      </w:r>
      <w:r>
        <w:t xml:space="preserve">Ms. Vogel is a licensed Professional Engineer (Civil, Tennessee) with a B.S. in Environmental Engineering from the University of Tennessee and 18 years of experience in drinking water treatment design. She led the design of the Modular Treatment Skid and has personally commissioned 14 mobile units deployed to state-level emergency responses. She will commit 70% of her time to this effort during Phase 1 and 20% during Phases 2–3.</w:t>
      </w:r>
    </w:p>
    <w:p>
      <w:pPr>
        <w:pStyle w:val="BodyText"/>
      </w:pPr>
      <w:r>
        <w:rPr>
          <w:b/>
          <w:bCs/>
        </w:rPr>
        <w:t xml:space="preserve">Tomas Herrera, Director of Field Operations (Deployment Lead).</w:t>
      </w:r>
      <w:r>
        <w:t xml:space="preserve"> </w:t>
      </w:r>
      <w:r>
        <w:t xml:space="preserve">Mr. Herrera is a licensed Grade IV Water Treatment Operator with 22 years of operational experience, including 11 years leading field deployments for state emergency response. He will manage the three pre-staging locations and oversee the on-call operator roster. He will commit 50% of his time during Phase 1 and 100% during Phases 2–3.</w:t>
      </w:r>
    </w:p>
    <w:p>
      <w:pPr>
        <w:pStyle w:val="BodyText"/>
      </w:pPr>
      <w:r>
        <w:rPr>
          <w:b/>
          <w:bCs/>
        </w:rPr>
        <w:t xml:space="preserve">Linda Chen, Director of Logistics (Pre-Staging and Response Coordinator).</w:t>
      </w:r>
      <w:r>
        <w:t xml:space="preserve"> </w:t>
      </w:r>
      <w:r>
        <w:t xml:space="preserve">Ms. Chen holds an M.S. in Logistics and has 15 years of experience managing pre-staged equipment inventories and rapid deployment operations. She will commit 40% of her time across all phases.</w:t>
      </w:r>
    </w:p>
    <w:p>
      <w:pPr>
        <w:pStyle w:val="BodyText"/>
      </w:pPr>
      <w:r>
        <w:rPr>
          <w:b/>
          <w:bCs/>
        </w:rPr>
        <w:t xml:space="preserve">Daniel Fischer, VP Business Development (Program Manager).</w:t>
      </w:r>
      <w:r>
        <w:t xml:space="preserve"> </w:t>
      </w:r>
      <w:r>
        <w:t xml:space="preserve">Mr. Fischer has 20 years of federal and state contracting experience and will serve as the primary interface with the EPA contracting officer and program office. He will commit 25% of his time across all phases.</w:t>
      </w:r>
    </w:p>
    <w:p>
      <w:pPr>
        <w:pStyle w:val="BodyText"/>
      </w:pPr>
      <w:r>
        <w:t xml:space="preserve">Three Grade III/IV Water Treatment Operators (one per region) and six field technicians will be assigned to the effort. Resumes for all key personnel are available on request.</w:t>
      </w:r>
    </w:p>
    <w:p>
      <w:pPr>
        <w:pStyle w:val="BodyText"/>
      </w:pPr>
      <w:r>
        <w:rPr>
          <w:b/>
          <w:bCs/>
        </w:rPr>
        <w:t xml:space="preserve">2.7 Type of Support Needed from the Government</w:t>
      </w:r>
    </w:p>
    <w:p>
      <w:pPr>
        <w:pStyle w:val="Compact"/>
        <w:numPr>
          <w:ilvl w:val="0"/>
          <w:numId w:val="1008"/>
        </w:numPr>
      </w:pPr>
      <w:r>
        <w:rPr>
          <w:b/>
          <w:bCs/>
        </w:rPr>
        <w:t xml:space="preserve">Coordination with EPA Regional Response Coordinators</w:t>
      </w:r>
      <w:r>
        <w:t xml:space="preserve"> </w:t>
      </w:r>
      <w:r>
        <w:t xml:space="preserve">in Phase 1 to identify suitable pre-staging locations.</w:t>
      </w:r>
    </w:p>
    <w:p>
      <w:pPr>
        <w:pStyle w:val="Compact"/>
        <w:numPr>
          <w:ilvl w:val="0"/>
          <w:numId w:val="1008"/>
        </w:numPr>
      </w:pPr>
      <w:r>
        <w:rPr>
          <w:b/>
          <w:bCs/>
        </w:rPr>
        <w:t xml:space="preserve">EPA technical review and acceptance</w:t>
      </w:r>
      <w:r>
        <w:t xml:space="preserve"> </w:t>
      </w:r>
      <w:r>
        <w:t xml:space="preserve">of the treatment train design and test data prior to pre-staging.</w:t>
      </w:r>
    </w:p>
    <w:p>
      <w:pPr>
        <w:pStyle w:val="Compact"/>
        <w:numPr>
          <w:ilvl w:val="0"/>
          <w:numId w:val="1008"/>
        </w:numPr>
      </w:pPr>
      <w:r>
        <w:rPr>
          <w:b/>
          <w:bCs/>
        </w:rPr>
        <w:t xml:space="preserve">EPA regional and state primacy agency introductions</w:t>
      </w:r>
      <w:r>
        <w:t xml:space="preserve"> </w:t>
      </w:r>
      <w:r>
        <w:t xml:space="preserve">to build relationships with the agencies that would likely activate the units during a real emergency.</w:t>
      </w:r>
    </w:p>
    <w:p>
      <w:pPr>
        <w:pStyle w:val="Compact"/>
        <w:numPr>
          <w:ilvl w:val="0"/>
          <w:numId w:val="1008"/>
        </w:numPr>
      </w:pPr>
      <w:r>
        <w:rPr>
          <w:b/>
          <w:bCs/>
        </w:rPr>
        <w:t xml:space="preserve">Designated EPA activation point of contact</w:t>
      </w:r>
      <w:r>
        <w:t xml:space="preserve"> </w:t>
      </w:r>
      <w:r>
        <w:t xml:space="preserve">for the 24/7 activation line.</w:t>
      </w:r>
    </w:p>
    <w:p>
      <w:pPr>
        <w:pStyle w:val="FirstParagraph"/>
      </w:pPr>
      <w:r>
        <w:t xml:space="preserve">Host-site arrangements at the three pre-staging locations (e.g., concrete pad, electrical hookup, fenced storage area) will be provided by RapidResponse at its cost; no government facilities are required.</w:t>
      </w:r>
    </w:p>
    <w:p>
      <w:r>
        <w:pict>
          <v:rect style="width:0;height:1.5pt" o:hralign="center" o:hrstd="t" o:hr="t"/>
        </w:pict>
      </w:r>
    </w:p>
    <w:bookmarkEnd w:id="12"/>
    <w:bookmarkStart w:id="13" w:name="X28136ab4ee65456fbfc26342004afea7ffa49cd"/>
    <w:p>
      <w:pPr>
        <w:pStyle w:val="Heading2"/>
      </w:pPr>
      <w:r>
        <w:t xml:space="preserve">PART 3 — SUPPORTING INFORMATION (FAR 15.605(c))</w:t>
      </w:r>
    </w:p>
    <w:p>
      <w:pPr>
        <w:pStyle w:val="FirstParagraph"/>
      </w:pPr>
      <w:r>
        <w:rPr>
          <w:b/>
          <w:bCs/>
        </w:rPr>
        <w:t xml:space="preserve">3.1 Proposed Price</w:t>
      </w:r>
    </w:p>
    <w:p>
      <w:pPr>
        <w:pStyle w:val="BodyText"/>
      </w:pPr>
      <w:r>
        <w:rPr>
          <w:b/>
          <w:bCs/>
        </w:rPr>
        <w:t xml:space="preserve">Build and Pre-Staging Price (Phase 1):</w:t>
      </w:r>
      <w:r>
        <w:t xml:space="preserve"> </w:t>
      </w:r>
      <w:r>
        <w:t xml:space="preserve">$6,840,000 firm-fixed-price.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Cost Element</w:t>
            </w:r>
          </w:p>
        </w:tc>
        <w:tc>
          <w:tcPr/>
          <w:p>
            <w:pPr>
              <w:pStyle w:val="Compact"/>
            </w:pPr>
            <w:r>
              <w:t xml:space="preserve">Amount</w:t>
            </w:r>
          </w:p>
        </w:tc>
      </w:tr>
      <w:tr>
        <w:tc>
          <w:tcPr/>
          <w:p>
            <w:pPr>
              <w:pStyle w:val="Compact"/>
            </w:pPr>
            <w:r>
              <w:t xml:space="preserve">Unit Manufacturing (6 units × $850,000 each)</w:t>
            </w:r>
          </w:p>
        </w:tc>
        <w:tc>
          <w:tcPr/>
          <w:p>
            <w:pPr>
              <w:pStyle w:val="Compact"/>
            </w:pPr>
            <w:r>
              <w:t xml:space="preserve">$5,100,000</w:t>
            </w:r>
          </w:p>
        </w:tc>
      </w:tr>
      <w:tr>
        <w:tc>
          <w:tcPr/>
          <w:p>
            <w:pPr>
              <w:pStyle w:val="Compact"/>
            </w:pPr>
            <w:r>
              <w:t xml:space="preserve">NSF/ANSI Certification and Validation Testing</w:t>
            </w:r>
          </w:p>
        </w:tc>
        <w:tc>
          <w:tcPr/>
          <w:p>
            <w:pPr>
              <w:pStyle w:val="Compact"/>
            </w:pPr>
            <w:r>
              <w:t xml:space="preserve">$210,000</w:t>
            </w:r>
          </w:p>
        </w:tc>
      </w:tr>
      <w:tr>
        <w:tc>
          <w:tcPr/>
          <w:p>
            <w:pPr>
              <w:pStyle w:val="Compact"/>
            </w:pPr>
            <w:r>
              <w:t xml:space="preserve">Transport to Pre-Staged Locations</w:t>
            </w:r>
          </w:p>
        </w:tc>
        <w:tc>
          <w:tcPr/>
          <w:p>
            <w:pPr>
              <w:pStyle w:val="Compact"/>
            </w:pPr>
            <w:r>
              <w:t xml:space="preserve">$168,000</w:t>
            </w:r>
          </w:p>
        </w:tc>
      </w:tr>
      <w:tr>
        <w:tc>
          <w:tcPr/>
          <w:p>
            <w:pPr>
              <w:pStyle w:val="Compact"/>
            </w:pPr>
            <w:r>
              <w:t xml:space="preserve">Pre-Staging Site Preparation (equipment only)</w:t>
            </w:r>
          </w:p>
        </w:tc>
        <w:tc>
          <w:tcPr/>
          <w:p>
            <w:pPr>
              <w:pStyle w:val="Compact"/>
            </w:pPr>
            <w:r>
              <w:t xml:space="preserve">$245,000</w:t>
            </w:r>
          </w:p>
        </w:tc>
      </w:tr>
      <w:tr>
        <w:tc>
          <w:tcPr/>
          <w:p>
            <w:pPr>
              <w:pStyle w:val="Compact"/>
            </w:pPr>
            <w:r>
              <w:t xml:space="preserve">Engineering and Program Management Labor</w:t>
            </w:r>
          </w:p>
        </w:tc>
        <w:tc>
          <w:tcPr/>
          <w:p>
            <w:pPr>
              <w:pStyle w:val="Compact"/>
            </w:pPr>
            <w:r>
              <w:t xml:space="preserve">$632,000</w:t>
            </w:r>
          </w:p>
        </w:tc>
      </w:tr>
      <w:tr>
        <w:tc>
          <w:tcPr/>
          <w:p>
            <w:pPr>
              <w:pStyle w:val="Compact"/>
            </w:pPr>
            <w:r>
              <w:t xml:space="preserve">Indirect Costs and Overhead</w:t>
            </w:r>
          </w:p>
        </w:tc>
        <w:tc>
          <w:tcPr/>
          <w:p>
            <w:pPr>
              <w:pStyle w:val="Compact"/>
            </w:pPr>
            <w:r>
              <w:t xml:space="preserve">$380,000</w:t>
            </w:r>
          </w:p>
        </w:tc>
      </w:tr>
      <w:tr>
        <w:tc>
          <w:tcPr/>
          <w:p>
            <w:pPr>
              <w:pStyle w:val="Compact"/>
            </w:pPr>
            <w:r>
              <w:t xml:space="preserve">Fee</w:t>
            </w:r>
          </w:p>
        </w:tc>
        <w:tc>
          <w:tcPr/>
          <w:p>
            <w:pPr>
              <w:pStyle w:val="Compact"/>
            </w:pPr>
            <w:r>
              <w:t xml:space="preserve">$105,000</w:t>
            </w:r>
          </w:p>
        </w:tc>
      </w:tr>
      <w:tr>
        <w:tc>
          <w:tcPr/>
          <w:p>
            <w:pPr>
              <w:pStyle w:val="Compact"/>
            </w:pPr>
            <w:r>
              <w:rPr>
                <w:b/>
                <w:bCs/>
              </w:rPr>
              <w:t xml:space="preserve">Total</w:t>
            </w:r>
          </w:p>
        </w:tc>
        <w:tc>
          <w:tcPr/>
          <w:p>
            <w:pPr>
              <w:pStyle w:val="Compact"/>
            </w:pPr>
            <w:r>
              <w:rPr>
                <w:b/>
                <w:bCs/>
              </w:rPr>
              <w:t xml:space="preserve">$6,840,000</w:t>
            </w:r>
          </w:p>
        </w:tc>
      </w:tr>
    </w:tbl>
    <w:p>
      <w:pPr>
        <w:pStyle w:val="BodyText"/>
      </w:pPr>
      <w:r>
        <w:rPr>
          <w:b/>
          <w:bCs/>
        </w:rPr>
        <w:t xml:space="preserve">Readiness Price (Phases 2–3, 18 months):</w:t>
      </w:r>
      <w:r>
        <w:t xml:space="preserve"> </w:t>
      </w:r>
      <w:r>
        <w:t xml:space="preserve">$1,980,000 firm-fixed-price, monthly invoicing.</w:t>
      </w:r>
    </w:p>
    <w:tbl>
      <w:tblPr>
        <w:tblStyle w:val="Table"/>
        <w:tblW w:type="pct" w:w="5000"/>
        <w:tblLayout w:type="fixed"/>
        <w:tblLook w:firstRow="1" w:lastRow="0" w:firstColumn="0" w:lastColumn="0" w:noHBand="0" w:noVBand="0" w:val="0020"/>
      </w:tblPr>
      <w:tblGrid>
        <w:gridCol w:w="2520"/>
        <w:gridCol w:w="1620"/>
        <w:gridCol w:w="3780"/>
      </w:tblGrid>
      <w:tr>
        <w:trPr>
          <w:tblHeader w:val="on"/>
        </w:trPr>
        <w:tc>
          <w:tcPr/>
          <w:p>
            <w:pPr>
              <w:pStyle w:val="Compact"/>
            </w:pPr>
            <w:r>
              <w:t xml:space="preserve">Cost Element</w:t>
            </w:r>
          </w:p>
        </w:tc>
        <w:tc>
          <w:tcPr/>
          <w:p>
            <w:pPr>
              <w:pStyle w:val="Compact"/>
            </w:pPr>
            <w:r>
              <w:t xml:space="preserve">Monthly</w:t>
            </w:r>
          </w:p>
        </w:tc>
        <w:tc>
          <w:tcPr/>
          <w:p>
            <w:pPr>
              <w:pStyle w:val="Compact"/>
            </w:pPr>
            <w:r>
              <w:t xml:space="preserve">Total (18 months)</w:t>
            </w:r>
          </w:p>
        </w:tc>
      </w:tr>
      <w:tr>
        <w:tc>
          <w:tcPr/>
          <w:p>
            <w:pPr>
              <w:pStyle w:val="Compact"/>
            </w:pPr>
            <w:r>
              <w:t xml:space="preserve">Operator roster (9 operators across 3 regions)</w:t>
            </w:r>
          </w:p>
        </w:tc>
        <w:tc>
          <w:tcPr/>
          <w:p>
            <w:pPr>
              <w:pStyle w:val="Compact"/>
            </w:pPr>
            <w:r>
              <w:t xml:space="preserve">$72,000</w:t>
            </w:r>
          </w:p>
        </w:tc>
        <w:tc>
          <w:tcPr/>
          <w:p>
            <w:pPr>
              <w:pStyle w:val="Compact"/>
            </w:pPr>
            <w:r>
              <w:t xml:space="preserve">$1,296,000</w:t>
            </w:r>
          </w:p>
        </w:tc>
      </w:tr>
      <w:tr>
        <w:tc>
          <w:tcPr/>
          <w:p>
            <w:pPr>
              <w:pStyle w:val="Compact"/>
            </w:pPr>
            <w:r>
              <w:t xml:space="preserve">Preventive maintenance and consumables</w:t>
            </w:r>
          </w:p>
        </w:tc>
        <w:tc>
          <w:tcPr/>
          <w:p>
            <w:pPr>
              <w:pStyle w:val="Compact"/>
            </w:pPr>
            <w:r>
              <w:t xml:space="preserve">$22,000</w:t>
            </w:r>
          </w:p>
        </w:tc>
        <w:tc>
          <w:tcPr/>
          <w:p>
            <w:pPr>
              <w:pStyle w:val="Compact"/>
            </w:pPr>
            <w:r>
              <w:t xml:space="preserve">$396,000</w:t>
            </w:r>
          </w:p>
        </w:tc>
      </w:tr>
      <w:tr>
        <w:tc>
          <w:tcPr/>
          <w:p>
            <w:pPr>
              <w:pStyle w:val="Compact"/>
            </w:pPr>
            <w:r>
              <w:t xml:space="preserve">Activation line and 24/7 support</w:t>
            </w:r>
          </w:p>
        </w:tc>
        <w:tc>
          <w:tcPr/>
          <w:p>
            <w:pPr>
              <w:pStyle w:val="Compact"/>
            </w:pPr>
            <w:r>
              <w:t xml:space="preserve">$9,000</w:t>
            </w:r>
          </w:p>
        </w:tc>
        <w:tc>
          <w:tcPr/>
          <w:p>
            <w:pPr>
              <w:pStyle w:val="Compact"/>
            </w:pPr>
            <w:r>
              <w:t xml:space="preserve">$162,000</w:t>
            </w:r>
          </w:p>
        </w:tc>
      </w:tr>
      <w:tr>
        <w:tc>
          <w:tcPr/>
          <w:p>
            <w:pPr>
              <w:pStyle w:val="Compact"/>
            </w:pPr>
            <w:r>
              <w:t xml:space="preserve">Program management</w:t>
            </w:r>
          </w:p>
        </w:tc>
        <w:tc>
          <w:tcPr/>
          <w:p>
            <w:pPr>
              <w:pStyle w:val="Compact"/>
            </w:pPr>
            <w:r>
              <w:t xml:space="preserve">$7,000</w:t>
            </w:r>
          </w:p>
        </w:tc>
        <w:tc>
          <w:tcPr/>
          <w:p>
            <w:pPr>
              <w:pStyle w:val="Compact"/>
            </w:pPr>
            <w:r>
              <w:t xml:space="preserve">$126,000</w:t>
            </w:r>
          </w:p>
        </w:tc>
      </w:tr>
      <w:tr>
        <w:tc>
          <w:tcPr/>
          <w:p>
            <w:pPr>
              <w:pStyle w:val="Compact"/>
            </w:pPr>
            <w:r>
              <w:rPr>
                <w:b/>
                <w:bCs/>
              </w:rPr>
              <w:t xml:space="preserve">Monthly Total / 18-Month Readiness Total</w:t>
            </w:r>
          </w:p>
        </w:tc>
        <w:tc>
          <w:tcPr/>
          <w:p>
            <w:pPr>
              <w:pStyle w:val="Compact"/>
            </w:pPr>
            <w:r>
              <w:rPr>
                <w:b/>
                <w:bCs/>
              </w:rPr>
              <w:t xml:space="preserve">$110,000</w:t>
            </w:r>
          </w:p>
        </w:tc>
        <w:tc>
          <w:tcPr/>
          <w:p>
            <w:pPr>
              <w:pStyle w:val="Compact"/>
            </w:pPr>
            <w:r>
              <w:rPr>
                <w:b/>
                <w:bCs/>
              </w:rPr>
              <w:t xml:space="preserve">$1,980,000</w:t>
            </w:r>
          </w:p>
        </w:tc>
      </w:tr>
    </w:tbl>
    <w:p>
      <w:pPr>
        <w:pStyle w:val="BodyText"/>
      </w:pPr>
      <w:r>
        <w:rPr>
          <w:b/>
          <w:bCs/>
        </w:rPr>
        <w:t xml:space="preserve">Deployment Task Order Pricing (activated per-incident):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Price</w:t>
            </w:r>
          </w:p>
        </w:tc>
      </w:tr>
      <w:tr>
        <w:tc>
          <w:tcPr/>
          <w:p>
            <w:pPr>
              <w:pStyle w:val="Compact"/>
            </w:pPr>
            <w:r>
              <w:t xml:space="preserve">Activation and Mobilization Fee (per unit per deployment)</w:t>
            </w:r>
          </w:p>
        </w:tc>
        <w:tc>
          <w:tcPr/>
          <w:p>
            <w:pPr>
              <w:pStyle w:val="Compact"/>
            </w:pPr>
            <w:r>
              <w:t xml:space="preserve">$28,500</w:t>
            </w:r>
          </w:p>
        </w:tc>
      </w:tr>
      <w:tr>
        <w:tc>
          <w:tcPr/>
          <w:p>
            <w:pPr>
              <w:pStyle w:val="Compact"/>
            </w:pPr>
            <w:r>
              <w:t xml:space="preserve">Daily Operation Fee (per unit per day, up to 30 days)</w:t>
            </w:r>
          </w:p>
        </w:tc>
        <w:tc>
          <w:tcPr/>
          <w:p>
            <w:pPr>
              <w:pStyle w:val="Compact"/>
            </w:pPr>
            <w:r>
              <w:t xml:space="preserve">$9,200</w:t>
            </w:r>
          </w:p>
        </w:tc>
      </w:tr>
      <w:tr>
        <w:tc>
          <w:tcPr/>
          <w:p>
            <w:pPr>
              <w:pStyle w:val="Compact"/>
            </w:pPr>
            <w:r>
              <w:t xml:space="preserve">Daily Operation Fee (per unit per day, days 31–90)</w:t>
            </w:r>
          </w:p>
        </w:tc>
        <w:tc>
          <w:tcPr/>
          <w:p>
            <w:pPr>
              <w:pStyle w:val="Compact"/>
            </w:pPr>
            <w:r>
              <w:t xml:space="preserve">$7,800</w:t>
            </w:r>
          </w:p>
        </w:tc>
      </w:tr>
      <w:tr>
        <w:tc>
          <w:tcPr/>
          <w:p>
            <w:pPr>
              <w:pStyle w:val="Compact"/>
            </w:pPr>
            <w:r>
              <w:t xml:space="preserve">Consumables</w:t>
            </w:r>
          </w:p>
        </w:tc>
        <w:tc>
          <w:tcPr/>
          <w:p>
            <w:pPr>
              <w:pStyle w:val="Compact"/>
            </w:pPr>
            <w:r>
              <w:t xml:space="preserve">At cost + 10% handling</w:t>
            </w:r>
          </w:p>
        </w:tc>
      </w:tr>
    </w:tbl>
    <w:p>
      <w:pPr>
        <w:pStyle w:val="BodyText"/>
      </w:pPr>
      <w:r>
        <w:rPr>
          <w:b/>
          <w:bCs/>
        </w:rPr>
        <w:t xml:space="preserve">Total Contract Ceiling (build + readiness + estimated 6 incident deployments):</w:t>
      </w:r>
      <w:r>
        <w:t xml:space="preserve"> </w:t>
      </w:r>
      <w:r>
        <w:t xml:space="preserve">$11,500,000.</w:t>
      </w:r>
    </w:p>
    <w:p>
      <w:pPr>
        <w:pStyle w:val="BodyText"/>
      </w:pPr>
      <w:r>
        <w:t xml:space="preserve">A fully detailed line-item budget is available on request under FAR 15.609(a) proprietary protection.</w:t>
      </w:r>
    </w:p>
    <w:p>
      <w:pPr>
        <w:pStyle w:val="BodyText"/>
      </w:pPr>
      <w:r>
        <w:rPr>
          <w:b/>
          <w:bCs/>
        </w:rPr>
        <w:t xml:space="preserve">3.2 Period of Validity</w:t>
      </w:r>
    </w:p>
    <w:p>
      <w:pPr>
        <w:pStyle w:val="BodyText"/>
      </w:pPr>
      <w:r>
        <w:t xml:space="preserve">This proposal is valid for</w:t>
      </w:r>
      <w:r>
        <w:t xml:space="preserve"> </w:t>
      </w:r>
      <w:r>
        <w:rPr>
          <w:b/>
          <w:bCs/>
        </w:rPr>
        <w:t xml:space="preserve">twelve (12) months</w:t>
      </w:r>
      <w:r>
        <w:t xml:space="preserve"> </w:t>
      </w:r>
      <w:r>
        <w:t xml:space="preserve">from the date of submission.</w:t>
      </w:r>
    </w:p>
    <w:p>
      <w:pPr>
        <w:pStyle w:val="BodyText"/>
      </w:pPr>
      <w:r>
        <w:rPr>
          <w:b/>
          <w:bCs/>
        </w:rPr>
        <w:t xml:space="preserve">3.3 Type of Contract Preferred</w:t>
      </w:r>
    </w:p>
    <w:p>
      <w:pPr>
        <w:pStyle w:val="BodyText"/>
      </w:pPr>
      <w:r>
        <w:t xml:space="preserve">RapidResponse proposes a hybrid contract structure:</w:t>
      </w:r>
    </w:p>
    <w:p>
      <w:pPr>
        <w:pStyle w:val="Compact"/>
        <w:numPr>
          <w:ilvl w:val="0"/>
          <w:numId w:val="1009"/>
        </w:numPr>
      </w:pPr>
      <w:r>
        <w:rPr>
          <w:b/>
          <w:bCs/>
        </w:rPr>
        <w:t xml:space="preserve">Firm-fixed-price (FFP)</w:t>
      </w:r>
      <w:r>
        <w:t xml:space="preserve"> </w:t>
      </w:r>
      <w:r>
        <w:t xml:space="preserve">for Phase 1 build and pre-staging.</w:t>
      </w:r>
    </w:p>
    <w:p>
      <w:pPr>
        <w:pStyle w:val="Compact"/>
        <w:numPr>
          <w:ilvl w:val="0"/>
          <w:numId w:val="1009"/>
        </w:numPr>
      </w:pPr>
      <w:r>
        <w:rPr>
          <w:b/>
          <w:bCs/>
        </w:rPr>
        <w:t xml:space="preserve">Firm-fixed-price monthly readiness fee</w:t>
      </w:r>
      <w:r>
        <w:t xml:space="preserve"> </w:t>
      </w:r>
      <w:r>
        <w:t xml:space="preserve">for Phases 2–3.</w:t>
      </w:r>
    </w:p>
    <w:p>
      <w:pPr>
        <w:pStyle w:val="Compact"/>
        <w:numPr>
          <w:ilvl w:val="0"/>
          <w:numId w:val="1009"/>
        </w:numPr>
      </w:pPr>
      <w:r>
        <w:rPr>
          <w:b/>
          <w:bCs/>
        </w:rPr>
        <w:t xml:space="preserve">Indefinite delivery/indefinite quantity (IDIQ)</w:t>
      </w:r>
      <w:r>
        <w:t xml:space="preserve"> </w:t>
      </w:r>
      <w:r>
        <w:t xml:space="preserve">for real incident deployments, with firm-fixed-price task orders issued per incident under pre-negotiated unit pricing.</w:t>
      </w:r>
    </w:p>
    <w:p>
      <w:pPr>
        <w:pStyle w:val="FirstParagraph"/>
      </w:pPr>
      <w:r>
        <w:t xml:space="preserve">This structure gives EPA price certainty for the base capability while preserving flexibility to activate deployments rapidly when real incidents occur.</w:t>
      </w:r>
    </w:p>
    <w:p>
      <w:pPr>
        <w:pStyle w:val="BodyText"/>
      </w:pPr>
      <w:r>
        <w:rPr>
          <w:b/>
          <w:bCs/>
        </w:rPr>
        <w:t xml:space="preserve">3.4 Proposed Duration of Effort</w:t>
      </w:r>
    </w:p>
    <w:p>
      <w:pPr>
        <w:pStyle w:val="BodyText"/>
      </w:pPr>
      <w:r>
        <w:t xml:space="preserve">Twenty-four (24) months base period for the readiness contract, structured as Phase 1 (6 months) and Phases 2–3 (18 months combined). RapidResponse proposes two one-year option periods at the same monthly readiness rate, subject to price review.</w:t>
      </w:r>
    </w:p>
    <w:p>
      <w:pPr>
        <w:pStyle w:val="BodyText"/>
      </w:pPr>
      <w:r>
        <w:rPr>
          <w:b/>
          <w:bCs/>
        </w:rPr>
        <w:t xml:space="preserve">3.5 Organization Description, Experience, and Facilities</w:t>
      </w:r>
    </w:p>
    <w:p>
      <w:pPr>
        <w:pStyle w:val="BodyText"/>
      </w:pPr>
      <w:r>
        <w:t xml:space="preserve">RapidResponse Water Systems, LLC was founded in 2011 and specializes in rapidly-deployable water treatment systems. The company operates a 38,000-square-foot manufacturing and service facility in Chattanooga, TN, with a separate 9,000-square-foot engineering office. RapidResponse maintains a GSA Multiple Award Schedule contract (Schedule 899 Environmental Services) and has delivered over 40 custom-built mobile treatment systems since 2015.</w:t>
      </w:r>
    </w:p>
    <w:p>
      <w:pPr>
        <w:pStyle w:val="BodyText"/>
      </w:pPr>
      <w:r>
        <w:rPr>
          <w:b/>
          <w:bCs/>
        </w:rPr>
        <w:t xml:space="preserve">Past Performance:</w:t>
      </w:r>
    </w:p>
    <w:p>
      <w:pPr>
        <w:pStyle w:val="Compact"/>
        <w:numPr>
          <w:ilvl w:val="0"/>
          <w:numId w:val="1010"/>
        </w:numPr>
      </w:pPr>
      <w:r>
        <w:rPr>
          <w:b/>
          <w:bCs/>
        </w:rPr>
        <w:t xml:space="preserve">State of California Water Resources Control Board</w:t>
      </w:r>
      <w:r>
        <w:t xml:space="preserve"> </w:t>
      </w:r>
      <w:r>
        <w:t xml:space="preserve">— Wildfire VOC Response Mobile Treatment, $4.2M, 2023. Deployed 3 mobile units to a post-wildfire water emergency with 18-hour mobilization. Reference available on request.</w:t>
      </w:r>
    </w:p>
    <w:p>
      <w:pPr>
        <w:pStyle w:val="Compact"/>
        <w:numPr>
          <w:ilvl w:val="0"/>
          <w:numId w:val="1010"/>
        </w:numPr>
      </w:pPr>
      <w:r>
        <w:rPr>
          <w:b/>
          <w:bCs/>
        </w:rPr>
        <w:t xml:space="preserve">State of Ohio EPA</w:t>
      </w:r>
      <w:r>
        <w:t xml:space="preserve"> </w:t>
      </w:r>
      <w:r>
        <w:t xml:space="preserve">— HAB Cyanotoxin Emergency Mobile Treatment, $1.8M, 2022. Deployed 2 units during a Lake Erie HAB event. Reference available on request.</w:t>
      </w:r>
    </w:p>
    <w:p>
      <w:pPr>
        <w:pStyle w:val="Compact"/>
        <w:numPr>
          <w:ilvl w:val="0"/>
          <w:numId w:val="1010"/>
        </w:numPr>
      </w:pPr>
      <w:r>
        <w:rPr>
          <w:b/>
          <w:bCs/>
        </w:rPr>
        <w:t xml:space="preserve">State of Florida DEP</w:t>
      </w:r>
      <w:r>
        <w:t xml:space="preserve"> </w:t>
      </w:r>
      <w:r>
        <w:t xml:space="preserve">— Hurricane Response Pre-Staging Pilot, $2.1M, 2023. First private-sector pre-staged mobile treatment program in Florida. Reference available on request.</w:t>
      </w:r>
    </w:p>
    <w:p>
      <w:pPr>
        <w:pStyle w:val="Compact"/>
        <w:numPr>
          <w:ilvl w:val="0"/>
          <w:numId w:val="1010"/>
        </w:numPr>
      </w:pPr>
      <w:r>
        <w:rPr>
          <w:b/>
          <w:bCs/>
        </w:rPr>
        <w:t xml:space="preserve">[Industrial Customer]</w:t>
      </w:r>
      <w:r>
        <w:t xml:space="preserve"> </w:t>
      </w:r>
      <w:r>
        <w:t xml:space="preserve">— Contingency mobile treatment for critical process water, $3.5M, 2022–2024. Ongoing commercial engagement.</w:t>
      </w:r>
    </w:p>
    <w:p>
      <w:pPr>
        <w:pStyle w:val="FirstParagraph"/>
      </w:pPr>
      <w:r>
        <w:rPr>
          <w:b/>
          <w:bCs/>
        </w:rPr>
        <w:t xml:space="preserve">3.6 Organizational Conflicts of Interest, Security Clearances, Environmental</w:t>
      </w:r>
    </w:p>
    <w:p>
      <w:pPr>
        <w:pStyle w:val="BodyText"/>
      </w:pPr>
      <w:r>
        <w:rPr>
          <w:b/>
          <w:bCs/>
        </w:rPr>
        <w:t xml:space="preserve">Conflicts of Interest:</w:t>
      </w:r>
      <w:r>
        <w:t xml:space="preserve"> </w:t>
      </w:r>
      <w:r>
        <w:t xml:space="preserve">RapidResponse is not aware of any organizational conflicts of interest.</w:t>
      </w:r>
    </w:p>
    <w:p>
      <w:pPr>
        <w:pStyle w:val="BodyText"/>
      </w:pPr>
      <w:r>
        <w:rPr>
          <w:b/>
          <w:bCs/>
        </w:rPr>
        <w:t xml:space="preserve">Security Clearances:</w:t>
      </w:r>
      <w:r>
        <w:t xml:space="preserve"> </w:t>
      </w:r>
      <w:r>
        <w:t xml:space="preserve">Not applicable to this effort. All Phase 2–3 operators are licensed water treatment operators with standard background checks.</w:t>
      </w:r>
    </w:p>
    <w:p>
      <w:pPr>
        <w:pStyle w:val="BodyText"/>
      </w:pPr>
      <w:r>
        <w:rPr>
          <w:b/>
          <w:bCs/>
        </w:rPr>
        <w:t xml:space="preserve">Environmental Impacts:</w:t>
      </w:r>
      <w:r>
        <w:t xml:space="preserve"> </w:t>
      </w:r>
      <w:r>
        <w:t xml:space="preserve">All proposed units are designed and certified to NSF/ANSI 61 standards and produce drinking water meeting EPA Safe Drinking Water Act quality standards. The units themselves have a low environmental footprint; onboard generators meet current EPA Tier 4 emissions standards. Pre-staging locations will be chosen to minimize environmental disturbance and will operate under applicable state stormwater and siting requirements.</w:t>
      </w:r>
    </w:p>
    <w:p>
      <w:pPr>
        <w:pStyle w:val="BodyText"/>
      </w:pPr>
      <w:r>
        <w:rPr>
          <w:b/>
          <w:bCs/>
        </w:rPr>
        <w:t xml:space="preserve">3.7 Prior Agency Contacts</w:t>
      </w:r>
    </w:p>
    <w:p>
      <w:pPr>
        <w:pStyle w:val="BodyText"/>
      </w:pPr>
      <w:r>
        <w:t xml:space="preserve">The following preliminary contacts were made in preparation of this proposal, in accordance with FAR 15.604:</w:t>
      </w:r>
    </w:p>
    <w:p>
      <w:pPr>
        <w:pStyle w:val="Compact"/>
        <w:numPr>
          <w:ilvl w:val="0"/>
          <w:numId w:val="1011"/>
        </w:numPr>
      </w:pPr>
      <w:r>
        <w:rPr>
          <w:b/>
          <w:bCs/>
        </w:rPr>
        <w:t xml:space="preserve">[Name], EPA Office of Water Drinking Water Protection Division</w:t>
      </w:r>
      <w:r>
        <w:t xml:space="preserve"> </w:t>
      </w:r>
      <w:r>
        <w:t xml:space="preserve">— 25-minute phone call on [date] confirming EPA interest in mobile treatment pre-staging concepts and the appropriate submission process for an unsolicited proposal. The conversation was limited to the scope authorized under FAR 15.604.</w:t>
      </w:r>
    </w:p>
    <w:p>
      <w:pPr>
        <w:pStyle w:val="Compact"/>
        <w:numPr>
          <w:ilvl w:val="0"/>
          <w:numId w:val="1011"/>
        </w:numPr>
      </w:pPr>
      <w:r>
        <w:rPr>
          <w:b/>
          <w:bCs/>
        </w:rPr>
        <w:t xml:space="preserve">[Name], EPA Small Business Program</w:t>
      </w:r>
      <w:r>
        <w:t xml:space="preserve"> </w:t>
      </w:r>
      <w:r>
        <w:t xml:space="preserve">— Email exchange confirming the correct submission address.</w:t>
      </w:r>
    </w:p>
    <w:p>
      <w:pPr>
        <w:pStyle w:val="FirstParagraph"/>
      </w:pPr>
      <w:r>
        <w:t xml:space="preserve">No EPA personnel reviewed drafts of this proposal, provided guidance on its content, or directed any portion of its preparation.</w:t>
      </w:r>
    </w:p>
    <w:p>
      <w:r>
        <w:pict>
          <v:rect style="width:0;height:1.5pt" o:hralign="center" o:hrstd="t" o:hr="t"/>
        </w:pict>
      </w:r>
    </w:p>
    <w:bookmarkEnd w:id="13"/>
    <w:bookmarkStart w:id="14" w:name="how-to-adapt-this-template"/>
    <w:p>
      <w:pPr>
        <w:pStyle w:val="Heading2"/>
      </w:pPr>
      <w:r>
        <w:t xml:space="preserve">HOW TO ADAPT THIS TEMPLATE</w:t>
      </w:r>
    </w:p>
    <w:p>
      <w:pPr>
        <w:pStyle w:val="FirstParagraph"/>
      </w:pPr>
      <w:r>
        <w:rPr>
          <w:b/>
          <w:bCs/>
        </w:rPr>
        <w:t xml:space="preserve">Things you must change:</w:t>
      </w:r>
    </w:p>
    <w:p>
      <w:pPr>
        <w:pStyle w:val="Compact"/>
        <w:numPr>
          <w:ilvl w:val="0"/>
          <w:numId w:val="1012"/>
        </w:numPr>
      </w:pPr>
      <w:r>
        <w:t xml:space="preserve">Company name, address, contact information throughout</w:t>
      </w:r>
    </w:p>
    <w:p>
      <w:pPr>
        <w:pStyle w:val="Compact"/>
        <w:numPr>
          <w:ilvl w:val="0"/>
          <w:numId w:val="1013"/>
        </w:numPr>
      </w:pPr>
      <w:r>
        <w:t xml:space="preserve">Key personnel names and biographies in Section 2.6</w:t>
      </w:r>
    </w:p>
    <w:p>
      <w:pPr>
        <w:pStyle w:val="Compact"/>
        <w:numPr>
          <w:ilvl w:val="0"/>
          <w:numId w:val="1014"/>
        </w:numPr>
      </w:pPr>
      <w:r>
        <w:t xml:space="preserve">Technical content — the crisis type, the solution, the specific capability (Sections 2.1–2.4)</w:t>
      </w:r>
    </w:p>
    <w:p>
      <w:pPr>
        <w:pStyle w:val="Compact"/>
        <w:numPr>
          <w:ilvl w:val="0"/>
          <w:numId w:val="1015"/>
        </w:numPr>
      </w:pPr>
      <w:r>
        <w:t xml:space="preserve">Target agency and mission support statement (Section 2.5)</w:t>
      </w:r>
    </w:p>
    <w:p>
      <w:pPr>
        <w:pStyle w:val="Compact"/>
        <w:numPr>
          <w:ilvl w:val="0"/>
          <w:numId w:val="1016"/>
        </w:numPr>
      </w:pPr>
      <w:r>
        <w:t xml:space="preserve">Government support needed (Section 2.7)</w:t>
      </w:r>
    </w:p>
    <w:p>
      <w:pPr>
        <w:pStyle w:val="Compact"/>
        <w:numPr>
          <w:ilvl w:val="0"/>
          <w:numId w:val="1017"/>
        </w:numPr>
      </w:pPr>
      <w:r>
        <w:t xml:space="preserve">Cost estimates (Section 3.1)</w:t>
      </w:r>
    </w:p>
    <w:p>
      <w:pPr>
        <w:pStyle w:val="Compact"/>
        <w:numPr>
          <w:ilvl w:val="0"/>
          <w:numId w:val="1018"/>
        </w:numPr>
      </w:pPr>
      <w:r>
        <w:t xml:space="preserve">Past performance (Section 3.5)</w:t>
      </w:r>
    </w:p>
    <w:p>
      <w:pPr>
        <w:pStyle w:val="Compact"/>
        <w:numPr>
          <w:ilvl w:val="0"/>
          <w:numId w:val="1019"/>
        </w:numPr>
      </w:pPr>
      <w:r>
        <w:t xml:space="preserve">Prior agency contacts (Section 3.7)</w:t>
      </w:r>
    </w:p>
    <w:p>
      <w:pPr>
        <w:pStyle w:val="FirstParagraph"/>
      </w:pPr>
      <w:r>
        <w:rPr>
          <w:b/>
          <w:bCs/>
        </w:rPr>
        <w:t xml:space="preserve">Things you must keep unchanged:</w:t>
      </w:r>
    </w:p>
    <w:p>
      <w:pPr>
        <w:pStyle w:val="Compact"/>
        <w:numPr>
          <w:ilvl w:val="0"/>
          <w:numId w:val="1020"/>
        </w:numPr>
      </w:pPr>
      <w:r>
        <w:t xml:space="preserve">The exact text of the FAR 15.609(a) title-page legend</w:t>
      </w:r>
    </w:p>
    <w:p>
      <w:pPr>
        <w:pStyle w:val="Compact"/>
        <w:numPr>
          <w:ilvl w:val="0"/>
          <w:numId w:val="1021"/>
        </w:numPr>
      </w:pPr>
      <w:r>
        <w:t xml:space="preserve">The three-part structure</w:t>
      </w:r>
    </w:p>
    <w:p>
      <w:pPr>
        <w:pStyle w:val="Compact"/>
        <w:numPr>
          <w:ilvl w:val="0"/>
          <w:numId w:val="1022"/>
        </w:numPr>
      </w:pPr>
      <w:r>
        <w:t xml:space="preserve">FAR section citations in the headings</w:t>
      </w:r>
    </w:p>
    <w:p>
      <w:pPr>
        <w:pStyle w:val="Compact"/>
        <w:numPr>
          <w:ilvl w:val="0"/>
          <w:numId w:val="1023"/>
        </w:numPr>
      </w:pPr>
      <w:r>
        <w:t xml:space="preserve">The disclosure of other parties (Section 1.4)</w:t>
      </w:r>
    </w:p>
    <w:p>
      <w:pPr>
        <w:pStyle w:val="Compact"/>
        <w:numPr>
          <w:ilvl w:val="0"/>
          <w:numId w:val="1024"/>
        </w:numPr>
      </w:pPr>
      <w:r>
        <w:t xml:space="preserve">The prior agency contacts disclosure (Section 3.7)</w:t>
      </w:r>
    </w:p>
    <w:p>
      <w:pPr>
        <w:pStyle w:val="FirstParagraph"/>
      </w:pPr>
      <w:r>
        <w:rPr>
          <w:b/>
          <w:bCs/>
        </w:rPr>
        <w:t xml:space="preserve">Key adaptation tips specific to this template:</w:t>
      </w:r>
    </w:p>
    <w:p>
      <w:pPr>
        <w:numPr>
          <w:ilvl w:val="0"/>
          <w:numId w:val="1025"/>
        </w:numPr>
      </w:pPr>
      <w:r>
        <w:rPr>
          <w:b/>
          <w:bCs/>
        </w:rPr>
        <w:t xml:space="preserve">Your biggest risk is that the agency already has this capability under a standing contract.</w:t>
      </w:r>
      <w:r>
        <w:t xml:space="preserve"> </w:t>
      </w:r>
      <w:r>
        <w:t xml:space="preserve">Before submitting a Crisis / Rapid-Response proposal, spend real time on SAM.gov searching for existing IDIQs, BPAs, and GSA Schedule contracts in the same capability area. If the agency already has 30 pre-staged units through an existing contract, your proposal will be rejected under FAR 15.603(c) test #5. The innovation in a crisis-response proposal has to be in the</w:t>
      </w:r>
      <w:r>
        <w:t xml:space="preserve"> </w:t>
      </w:r>
      <w:r>
        <w:rPr>
          <w:i/>
          <w:iCs/>
        </w:rPr>
        <w:t xml:space="preserve">approach</w:t>
      </w:r>
      <w:r>
        <w:t xml:space="preserve"> </w:t>
      </w:r>
      <w:r>
        <w:t xml:space="preserve">— speed, modularity, specific capability, pre-staging model — not just</w:t>
      </w:r>
      <w:r>
        <w:t xml:space="preserve"> </w:t>
      </w:r>
      <w:r>
        <w:t xml:space="preserve">“we can do it.”</w:t>
      </w:r>
    </w:p>
    <w:p>
      <w:pPr>
        <w:numPr>
          <w:ilvl w:val="0"/>
          <w:numId w:val="1025"/>
        </w:numPr>
      </w:pPr>
      <w:r>
        <w:rPr>
          <w:b/>
          <w:bCs/>
        </w:rPr>
        <w:t xml:space="preserve">Time-to-deploy is your single most important selling point.</w:t>
      </w:r>
      <w:r>
        <w:t xml:space="preserve"> </w:t>
      </w:r>
      <w:r>
        <w:t xml:space="preserve">Quantify it. Agencies understand that traditional procurement timelines do not match crisis timelines. If you can credibly document that your approach cuts response time from 7 days to 24 hours, that is a compelling argument for a non-competitive structure.</w:t>
      </w:r>
    </w:p>
    <w:p>
      <w:pPr>
        <w:numPr>
          <w:ilvl w:val="0"/>
          <w:numId w:val="1025"/>
        </w:numPr>
      </w:pPr>
      <w:r>
        <w:rPr>
          <w:b/>
          <w:bCs/>
        </w:rPr>
        <w:t xml:space="preserve">Be explicit about the sole-source justification pathway you are offering.</w:t>
      </w:r>
      <w:r>
        <w:t xml:space="preserve"> </w:t>
      </w:r>
      <w:r>
        <w:t xml:space="preserve">In the proposal example above, the readiness contract is structured to not require an unusual-urgency J&amp;A at contract award time (because the need, while real, is not yet an active emergency), while individual deployment task orders under the contract can be activated under the contract’s own terms during real emergencies. That structure is intentional — it makes the base contract easier to award while preserving speed for real incidents. If your proposal uses a different structure, explain clearly how the contracting officer would justify non-competition.</w:t>
      </w:r>
    </w:p>
    <w:p>
      <w:pPr>
        <w:numPr>
          <w:ilvl w:val="0"/>
          <w:numId w:val="1025"/>
        </w:numPr>
      </w:pPr>
      <w:r>
        <w:rPr>
          <w:b/>
          <w:bCs/>
        </w:rPr>
        <w:t xml:space="preserve">Operate within scope.</w:t>
      </w:r>
      <w:r>
        <w:t xml:space="preserve"> </w:t>
      </w:r>
      <w:r>
        <w:t xml:space="preserve">Crisis response proposals tend to sprawl — once you are writing about an urgent need, it is tempting to add every related capability you sell. Resist. Keep the proposal focused on one clearly-defined, time-bound capability. You can propose additional capabilities as follow-on work.</w:t>
      </w:r>
    </w:p>
    <w:p>
      <w:pPr>
        <w:numPr>
          <w:ilvl w:val="0"/>
          <w:numId w:val="1025"/>
        </w:numPr>
      </w:pPr>
      <w:r>
        <w:rPr>
          <w:b/>
          <w:bCs/>
        </w:rPr>
        <w:t xml:space="preserve">Cost realism matters even more than usual.</w:t>
      </w:r>
      <w:r>
        <w:t xml:space="preserve"> </w:t>
      </w:r>
      <w:r>
        <w:t xml:space="preserve">Contracting officers are cautious with crisis procurement because there is a history of opportunistic pricing in emergencies. Make sure your pricing is demonstrably aligned with market rates and that your cost narrative explains</w:t>
      </w:r>
      <w:r>
        <w:t xml:space="preserve"> </w:t>
      </w:r>
      <w:r>
        <w:rPr>
          <w:i/>
          <w:iCs/>
        </w:rPr>
        <w:t xml:space="preserve">why</w:t>
      </w:r>
      <w:r>
        <w:t xml:space="preserve"> </w:t>
      </w:r>
      <w:r>
        <w:t xml:space="preserve">the numbers are what they are.</w:t>
      </w:r>
    </w:p>
    <w:p>
      <w:r>
        <w:pict>
          <v:rect style="width:0;height:1.5pt" o:hralign="center" o:hrstd="t" o:hr="t"/>
        </w:pict>
      </w:r>
    </w:p>
    <w:p>
      <w:pPr>
        <w:pStyle w:val="FirstParagraph"/>
      </w:pPr>
      <w:r>
        <w:rPr>
          <w:i/>
          <w:iCs/>
        </w:rPr>
        <w:t xml:space="preserve">End of General Sample 3 — Crisis / Rapid-Response Template</w:t>
      </w:r>
    </w:p>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2"/>
  </w:num>
  <w:num w:numId="1013">
    <w:abstractNumId w:val="992"/>
  </w:num>
  <w:num w:numId="1014">
    <w:abstractNumId w:val="992"/>
  </w:num>
  <w:num w:numId="1015">
    <w:abstractNumId w:val="992"/>
  </w:num>
  <w:num w:numId="1016">
    <w:abstractNumId w:val="992"/>
  </w:num>
  <w:num w:numId="1017">
    <w:abstractNumId w:val="992"/>
  </w:num>
  <w:num w:numId="1018">
    <w:abstractNumId w:val="992"/>
  </w:num>
  <w:num w:numId="1019">
    <w:abstractNumId w:val="992"/>
  </w:num>
  <w:num w:numId="1020">
    <w:abstractNumId w:val="992"/>
  </w:num>
  <w:num w:numId="1021">
    <w:abstractNumId w:val="992"/>
  </w:num>
  <w:num w:numId="1022">
    <w:abstractNumId w:val="992"/>
  </w:num>
  <w:num w:numId="1023">
    <w:abstractNumId w:val="992"/>
  </w:num>
  <w:num w:numId="1024">
    <w:abstractNumId w:val="992"/>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2026-04-11T19:52:26Z</dcterms:created>
  <dcterms:modified xsi:type="dcterms:W3CDTF">2026-04-11T19:52:26Z</dcterms:modified>
</cp:coreProperties>
</file>

<file path=docProps/custom.xml><?xml version="1.0" encoding="utf-8"?>
<Properties xmlns="http://schemas.openxmlformats.org/officeDocument/2006/custom-properties" xmlns:vt="http://schemas.openxmlformats.org/officeDocument/2006/docPropsVTypes"/>
</file>