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specific-sample-2"/>
    <w:p>
      <w:pPr>
        <w:pStyle w:val="Heading1"/>
      </w:pPr>
      <w:r>
        <w:t xml:space="preserve">SPECIFIC SAMPLE 2</w:t>
      </w:r>
    </w:p>
    <w:bookmarkStart w:id="10" w:name="X0dcb34d075259b113fb531f4857f8f4dbb2709d"/>
    <w:p>
      <w:pPr>
        <w:pStyle w:val="Heading2"/>
      </w:pPr>
      <w:r>
        <w:t xml:space="preserve">NeuroEdge — Wearable Cognitive Performance System for Special Operations Forces</w:t>
      </w:r>
    </w:p>
    <w:bookmarkStart w:id="9" w:name="X2d7df446e05b5662620bd36adcf59094576a740"/>
    <w:p>
      <w:pPr>
        <w:pStyle w:val="Heading3"/>
      </w:pPr>
      <w:r>
        <w:t xml:space="preserve">Submitted to the United States Special Operations Command (USSOCOM)</w:t>
      </w:r>
    </w:p>
    <w:p>
      <w:pPr>
        <w:pStyle w:val="BlockText"/>
      </w:pPr>
      <w:r>
        <w:rPr>
          <w:b/>
          <w:bCs/>
        </w:rPr>
        <w:t xml:space="preserve">NOTE TO READERS</w:t>
      </w:r>
    </w:p>
    <w:p>
      <w:pPr>
        <w:pStyle w:val="BlockText"/>
      </w:pPr>
      <w:r>
        <w:t xml:space="preserve">This is a fictional sample proposal provided for educational use. The company, people, pilot data, and prices are invented. The agency, regulations, program names (POTFF, Hyper-Enabled Operator/HEO, SOF AT&amp;L), and mission language are real. Use this sample to see how to structure a proof-of-concept R&amp;D proposal in the warfighter performance space. Do not copy and submit it — adapt the structure to your own idea.</w:t>
      </w:r>
    </w:p>
    <w:p>
      <w:pPr>
        <w:pStyle w:val="BlockText"/>
      </w:pPr>
      <w:r>
        <w:rPr>
          <w:b/>
          <w:bCs/>
        </w:rPr>
        <w:t xml:space="preserve">Why this sample works as a teaching example:</w:t>
      </w:r>
      <w:r>
        <w:t xml:space="preserve"> </w:t>
      </w:r>
      <w:r>
        <w:t xml:space="preserve">USSOCOM publishes Commercial Solutions Openings (CSOs) for innovation. A strong unsolicited proposal in this space has to be clearly different from what could be submitted through the CSO process — otherwise the contracting officer will redirect the submitter to the CSO instead. This sample addresses that concern head-on.</w:t>
      </w:r>
    </w:p>
    <w:p>
      <w:r>
        <w:pict>
          <v:rect style="width:0;height:1.5pt" o:hralign="center" o:hrstd="t" o:hr="t"/>
        </w:pict>
      </w:r>
    </w:p>
    <w:bookmarkEnd w:id="9"/>
    <w:bookmarkEnd w:id="10"/>
    <w:bookmarkStart w:id="11" w:name="title-page"/>
    <w:p>
      <w:pPr>
        <w:pStyle w:val="Heading2"/>
      </w:pPr>
      <w:r>
        <w:t xml:space="preserve">[TITLE PAGE]</w:t>
      </w:r>
    </w:p>
    <w:p>
      <w:pPr>
        <w:pStyle w:val="FirstParagraph"/>
      </w:pPr>
      <w:r>
        <w:rPr>
          <w:b/>
          <w:bCs/>
        </w:rPr>
        <w:t xml:space="preserve">APEX COGNITIVE LABS, INC.</w:t>
      </w:r>
      <w:r>
        <w:t xml:space="preserve"> </w:t>
      </w:r>
      <w:r>
        <w:t xml:space="preserve">2050 Research Park Drive</w:t>
      </w:r>
      <w:r>
        <w:t xml:space="preserve"> </w:t>
      </w:r>
      <w:r>
        <w:t xml:space="preserve">Boulder, CO 80301</w:t>
      </w:r>
      <w:r>
        <w:t xml:space="preserve"> </w:t>
      </w:r>
      <w:r>
        <w:t xml:space="preserve">Phone: (720) 555-0211 | Email: gov@apexcognitive.example</w:t>
      </w:r>
      <w:r>
        <w:t xml:space="preserve"> </w:t>
      </w:r>
      <w:r>
        <w:t xml:space="preserve">CAGE Code: 4YN33 | UEI: AC3G4H5J6K7L | NAICS: 541715</w:t>
      </w:r>
    </w:p>
    <w:p>
      <w:r>
        <w:pict>
          <v:rect style="width:0;height:1.5pt" o:hralign="center" o:hrstd="t" o:hr="t"/>
        </w:pict>
      </w:r>
    </w:p>
    <w:p>
      <w:pPr>
        <w:pStyle w:val="FirstParagraph"/>
      </w:pPr>
      <w:r>
        <w:rPr>
          <w:b/>
          <w:bCs/>
        </w:rPr>
        <w:t xml:space="preserve">UNSOLICITED PROPOSAL</w:t>
      </w:r>
    </w:p>
    <w:p>
      <w:pPr>
        <w:pStyle w:val="BodyText"/>
      </w:pPr>
      <w:r>
        <w:rPr>
          <w:b/>
          <w:bCs/>
        </w:rPr>
        <w:t xml:space="preserve">Title:</w:t>
      </w:r>
      <w:r>
        <w:t xml:space="preserve"> </w:t>
      </w:r>
      <w:r>
        <w:t xml:space="preserve">NeuroEdge — Wearable Cognitive Performance Enhancement System for Sustained-Operation SOF Operators</w:t>
      </w:r>
    </w:p>
    <w:p>
      <w:pPr>
        <w:pStyle w:val="BodyText"/>
      </w:pPr>
      <w:r>
        <w:rPr>
          <w:b/>
          <w:bCs/>
        </w:rPr>
        <w:t xml:space="preserve">Submitted to:</w:t>
      </w:r>
      <w:r>
        <w:t xml:space="preserve"> </w:t>
      </w:r>
      <w:r>
        <w:t xml:space="preserve">United States Special Operations Command</w:t>
      </w:r>
      <w:r>
        <w:t xml:space="preserve"> </w:t>
      </w:r>
      <w:r>
        <w:t xml:space="preserve">Special Operations Forces Acquisition, Technology and Logistics (SOF AT&amp;L)</w:t>
      </w:r>
      <w:r>
        <w:t xml:space="preserve"> </w:t>
      </w:r>
      <w:r>
        <w:t xml:space="preserve">MacDill Air Force Base, FL 33621</w:t>
      </w:r>
    </w:p>
    <w:p>
      <w:pPr>
        <w:pStyle w:val="BodyText"/>
      </w:pPr>
      <w:r>
        <w:rPr>
          <w:b/>
          <w:bCs/>
        </w:rPr>
        <w:t xml:space="preserve">Date of Submission:</w:t>
      </w:r>
      <w:r>
        <w:t xml:space="preserve"> </w:t>
      </w:r>
      <w:r>
        <w:t xml:space="preserve">[Month Day, Year]</w:t>
      </w:r>
      <w:r>
        <w:t xml:space="preserve"> </w:t>
      </w:r>
      <w:r>
        <w:rPr>
          <w:b/>
          <w:bCs/>
        </w:rPr>
        <w:t xml:space="preserve">Period of Validity:</w:t>
      </w:r>
      <w:r>
        <w:t xml:space="preserve"> </w:t>
      </w:r>
      <w:r>
        <w:t xml:space="preserve">Twelve (12) months from date of submission</w:t>
      </w:r>
    </w:p>
    <w:p>
      <w:r>
        <w:pict>
          <v:rect style="width:0;height:1.5pt" o:hralign="center" o:hrstd="t" o:hr="t"/>
        </w:pict>
      </w:r>
    </w:p>
    <w:p>
      <w:pPr>
        <w:pStyle w:val="FirstParagraph"/>
      </w:pPr>
      <w:r>
        <w:rPr>
          <w:b/>
          <w:bCs/>
        </w:rPr>
        <w:t xml:space="preserve">USE AND DISCLOSURE OF DATA</w:t>
      </w:r>
    </w:p>
    <w:p>
      <w:pPr>
        <w:pStyle w:val="BodyText"/>
      </w:pPr>
      <w:r>
        <w:t xml:space="preserve">This proposal includes data that shall not be disclosed outside the Government and shall not be duplicated, used, or disclosed — in whole or in part — for any purpose other than to evaluate this proposal. However, if a contract is awarded to this offeror as a result of — or in connection with — the submission of these data, the Government shall have the right to duplicate, use, or disclose the data to the extent provided in the resulting contract. This restriction does not limit the Government’s right to use information contained in these data if they are obtained from another source without restriction. The data subject to this restriction are contained in</w:t>
      </w:r>
      <w:r>
        <w:t xml:space="preserve"> </w:t>
      </w:r>
      <w:r>
        <w:rPr>
          <w:b/>
          <w:bCs/>
        </w:rPr>
        <w:t xml:space="preserve">Sheets 4, 6, 8–9, and 11</w:t>
      </w:r>
      <w:r>
        <w:t xml:space="preserve">.</w:t>
      </w:r>
    </w:p>
    <w:p>
      <w:r>
        <w:pict>
          <v:rect style="width:0;height:1.5pt" o:hralign="center" o:hrstd="t" o:hr="t"/>
        </w:pict>
      </w:r>
    </w:p>
    <w:p>
      <w:pPr>
        <w:pStyle w:val="FirstParagraph"/>
      </w:pPr>
      <w:r>
        <w:rPr>
          <w:i/>
          <w:iCs/>
        </w:rPr>
        <w:t xml:space="preserve">Authorized Representative:</w:t>
      </w:r>
    </w:p>
    <w:p>
      <w:pPr>
        <w:pStyle w:val="BodyText"/>
      </w:pPr>
      <w:r>
        <w:t xml:space="preserve">Dr. Samira Nasrallah, President and Chief Executive Officer</w:t>
      </w:r>
      <w:r>
        <w:t xml:space="preserve"> </w:t>
      </w:r>
      <w:r>
        <w:t xml:space="preserve">Apex Cognitive Labs, Inc.</w:t>
      </w:r>
      <w:r>
        <w:t xml:space="preserve"> </w:t>
      </w:r>
      <w:r>
        <w:t xml:space="preserve">Signature: ________________________________ Date: ____________</w:t>
      </w:r>
    </w:p>
    <w:p>
      <w:r>
        <w:pict>
          <v:rect style="width:0;height:1.5pt" o:hralign="center" o:hrstd="t" o:hr="t"/>
        </w:pict>
      </w:r>
    </w:p>
    <w:bookmarkEnd w:id="11"/>
    <w:bookmarkStart w:id="12" w:name="part-1-basic-information-far-15.605a"/>
    <w:p>
      <w:pPr>
        <w:pStyle w:val="Heading2"/>
      </w:pPr>
      <w:r>
        <w:t xml:space="preserve">PART 1 — BASIC INFORMATION (FAR 15.605(a))</w:t>
      </w:r>
    </w:p>
    <w:p>
      <w:pPr>
        <w:pStyle w:val="FirstParagraph"/>
      </w:pPr>
      <w:r>
        <w:rPr>
          <w:b/>
          <w:bCs/>
        </w:rPr>
        <w:t xml:space="preserve">1.1 Offeror</w:t>
      </w:r>
    </w:p>
    <w:p>
      <w:pPr>
        <w:pStyle w:val="BodyText"/>
      </w:pPr>
      <w:r>
        <w:t xml:space="preserve">Apex Cognitive Labs, Inc. is a for-profit small business incorporated in Colorado and headquartered in Boulder. The company was founded in 2020 as a spinout from the University of Colorado’s Department of Integrative Physiology and a partnering sleep research center. Apex Cognitive Labs specializes in non-invasive neurofeedback devices and cognitive performance measurement in sleep-deprived populations. The company employs 19 full-time researchers, engineers, and licensed sleep technologists.</w:t>
      </w:r>
    </w:p>
    <w:p>
      <w:pPr>
        <w:pStyle w:val="Compact"/>
        <w:numPr>
          <w:ilvl w:val="0"/>
          <w:numId w:val="1001"/>
        </w:numPr>
      </w:pPr>
      <w:r>
        <w:t xml:space="preserve">Registered in SAM.gov: Active</w:t>
      </w:r>
    </w:p>
    <w:p>
      <w:pPr>
        <w:pStyle w:val="Compact"/>
        <w:numPr>
          <w:ilvl w:val="0"/>
          <w:numId w:val="1001"/>
        </w:numPr>
      </w:pPr>
      <w:r>
        <w:t xml:space="preserve">NAICS Code: 541715 (Research and Development in the Physical, Engineering, and Life Sciences)</w:t>
      </w:r>
    </w:p>
    <w:p>
      <w:pPr>
        <w:pStyle w:val="Compact"/>
        <w:numPr>
          <w:ilvl w:val="0"/>
          <w:numId w:val="1001"/>
        </w:numPr>
      </w:pPr>
      <w:r>
        <w:t xml:space="preserve">Size Standard: 1,000 employees (Apex qualifies as small)</w:t>
      </w:r>
    </w:p>
    <w:p>
      <w:pPr>
        <w:pStyle w:val="Compact"/>
        <w:numPr>
          <w:ilvl w:val="0"/>
          <w:numId w:val="1001"/>
        </w:numPr>
      </w:pPr>
      <w:r>
        <w:t xml:space="preserve">Certifications: Service-Disabled Veteran-Owned Small Business (SDVOSB) (SBA-certified)</w:t>
      </w:r>
    </w:p>
    <w:p>
      <w:pPr>
        <w:pStyle w:val="FirstParagraph"/>
      </w:pPr>
      <w:r>
        <w:rPr>
          <w:b/>
          <w:bCs/>
        </w:rPr>
        <w:t xml:space="preserve">1.2 Points of Contact</w:t>
      </w:r>
    </w:p>
    <w:tbl>
      <w:tblPr>
        <w:tblStyle w:val="Table"/>
        <w:tblW w:type="pct" w:w="5000"/>
        <w:tblLayout w:type="fixed"/>
        <w:tblLook w:firstRow="1" w:lastRow="0" w:firstColumn="0" w:lastColumn="0" w:noHBand="0" w:noVBand="0" w:val="0020"/>
      </w:tblPr>
      <w:tblGrid>
        <w:gridCol w:w="1827"/>
        <w:gridCol w:w="1827"/>
        <w:gridCol w:w="2132"/>
        <w:gridCol w:w="2132"/>
      </w:tblGrid>
      <w:tr>
        <w:trPr>
          <w:tblHeader w:val="on"/>
        </w:trPr>
        <w:tc>
          <w:tcPr/>
          <w:p>
            <w:pPr>
              <w:pStyle w:val="Compact"/>
            </w:pPr>
            <w:r>
              <w:t xml:space="preserve">Role</w:t>
            </w:r>
          </w:p>
        </w:tc>
        <w:tc>
          <w:tcPr/>
          <w:p>
            <w:pPr>
              <w:pStyle w:val="Compact"/>
            </w:pPr>
            <w:r>
              <w:t xml:space="preserve">Name</w:t>
            </w:r>
          </w:p>
        </w:tc>
        <w:tc>
          <w:tcPr/>
          <w:p>
            <w:pPr>
              <w:pStyle w:val="Compact"/>
            </w:pPr>
            <w:r>
              <w:t xml:space="preserve">Phone</w:t>
            </w:r>
          </w:p>
        </w:tc>
        <w:tc>
          <w:tcPr/>
          <w:p>
            <w:pPr>
              <w:pStyle w:val="Compact"/>
            </w:pPr>
            <w:r>
              <w:t xml:space="preserve">Email</w:t>
            </w:r>
          </w:p>
        </w:tc>
      </w:tr>
      <w:tr>
        <w:tc>
          <w:tcPr/>
          <w:p>
            <w:pPr>
              <w:pStyle w:val="Compact"/>
            </w:pPr>
            <w:r>
              <w:t xml:space="preserve">Technical Point of Contact</w:t>
            </w:r>
          </w:p>
        </w:tc>
        <w:tc>
          <w:tcPr/>
          <w:p>
            <w:pPr>
              <w:pStyle w:val="Compact"/>
            </w:pPr>
            <w:r>
              <w:t xml:space="preserve">Dr. Brenda Acosta, Chief Scientific Officer</w:t>
            </w:r>
          </w:p>
        </w:tc>
        <w:tc>
          <w:tcPr/>
          <w:p>
            <w:pPr>
              <w:pStyle w:val="Compact"/>
            </w:pPr>
            <w:r>
              <w:t xml:space="preserve">(720) 555-0212</w:t>
            </w:r>
          </w:p>
        </w:tc>
        <w:tc>
          <w:tcPr/>
          <w:p>
            <w:pPr>
              <w:pStyle w:val="Compact"/>
            </w:pPr>
            <w:r>
              <w:t xml:space="preserve">b.acosta@apexcognitive.example</w:t>
            </w:r>
          </w:p>
        </w:tc>
      </w:tr>
      <w:tr>
        <w:tc>
          <w:tcPr/>
          <w:p>
            <w:pPr>
              <w:pStyle w:val="Compact"/>
            </w:pPr>
            <w:r>
              <w:t xml:space="preserve">Business Point of Contact</w:t>
            </w:r>
          </w:p>
        </w:tc>
        <w:tc>
          <w:tcPr/>
          <w:p>
            <w:pPr>
              <w:pStyle w:val="Compact"/>
            </w:pPr>
            <w:r>
              <w:t xml:space="preserve">Jeremy Winterbourne, Director of Government Programs</w:t>
            </w:r>
          </w:p>
        </w:tc>
        <w:tc>
          <w:tcPr/>
          <w:p>
            <w:pPr>
              <w:pStyle w:val="Compact"/>
            </w:pPr>
            <w:r>
              <w:t xml:space="preserve">(720) 555-0213</w:t>
            </w:r>
          </w:p>
        </w:tc>
        <w:tc>
          <w:tcPr/>
          <w:p>
            <w:pPr>
              <w:pStyle w:val="Compact"/>
            </w:pPr>
            <w:r>
              <w:t xml:space="preserve">j.winterbourne@apexcognitive.example</w:t>
            </w:r>
          </w:p>
        </w:tc>
      </w:tr>
      <w:tr>
        <w:tc>
          <w:tcPr/>
          <w:p>
            <w:pPr>
              <w:pStyle w:val="Compact"/>
            </w:pPr>
            <w:r>
              <w:t xml:space="preserve">Authorized Representative</w:t>
            </w:r>
          </w:p>
        </w:tc>
        <w:tc>
          <w:tcPr/>
          <w:p>
            <w:pPr>
              <w:pStyle w:val="Compact"/>
            </w:pPr>
            <w:r>
              <w:t xml:space="preserve">Dr. Samira Nasrallah, CEO</w:t>
            </w:r>
          </w:p>
        </w:tc>
        <w:tc>
          <w:tcPr/>
          <w:p>
            <w:pPr>
              <w:pStyle w:val="Compact"/>
            </w:pPr>
            <w:r>
              <w:t xml:space="preserve">(720) 555-0211</w:t>
            </w:r>
          </w:p>
        </w:tc>
        <w:tc>
          <w:tcPr/>
          <w:p>
            <w:pPr>
              <w:pStyle w:val="Compact"/>
            </w:pPr>
            <w:r>
              <w:t xml:space="preserve">s.nasrallah@apexcognitive.example</w:t>
            </w:r>
          </w:p>
        </w:tc>
      </w:tr>
    </w:tbl>
    <w:p>
      <w:pPr>
        <w:pStyle w:val="BodyText"/>
      </w:pPr>
      <w:r>
        <w:rPr>
          <w:b/>
          <w:bCs/>
        </w:rPr>
        <w:t xml:space="preserve">1.3 Proprietary Data</w:t>
      </w:r>
    </w:p>
    <w:p>
      <w:pPr>
        <w:pStyle w:val="BodyText"/>
      </w:pPr>
      <w:r>
        <w:t xml:space="preserve">This proposal contains proprietary data on Sheets 4, 6, 8–9, and 11. These sheets describe Apex Cognitive Labs’ proprietary neurofeedback algorithm (U.S. Patent 11,XXX,XXX), the device hardware reference design, pilot human-subject outcomes data, and cost structure. Each proprietary sheet is marked with the per-sheet legend in accordance with FAR 15.609(b).</w:t>
      </w:r>
    </w:p>
    <w:p>
      <w:pPr>
        <w:pStyle w:val="BodyText"/>
      </w:pPr>
      <w:r>
        <w:rPr>
          <w:b/>
          <w:bCs/>
        </w:rPr>
        <w:t xml:space="preserve">1.4 Other Parties Receiving This Proposal</w:t>
      </w:r>
    </w:p>
    <w:p>
      <w:pPr>
        <w:pStyle w:val="BodyText"/>
      </w:pPr>
      <w:r>
        <w:t xml:space="preserve">This proposal is being submitted only to USSOCOM SOF AT&amp;L. Apex Cognitive Labs has previously submitted related concept papers to the Defense Advanced Research Projects Agency (DARPA) and to the Army Research Laboratory (ARL); neither submission was selected for funding and both concerned earlier-stage basic research. Apex Cognitive Labs is not currently under any federal contract for this work.</w:t>
      </w:r>
    </w:p>
    <w:p>
      <w:pPr>
        <w:pStyle w:val="BodyText"/>
      </w:pPr>
      <w:r>
        <w:rPr>
          <w:b/>
          <w:bCs/>
        </w:rPr>
        <w:t xml:space="preserve">1.5 Date of Submission</w:t>
      </w:r>
    </w:p>
    <w:p>
      <w:pPr>
        <w:pStyle w:val="BodyText"/>
      </w:pPr>
      <w:r>
        <w:t xml:space="preserve">[Month Day, Year]</w:t>
      </w:r>
    </w:p>
    <w:p>
      <w:pPr>
        <w:pStyle w:val="BodyText"/>
      </w:pPr>
      <w:r>
        <w:rPr>
          <w:b/>
          <w:bCs/>
        </w:rPr>
        <w:t xml:space="preserve">1.6 Signature of Authorized Representative</w:t>
      </w:r>
    </w:p>
    <w:p>
      <w:pPr>
        <w:pStyle w:val="BodyText"/>
      </w:pPr>
      <w:r>
        <w:t xml:space="preserve">See title page.</w:t>
      </w:r>
    </w:p>
    <w:p>
      <w:r>
        <w:pict>
          <v:rect style="width:0;height:1.5pt" o:hralign="center" o:hrstd="t" o:hr="t"/>
        </w:pict>
      </w:r>
    </w:p>
    <w:bookmarkEnd w:id="12"/>
    <w:bookmarkStart w:id="13" w:name="part-2-technical-information-far-15.605b"/>
    <w:p>
      <w:pPr>
        <w:pStyle w:val="Heading2"/>
      </w:pPr>
      <w:r>
        <w:t xml:space="preserve">PART 2 — TECHNICAL INFORMATION (FAR 15.605(b))</w:t>
      </w:r>
    </w:p>
    <w:p>
      <w:pPr>
        <w:pStyle w:val="FirstParagraph"/>
      </w:pPr>
      <w:r>
        <w:rPr>
          <w:b/>
          <w:bCs/>
        </w:rPr>
        <w:t xml:space="preserve">2.1 Title and Abstract</w:t>
      </w:r>
    </w:p>
    <w:p>
      <w:pPr>
        <w:pStyle w:val="BodyText"/>
      </w:pPr>
      <w:r>
        <w:rPr>
          <w:b/>
          <w:bCs/>
        </w:rPr>
        <w:t xml:space="preserve">Title:</w:t>
      </w:r>
      <w:r>
        <w:t xml:space="preserve"> </w:t>
      </w:r>
      <w:r>
        <w:t xml:space="preserve">NeuroEdge — Wearable Cognitive Performance Enhancement System for Sustained-Operation SOF Operators</w:t>
      </w:r>
    </w:p>
    <w:p>
      <w:pPr>
        <w:pStyle w:val="BodyText"/>
      </w:pPr>
      <w:r>
        <w:rPr>
          <w:b/>
          <w:bCs/>
        </w:rPr>
        <w:t xml:space="preserve">Abstract (200 words):</w:t>
      </w:r>
    </w:p>
    <w:p>
      <w:pPr>
        <w:pStyle w:val="BodyText"/>
      </w:pPr>
      <w:r>
        <w:t xml:space="preserve">Apex Cognitive Labs, Inc. proposes NeuroEdge, a non-invasive wearable cognitive performance system designed to sustain operator decision-making and reaction time under extended sleep deprivation. NeuroEdge combines a lightweight forehead-worn neurofeedback device, a paired biometric mobile application, and a structured protocol of targeted micro-rest, hydration cues, and cognitive priming. In a 14-week institutional review board–approved pilot with 42 endurance-trained civilian subjects undergoing 72-hour sleep restriction protocols, NeuroEdge users demonstrated an 18.4% improvement in mean simple reaction time and a 23.7% improvement in complex decision-making accuracy compared to a matched control group. The device is non-pharmacological, non-invasive, and requires no implantation or surgical procedure. This proposal seeks USSOCOM SOF AT&amp;L support for a 24-month program consisting of (1) a military-population validation study of 60 SOF-qualified volunteers in partnership with a USSOCOM-designated Human Performance Program (HPP) site, (2) a field-environment refinement of the device for operational durability, and (3) a formal transition assessment for potential USSOCOM adoption as part of the Hyper-Enabled Operator (HEO) program. Total estimated price: $3,640,000. Apex Cognitive Labs holds U.S. Patent 11,XXX,XXX on the underlying neurofeedback approach.</w:t>
      </w:r>
    </w:p>
    <w:p>
      <w:pPr>
        <w:pStyle w:val="BodyText"/>
      </w:pPr>
      <w:r>
        <w:rPr>
          <w:b/>
          <w:bCs/>
        </w:rPr>
        <w:t xml:space="preserve">2.2 Objectives</w:t>
      </w:r>
    </w:p>
    <w:p>
      <w:pPr>
        <w:numPr>
          <w:ilvl w:val="0"/>
          <w:numId w:val="1002"/>
        </w:numPr>
      </w:pPr>
      <w:r>
        <w:rPr>
          <w:b/>
          <w:bCs/>
        </w:rPr>
        <w:t xml:space="preserve">Validate NeuroEdge performance in a military-population study</w:t>
      </w:r>
      <w:r>
        <w:t xml:space="preserve"> </w:t>
      </w:r>
      <w:r>
        <w:t xml:space="preserve">of 60 SOF-qualified volunteers, demonstrating ≥ 15% improvement in mean reaction time and ≥ 18% improvement in complex decision-making accuracy under simulated sustained-operation sleep restriction.</w:t>
      </w:r>
    </w:p>
    <w:p>
      <w:pPr>
        <w:numPr>
          <w:ilvl w:val="0"/>
          <w:numId w:val="1002"/>
        </w:numPr>
      </w:pPr>
      <w:r>
        <w:rPr>
          <w:b/>
          <w:bCs/>
        </w:rPr>
        <w:t xml:space="preserve">Harden the device and app</w:t>
      </w:r>
      <w:r>
        <w:t xml:space="preserve"> </w:t>
      </w:r>
      <w:r>
        <w:t xml:space="preserve">for operational durability against SOF field conditions (water, dust, temperature extremes, impact).</w:t>
      </w:r>
    </w:p>
    <w:p>
      <w:pPr>
        <w:numPr>
          <w:ilvl w:val="0"/>
          <w:numId w:val="1002"/>
        </w:numPr>
      </w:pPr>
      <w:r>
        <w:rPr>
          <w:b/>
          <w:bCs/>
        </w:rPr>
        <w:t xml:space="preserve">Characterize safety and side effects</w:t>
      </w:r>
      <w:r>
        <w:t xml:space="preserve"> </w:t>
      </w:r>
      <w:r>
        <w:t xml:space="preserve">through IRB-approved human subject monitoring.</w:t>
      </w:r>
    </w:p>
    <w:p>
      <w:pPr>
        <w:numPr>
          <w:ilvl w:val="0"/>
          <w:numId w:val="1002"/>
        </w:numPr>
      </w:pPr>
      <w:r>
        <w:rPr>
          <w:b/>
          <w:bCs/>
        </w:rPr>
        <w:t xml:space="preserve">Deliver a formal transition assessment report</w:t>
      </w:r>
      <w:r>
        <w:t xml:space="preserve"> </w:t>
      </w:r>
      <w:r>
        <w:t xml:space="preserve">suitable for supporting a USSOCOM decision on next steps (follow-on prototype buy, CSO transition, Program of Record consideration, or termination).</w:t>
      </w:r>
    </w:p>
    <w:p>
      <w:pPr>
        <w:pStyle w:val="FirstParagraph"/>
      </w:pPr>
      <w:r>
        <w:rPr>
          <w:b/>
          <w:bCs/>
        </w:rPr>
        <w:t xml:space="preserve">2.3 Method of Approach</w:t>
      </w:r>
    </w:p>
    <w:p>
      <w:pPr>
        <w:pStyle w:val="BodyText"/>
      </w:pPr>
      <w:r>
        <w:rPr>
          <w:b/>
          <w:bCs/>
        </w:rPr>
        <w:t xml:space="preserve">Phase 1 — Study Design, IRB, and Device Preparation (Months 1–5).</w:t>
      </w:r>
      <w:r>
        <w:t xml:space="preserve"> </w:t>
      </w:r>
      <w:r>
        <w:t xml:space="preserve">Apex Cognitive Labs will finalize a military-population study protocol in coordination with USSOCOM’s Preservation of the Force and Family (POTFF) program office and will submit the protocol to an appropriate IRB (either USSOCOM-affiliated or an independent commercial IRB acceptable to USSOCOM). Fifty devices will be configured for study use. Deliverables include IRB-approved Study Protocol, Device Preparation Report, and Participant Consent Package.</w:t>
      </w:r>
    </w:p>
    <w:p>
      <w:pPr>
        <w:pStyle w:val="BodyText"/>
      </w:pPr>
      <w:r>
        <w:rPr>
          <w:b/>
          <w:bCs/>
        </w:rPr>
        <w:t xml:space="preserve">Phase 2 — Military-Population Validation Study (Months 6–15).</w:t>
      </w:r>
      <w:r>
        <w:t xml:space="preserve"> </w:t>
      </w:r>
      <w:r>
        <w:t xml:space="preserve">Sixty SOF-qualified volunteers will complete the protocol at one or more USSOCOM-designated HPP sites (USASOC, NSW, MARSOC, or AFSOC). Protocol involves baseline assessment, randomization into experimental and control groups, a 72-hour sleep restriction exposure with standardized cognitive task batteries, a recovery window, and follow-up at 14 and 30 days. Deliverables include Monthly Study Reports, a Mid-Study Data Review, and a draft Study Results Report.</w:t>
      </w:r>
    </w:p>
    <w:p>
      <w:pPr>
        <w:pStyle w:val="BodyText"/>
      </w:pPr>
      <w:r>
        <w:rPr>
          <w:b/>
          <w:bCs/>
        </w:rPr>
        <w:t xml:space="preserve">Phase 3 — Operational Durability Refinement (Months 10–20, overlapping Phase 2).</w:t>
      </w:r>
      <w:r>
        <w:t xml:space="preserve"> </w:t>
      </w:r>
      <w:r>
        <w:t xml:space="preserve">In parallel with the validation study, Apex engineering staff will complete environmental testing of the device against MIL-STD-810 (relevant provisions) for water, dust, shock, vibration, and temperature. Device modifications identified during the study will be incorporated. Deliverables include an Environmental Test Report and a Final Device Reference Design.</w:t>
      </w:r>
    </w:p>
    <w:p>
      <w:pPr>
        <w:pStyle w:val="BodyText"/>
      </w:pPr>
      <w:r>
        <w:rPr>
          <w:b/>
          <w:bCs/>
        </w:rPr>
        <w:t xml:space="preserve">Phase 4 — Transition Assessment and Reporting (Months 21–24).</w:t>
      </w:r>
      <w:r>
        <w:t xml:space="preserve"> </w:t>
      </w:r>
      <w:r>
        <w:t xml:space="preserve">Apex will consolidate study results, durability testing, safety monitoring, and cost-of-ownership modeling into a formal Transition Assessment Report and will brief USSOCOM leadership. Deliverables include the Transition Assessment Report and a Final Technical Report.</w:t>
      </w:r>
    </w:p>
    <w:p>
      <w:pPr>
        <w:pStyle w:val="BodyText"/>
      </w:pPr>
      <w:r>
        <w:rPr>
          <w:b/>
          <w:bCs/>
        </w:rPr>
        <w:t xml:space="preserve">2.4 Anticipated Results</w:t>
      </w:r>
    </w:p>
    <w:p>
      <w:pPr>
        <w:pStyle w:val="Compact"/>
        <w:numPr>
          <w:ilvl w:val="0"/>
          <w:numId w:val="1003"/>
        </w:numPr>
      </w:pPr>
      <w:r>
        <w:rPr>
          <w:b/>
          <w:bCs/>
        </w:rPr>
        <w:t xml:space="preserve">A validated, military-population data set</w:t>
      </w:r>
      <w:r>
        <w:t xml:space="preserve"> </w:t>
      </w:r>
      <w:r>
        <w:t xml:space="preserve">demonstrating (or failing to demonstrate) NeuroEdge’s effectiveness under operational sleep restriction.</w:t>
      </w:r>
    </w:p>
    <w:p>
      <w:pPr>
        <w:pStyle w:val="Compact"/>
        <w:numPr>
          <w:ilvl w:val="0"/>
          <w:numId w:val="1003"/>
        </w:numPr>
      </w:pPr>
      <w:r>
        <w:rPr>
          <w:b/>
          <w:bCs/>
        </w:rPr>
        <w:t xml:space="preserve">A field-hardened, operationally durable version of the device</w:t>
      </w:r>
      <w:r>
        <w:t xml:space="preserve">, ready for potential follow-on acquisition.</w:t>
      </w:r>
    </w:p>
    <w:p>
      <w:pPr>
        <w:pStyle w:val="Compact"/>
        <w:numPr>
          <w:ilvl w:val="0"/>
          <w:numId w:val="1003"/>
        </w:numPr>
      </w:pPr>
      <w:r>
        <w:rPr>
          <w:b/>
          <w:bCs/>
        </w:rPr>
        <w:t xml:space="preserve">A safety and side-effect characterization</w:t>
      </w:r>
      <w:r>
        <w:t xml:space="preserve">, required for any future operational deployment.</w:t>
      </w:r>
    </w:p>
    <w:p>
      <w:pPr>
        <w:pStyle w:val="Compact"/>
        <w:numPr>
          <w:ilvl w:val="0"/>
          <w:numId w:val="1003"/>
        </w:numPr>
      </w:pPr>
      <w:r>
        <w:rPr>
          <w:b/>
          <w:bCs/>
        </w:rPr>
        <w:t xml:space="preserve">A transition-ready assessment</w:t>
      </w:r>
      <w:r>
        <w:t xml:space="preserve"> </w:t>
      </w:r>
      <w:r>
        <w:t xml:space="preserve">supporting USSOCOM’s decision on whether to pursue the technology through a follow-on CSO award, Program of Record, or other acquisition pathway.</w:t>
      </w:r>
    </w:p>
    <w:p>
      <w:pPr>
        <w:pStyle w:val="FirstParagraph"/>
      </w:pPr>
      <w:r>
        <w:rPr>
          <w:b/>
          <w:bCs/>
        </w:rPr>
        <w:t xml:space="preserve">2.5 Mission Support Statement</w:t>
      </w:r>
    </w:p>
    <w:p>
      <w:pPr>
        <w:pStyle w:val="BodyText"/>
      </w:pPr>
      <w:r>
        <w:t xml:space="preserve">This effort directly supports USSOCOM’s mission to</w:t>
      </w:r>
      <w:r>
        <w:t xml:space="preserve"> </w:t>
      </w:r>
      <w:r>
        <w:rPr>
          <w:i/>
          <w:iCs/>
        </w:rPr>
        <w:t xml:space="preserve">“provide the Nation with an agile, adaptable, and capable SOF force to address irregular, asymmetric, and unconventional threats.”</w:t>
      </w:r>
      <w:r>
        <w:t xml:space="preserve"> </w:t>
      </w:r>
      <w:r>
        <w:t xml:space="preserve">Within that mission, USSOCOM has prioritized operator performance optimization through the Preservation of the Force and Family (POTFF) program and the Hyper-Enabled Operator (HEO) initiative under SOF AT&amp;L.</w:t>
      </w:r>
    </w:p>
    <w:p>
      <w:pPr>
        <w:pStyle w:val="BodyText"/>
      </w:pPr>
      <w:r>
        <w:t xml:space="preserve">The HEO initiative, as publicly described by USSOCOM leadership, seeks to enhance the SOF operator’s cognition by increasing situational awareness, reducing cognitive load, and accelerating decision-making at the tactical edge. NeuroEdge directly addresses the</w:t>
      </w:r>
      <w:r>
        <w:t xml:space="preserve"> </w:t>
      </w:r>
      <w:r>
        <w:rPr>
          <w:i/>
          <w:iCs/>
        </w:rPr>
        <w:t xml:space="preserve">cognition</w:t>
      </w:r>
      <w:r>
        <w:t xml:space="preserve"> </w:t>
      </w:r>
      <w:r>
        <w:t xml:space="preserve">element of HEO — specifically the degradation of decision-making and reaction time under sustained operations with restricted sleep, a well-documented challenge for SOF operators in prolonged missions.</w:t>
      </w:r>
    </w:p>
    <w:p>
      <w:pPr>
        <w:pStyle w:val="BodyText"/>
      </w:pPr>
      <w:r>
        <w:t xml:space="preserve">Apex Cognitive Labs understands that USSOCOM SOF AT&amp;L maintains an active Commercial Solutions Opening (CSO) process for rapid innovation acquisition. Apex has reviewed the current CSO topics and confirmed that no active CSO topic addresses non-pharmacological wearable cognitive enhancement for sleep-restricted operators. This unsolicited proposal is therefore not an attempt to circumvent a competitive acquisition process. If USSOCOM determines that the topic is better suited to the CSO pathway, Apex is prepared to respond to a corresponding CSO instead.</w:t>
      </w:r>
    </w:p>
    <w:p>
      <w:pPr>
        <w:pStyle w:val="BodyText"/>
      </w:pPr>
      <w:r>
        <w:rPr>
          <w:b/>
          <w:bCs/>
        </w:rPr>
        <w:t xml:space="preserve">2.6 Key Personnel</w:t>
      </w:r>
    </w:p>
    <w:p>
      <w:pPr>
        <w:pStyle w:val="BodyText"/>
      </w:pPr>
      <w:r>
        <w:rPr>
          <w:b/>
          <w:bCs/>
        </w:rPr>
        <w:t xml:space="preserve">Dr. Brenda Acosta, Chief Scientific Officer (Principal Investigator).</w:t>
      </w:r>
      <w:r>
        <w:t xml:space="preserve"> </w:t>
      </w:r>
      <w:r>
        <w:t xml:space="preserve">Dr. Acosta holds a Ph.D. in Neuroscience from the University of Colorado and 15 years of research experience in sleep-restricted cognitive performance. She is the lead inventor on U.S. Patent 11,XXX,XXX. Prior to co-founding Apex Cognitive Labs she directed a sleep and performance research laboratory. Commitment: 70%.</w:t>
      </w:r>
    </w:p>
    <w:p>
      <w:pPr>
        <w:pStyle w:val="BodyText"/>
      </w:pPr>
      <w:r>
        <w:rPr>
          <w:b/>
          <w:bCs/>
        </w:rPr>
        <w:t xml:space="preserve">Dr. Michael Kovacs, Director of Military Research.</w:t>
      </w:r>
      <w:r>
        <w:t xml:space="preserve"> </w:t>
      </w:r>
      <w:r>
        <w:t xml:space="preserve">Dr. Kovacs holds a Ph.D. in Exercise Physiology and served 24 years in the U.S. Army Special Forces (retired Colonel), including multiple operational deployments and subsequent assignments with the USASOC Human Performance Program. He brings direct operational credibility and relationships with USSOCOM HPP stakeholders. Commitment: 60%.</w:t>
      </w:r>
    </w:p>
    <w:p>
      <w:pPr>
        <w:pStyle w:val="BodyText"/>
      </w:pPr>
      <w:r>
        <w:rPr>
          <w:b/>
          <w:bCs/>
        </w:rPr>
        <w:t xml:space="preserve">Dr. Tara Whitman, Senior Research Scientist (Human Subjects Lead).</w:t>
      </w:r>
      <w:r>
        <w:t xml:space="preserve"> </w:t>
      </w:r>
      <w:r>
        <w:t xml:space="preserve">Dr. Whitman holds a Ph.D. in Clinical Psychology and is an experienced IRB investigator with 12 years of federally-funded human subjects research. She will serve as the primary IRB liaison and participant safety monitor. Commitment: 40%.</w:t>
      </w:r>
    </w:p>
    <w:p>
      <w:pPr>
        <w:pStyle w:val="BodyText"/>
      </w:pPr>
      <w:r>
        <w:rPr>
          <w:b/>
          <w:bCs/>
        </w:rPr>
        <w:t xml:space="preserve">Jeremy Winterbourne, Director of Government Programs (Program Manager).</w:t>
      </w:r>
      <w:r>
        <w:t xml:space="preserve"> </w:t>
      </w:r>
      <w:r>
        <w:t xml:space="preserve">Mr. Winterbourne has 13 years of federal program management experience including prior work on DoD human performance research contracts. Commitment: 30%.</w:t>
      </w:r>
    </w:p>
    <w:p>
      <w:pPr>
        <w:pStyle w:val="BodyText"/>
      </w:pPr>
      <w:r>
        <w:t xml:space="preserve">Additional cleared research staff, a data scientist, and two engineers will be assigned. Resumes available on request.</w:t>
      </w:r>
    </w:p>
    <w:p>
      <w:pPr>
        <w:pStyle w:val="BodyText"/>
      </w:pPr>
      <w:r>
        <w:rPr>
          <w:b/>
          <w:bCs/>
        </w:rPr>
        <w:t xml:space="preserve">2.7 Type of Support Needed from the Government</w:t>
      </w:r>
    </w:p>
    <w:p>
      <w:pPr>
        <w:pStyle w:val="Compact"/>
        <w:numPr>
          <w:ilvl w:val="0"/>
          <w:numId w:val="1004"/>
        </w:numPr>
      </w:pPr>
      <w:r>
        <w:rPr>
          <w:b/>
          <w:bCs/>
        </w:rPr>
        <w:t xml:space="preserve">USSOCOM designation of a partner Human Performance Program (HPP) site</w:t>
      </w:r>
      <w:r>
        <w:t xml:space="preserve"> </w:t>
      </w:r>
      <w:r>
        <w:t xml:space="preserve">for the validation study — USASOC (Fort Liberty), NSW (Coronado), MARSOC (Camp Lejeune), or AFSOC (Hurlburt Field).</w:t>
      </w:r>
    </w:p>
    <w:p>
      <w:pPr>
        <w:pStyle w:val="Compact"/>
        <w:numPr>
          <w:ilvl w:val="0"/>
          <w:numId w:val="1004"/>
        </w:numPr>
      </w:pPr>
      <w:r>
        <w:rPr>
          <w:b/>
          <w:bCs/>
        </w:rPr>
        <w:t xml:space="preserve">Access to SOF-qualified volunteer participants</w:t>
      </w:r>
      <w:r>
        <w:t xml:space="preserve"> </w:t>
      </w:r>
      <w:r>
        <w:t xml:space="preserve">for the Phase 2 study, with recruitment handled through the designated HPP site.</w:t>
      </w:r>
    </w:p>
    <w:p>
      <w:pPr>
        <w:pStyle w:val="Compact"/>
        <w:numPr>
          <w:ilvl w:val="0"/>
          <w:numId w:val="1004"/>
        </w:numPr>
      </w:pPr>
      <w:r>
        <w:rPr>
          <w:b/>
          <w:bCs/>
        </w:rPr>
        <w:t xml:space="preserve">Coordination with USSOCOM medical and IRB authorities</w:t>
      </w:r>
      <w:r>
        <w:t xml:space="preserve"> </w:t>
      </w:r>
      <w:r>
        <w:t xml:space="preserve">for study protocol review and approval.</w:t>
      </w:r>
    </w:p>
    <w:p>
      <w:pPr>
        <w:pStyle w:val="Compact"/>
        <w:numPr>
          <w:ilvl w:val="0"/>
          <w:numId w:val="1004"/>
        </w:numPr>
      </w:pPr>
      <w:r>
        <w:rPr>
          <w:b/>
          <w:bCs/>
        </w:rPr>
        <w:t xml:space="preserve">Designated USSOCOM technical point of contact</w:t>
      </w:r>
      <w:r>
        <w:t xml:space="preserve"> </w:t>
      </w:r>
      <w:r>
        <w:t xml:space="preserve">for quarterly program reviews.</w:t>
      </w:r>
    </w:p>
    <w:p>
      <w:pPr>
        <w:pStyle w:val="Compact"/>
        <w:numPr>
          <w:ilvl w:val="0"/>
          <w:numId w:val="1004"/>
        </w:numPr>
      </w:pPr>
      <w:r>
        <w:rPr>
          <w:b/>
          <w:bCs/>
        </w:rPr>
        <w:t xml:space="preserve">Access to applicable operational environment test criteria</w:t>
      </w:r>
      <w:r>
        <w:t xml:space="preserve"> </w:t>
      </w:r>
      <w:r>
        <w:t xml:space="preserve">(MIL-STD-810 test profiles) as necessary.</w:t>
      </w:r>
    </w:p>
    <w:p>
      <w:r>
        <w:pict>
          <v:rect style="width:0;height:1.5pt" o:hralign="center" o:hrstd="t" o:hr="t"/>
        </w:pict>
      </w:r>
    </w:p>
    <w:bookmarkEnd w:id="13"/>
    <w:bookmarkStart w:id="14" w:name="X28136ab4ee65456fbfc26342004afea7ffa49cd"/>
    <w:p>
      <w:pPr>
        <w:pStyle w:val="Heading2"/>
      </w:pPr>
      <w:r>
        <w:t xml:space="preserve">PART 3 — SUPPORTING INFORMATION (FAR 15.605(c))</w:t>
      </w:r>
    </w:p>
    <w:p>
      <w:pPr>
        <w:pStyle w:val="FirstParagraph"/>
      </w:pPr>
      <w:r>
        <w:rPr>
          <w:b/>
          <w:bCs/>
        </w:rPr>
        <w:t xml:space="preserve">3.1 Proposed Price</w:t>
      </w:r>
    </w:p>
    <w:p>
      <w:pPr>
        <w:pStyle w:val="BodyText"/>
      </w:pPr>
      <w:r>
        <w:t xml:space="preserve">Total estimated price:</w:t>
      </w:r>
      <w:r>
        <w:t xml:space="preserve"> </w:t>
      </w:r>
      <w:r>
        <w:rPr>
          <w:b/>
          <w:bCs/>
        </w:rPr>
        <w:t xml:space="preserve">$3,640,000</w:t>
      </w:r>
      <w:r>
        <w:t xml:space="preserve"> </w:t>
      </w:r>
      <w:r>
        <w:t xml:space="preserve">(cost-plus-fixed-fee, given the R&amp;D nature of the effort).</w:t>
      </w:r>
    </w:p>
    <w:p>
      <w:pPr>
        <w:pStyle w:val="BodyText"/>
      </w:pPr>
      <w:r>
        <w:t xml:space="preserve">Preliminary allocation:</w:t>
      </w:r>
    </w:p>
    <w:tbl>
      <w:tblPr>
        <w:tblStyle w:val="Table"/>
        <w:tblW w:type="pct" w:w="5000"/>
        <w:tblLayout w:type="fixed"/>
        <w:tblLook w:firstRow="1" w:lastRow="0" w:firstColumn="0" w:lastColumn="0" w:noHBand="0" w:noVBand="0" w:val="0020"/>
      </w:tblPr>
      <w:tblGrid>
        <w:gridCol w:w="5040"/>
        <w:gridCol w:w="2880"/>
      </w:tblGrid>
      <w:tr>
        <w:trPr>
          <w:tblHeader w:val="on"/>
        </w:trPr>
        <w:tc>
          <w:tcPr/>
          <w:p>
            <w:pPr>
              <w:pStyle w:val="Compact"/>
            </w:pPr>
            <w:r>
              <w:t xml:space="preserve">Cost Element</w:t>
            </w:r>
          </w:p>
        </w:tc>
        <w:tc>
          <w:tcPr/>
          <w:p>
            <w:pPr>
              <w:pStyle w:val="Compact"/>
            </w:pPr>
            <w:r>
              <w:t xml:space="preserve">Amount</w:t>
            </w:r>
          </w:p>
        </w:tc>
      </w:tr>
      <w:tr>
        <w:tc>
          <w:tcPr/>
          <w:p>
            <w:pPr>
              <w:pStyle w:val="Compact"/>
            </w:pPr>
            <w:r>
              <w:t xml:space="preserve">Direct Labor (principal investigator, military research director, study staff, engineering staff)</w:t>
            </w:r>
          </w:p>
        </w:tc>
        <w:tc>
          <w:tcPr/>
          <w:p>
            <w:pPr>
              <w:pStyle w:val="Compact"/>
            </w:pPr>
            <w:r>
              <w:t xml:space="preserve">$1,480,000</w:t>
            </w:r>
          </w:p>
        </w:tc>
      </w:tr>
      <w:tr>
        <w:tc>
          <w:tcPr/>
          <w:p>
            <w:pPr>
              <w:pStyle w:val="Compact"/>
            </w:pPr>
            <w:r>
              <w:t xml:space="preserve">Device Manufacture and Instrumentation (50 study devices plus 10 durability test units)</w:t>
            </w:r>
          </w:p>
        </w:tc>
        <w:tc>
          <w:tcPr/>
          <w:p>
            <w:pPr>
              <w:pStyle w:val="Compact"/>
            </w:pPr>
            <w:r>
              <w:t xml:space="preserve">$585,000</w:t>
            </w:r>
          </w:p>
        </w:tc>
      </w:tr>
      <w:tr>
        <w:tc>
          <w:tcPr/>
          <w:p>
            <w:pPr>
              <w:pStyle w:val="Compact"/>
            </w:pPr>
            <w:r>
              <w:t xml:space="preserve">IRB and Human Subjects Protection Costs</w:t>
            </w:r>
          </w:p>
        </w:tc>
        <w:tc>
          <w:tcPr/>
          <w:p>
            <w:pPr>
              <w:pStyle w:val="Compact"/>
            </w:pPr>
            <w:r>
              <w:t xml:space="preserve">$92,000</w:t>
            </w:r>
          </w:p>
        </w:tc>
      </w:tr>
      <w:tr>
        <w:tc>
          <w:tcPr/>
          <w:p>
            <w:pPr>
              <w:pStyle w:val="Compact"/>
            </w:pPr>
            <w:r>
              <w:t xml:space="preserve">Participant Stipends and Study Operations (at the partner HPP site)</w:t>
            </w:r>
          </w:p>
        </w:tc>
        <w:tc>
          <w:tcPr/>
          <w:p>
            <w:pPr>
              <w:pStyle w:val="Compact"/>
            </w:pPr>
            <w:r>
              <w:t xml:space="preserve">$240,000</w:t>
            </w:r>
          </w:p>
        </w:tc>
      </w:tr>
      <w:tr>
        <w:tc>
          <w:tcPr/>
          <w:p>
            <w:pPr>
              <w:pStyle w:val="Compact"/>
            </w:pPr>
            <w:r>
              <w:t xml:space="preserve">Environmental and Durability Testing (MIL-STD-810 test suite)</w:t>
            </w:r>
          </w:p>
        </w:tc>
        <w:tc>
          <w:tcPr/>
          <w:p>
            <w:pPr>
              <w:pStyle w:val="Compact"/>
            </w:pPr>
            <w:r>
              <w:t xml:space="preserve">$165,000</w:t>
            </w:r>
          </w:p>
        </w:tc>
      </w:tr>
      <w:tr>
        <w:tc>
          <w:tcPr/>
          <w:p>
            <w:pPr>
              <w:pStyle w:val="Compact"/>
            </w:pPr>
            <w:r>
              <w:t xml:space="preserve">Travel (site study support, quarterly USSOCOM reviews)</w:t>
            </w:r>
          </w:p>
        </w:tc>
        <w:tc>
          <w:tcPr/>
          <w:p>
            <w:pPr>
              <w:pStyle w:val="Compact"/>
            </w:pPr>
            <w:r>
              <w:t xml:space="preserve">$105,000</w:t>
            </w:r>
          </w:p>
        </w:tc>
      </w:tr>
      <w:tr>
        <w:tc>
          <w:tcPr/>
          <w:p>
            <w:pPr>
              <w:pStyle w:val="Compact"/>
            </w:pPr>
            <w:r>
              <w:t xml:space="preserve">Indirect Costs and Overhead</w:t>
            </w:r>
          </w:p>
        </w:tc>
        <w:tc>
          <w:tcPr/>
          <w:p>
            <w:pPr>
              <w:pStyle w:val="Compact"/>
            </w:pPr>
            <w:r>
              <w:t xml:space="preserve">$685,000</w:t>
            </w:r>
          </w:p>
        </w:tc>
      </w:tr>
      <w:tr>
        <w:tc>
          <w:tcPr/>
          <w:p>
            <w:pPr>
              <w:pStyle w:val="Compact"/>
            </w:pPr>
            <w:r>
              <w:t xml:space="preserve">Fixed Fee</w:t>
            </w:r>
          </w:p>
        </w:tc>
        <w:tc>
          <w:tcPr/>
          <w:p>
            <w:pPr>
              <w:pStyle w:val="Compact"/>
            </w:pPr>
            <w:r>
              <w:t xml:space="preserve">$288,000</w:t>
            </w:r>
          </w:p>
        </w:tc>
      </w:tr>
      <w:tr>
        <w:tc>
          <w:tcPr/>
          <w:p>
            <w:pPr>
              <w:pStyle w:val="Compact"/>
            </w:pPr>
            <w:r>
              <w:rPr>
                <w:b/>
                <w:bCs/>
              </w:rPr>
              <w:t xml:space="preserve">Total</w:t>
            </w:r>
          </w:p>
        </w:tc>
        <w:tc>
          <w:tcPr/>
          <w:p>
            <w:pPr>
              <w:pStyle w:val="Compact"/>
            </w:pPr>
            <w:r>
              <w:rPr>
                <w:b/>
                <w:bCs/>
              </w:rPr>
              <w:t xml:space="preserve">$3,640,000</w:t>
            </w:r>
          </w:p>
        </w:tc>
      </w:tr>
    </w:tbl>
    <w:p>
      <w:pPr>
        <w:pStyle w:val="BodyText"/>
      </w:pPr>
      <w:r>
        <w:t xml:space="preserve">A detailed line-item budget is available under FAR 15.609(a) proprietary protection.</w:t>
      </w:r>
    </w:p>
    <w:p>
      <w:pPr>
        <w:pStyle w:val="BodyText"/>
      </w:pPr>
      <w:r>
        <w:rPr>
          <w:b/>
          <w:bCs/>
        </w:rPr>
        <w:t xml:space="preserve">3.2 Period of Validity</w:t>
      </w:r>
    </w:p>
    <w:p>
      <w:pPr>
        <w:pStyle w:val="BodyText"/>
      </w:pPr>
      <w:r>
        <w:t xml:space="preserve">Twelve (12) months from the date of submission.</w:t>
      </w:r>
    </w:p>
    <w:p>
      <w:pPr>
        <w:pStyle w:val="BodyText"/>
      </w:pPr>
      <w:r>
        <w:rPr>
          <w:b/>
          <w:bCs/>
        </w:rPr>
        <w:t xml:space="preserve">3.3 Type of Contract Preferred</w:t>
      </w:r>
    </w:p>
    <w:p>
      <w:pPr>
        <w:pStyle w:val="BodyText"/>
      </w:pPr>
      <w:r>
        <w:t xml:space="preserve">Cost-plus-fixed-fee (CPFF), appropriate for the R&amp;D nature of the effort and the inherent uncertainty in human-subject study outcomes.</w:t>
      </w:r>
    </w:p>
    <w:p>
      <w:pPr>
        <w:pStyle w:val="BodyText"/>
      </w:pPr>
      <w:r>
        <w:rPr>
          <w:b/>
          <w:bCs/>
        </w:rPr>
        <w:t xml:space="preserve">3.4 Proposed Duration of Effort</w:t>
      </w:r>
    </w:p>
    <w:p>
      <w:pPr>
        <w:pStyle w:val="BodyText"/>
      </w:pPr>
      <w:r>
        <w:t xml:space="preserve">Twenty-four (24) months from contract award.</w:t>
      </w:r>
    </w:p>
    <w:p>
      <w:pPr>
        <w:pStyle w:val="BodyText"/>
      </w:pPr>
      <w:r>
        <w:rPr>
          <w:b/>
          <w:bCs/>
        </w:rPr>
        <w:t xml:space="preserve">3.5 Organization Description, Experience, and Facilities</w:t>
      </w:r>
    </w:p>
    <w:p>
      <w:pPr>
        <w:pStyle w:val="BodyText"/>
      </w:pPr>
      <w:r>
        <w:t xml:space="preserve">Apex Cognitive Labs operates a 6,800 square-foot research facility in Boulder, CO, including a cognitive performance laboratory, a device development and testing lab, and a sleep research area.</w:t>
      </w:r>
    </w:p>
    <w:p>
      <w:pPr>
        <w:pStyle w:val="BodyText"/>
      </w:pPr>
      <w:r>
        <w:rPr>
          <w:b/>
          <w:bCs/>
        </w:rPr>
        <w:t xml:space="preserve">Past Performance:</w:t>
      </w:r>
    </w:p>
    <w:p>
      <w:pPr>
        <w:pStyle w:val="Compact"/>
        <w:numPr>
          <w:ilvl w:val="0"/>
          <w:numId w:val="1005"/>
        </w:numPr>
      </w:pPr>
      <w:r>
        <w:rPr>
          <w:b/>
          <w:bCs/>
        </w:rPr>
        <w:t xml:space="preserve">Department of Defense CDMRP Peer-Reviewed Medical Research Program</w:t>
      </w:r>
      <w:r>
        <w:t xml:space="preserve"> </w:t>
      </w:r>
      <w:r>
        <w:t xml:space="preserve">— Grant, $725k, 2022–2024. On time.</w:t>
      </w:r>
    </w:p>
    <w:p>
      <w:pPr>
        <w:pStyle w:val="Compact"/>
        <w:numPr>
          <w:ilvl w:val="0"/>
          <w:numId w:val="1005"/>
        </w:numPr>
      </w:pPr>
      <w:r>
        <w:rPr>
          <w:b/>
          <w:bCs/>
        </w:rPr>
        <w:t xml:space="preserve">[University Research Partnership]</w:t>
      </w:r>
      <w:r>
        <w:t xml:space="preserve"> </w:t>
      </w:r>
      <w:r>
        <w:t xml:space="preserve">— Civilian pilot study of NeuroEdge, $380k, 2022–2023. Completed.</w:t>
      </w:r>
    </w:p>
    <w:p>
      <w:pPr>
        <w:pStyle w:val="Compact"/>
        <w:numPr>
          <w:ilvl w:val="0"/>
          <w:numId w:val="1005"/>
        </w:numPr>
      </w:pPr>
      <w:r>
        <w:rPr>
          <w:b/>
          <w:bCs/>
        </w:rPr>
        <w:t xml:space="preserve">[Commercial Endurance Sports Organization]</w:t>
      </w:r>
      <w:r>
        <w:t xml:space="preserve"> </w:t>
      </w:r>
      <w:r>
        <w:t xml:space="preserve">— Commercial validation study, $195k, 2023. Completed.</w:t>
      </w:r>
    </w:p>
    <w:p>
      <w:pPr>
        <w:pStyle w:val="Compact"/>
        <w:numPr>
          <w:ilvl w:val="0"/>
          <w:numId w:val="1005"/>
        </w:numPr>
      </w:pPr>
      <w:r>
        <w:rPr>
          <w:b/>
          <w:bCs/>
        </w:rPr>
        <w:t xml:space="preserve">Air Force SBIR Phase I</w:t>
      </w:r>
      <w:r>
        <w:t xml:space="preserve"> </w:t>
      </w:r>
      <w:r>
        <w:t xml:space="preserve">— Adjacent wearable concept, $150k, 2021. Completed.</w:t>
      </w:r>
    </w:p>
    <w:p>
      <w:pPr>
        <w:pStyle w:val="FirstParagraph"/>
      </w:pPr>
      <w:r>
        <w:rPr>
          <w:b/>
          <w:bCs/>
        </w:rPr>
        <w:t xml:space="preserve">3.6 Organizational Conflicts of Interest, Security Clearances, Environmental</w:t>
      </w:r>
    </w:p>
    <w:p>
      <w:pPr>
        <w:pStyle w:val="BodyText"/>
      </w:pPr>
      <w:r>
        <w:rPr>
          <w:b/>
          <w:bCs/>
        </w:rPr>
        <w:t xml:space="preserve">Conflicts of Interest:</w:t>
      </w:r>
      <w:r>
        <w:t xml:space="preserve"> </w:t>
      </w:r>
      <w:r>
        <w:t xml:space="preserve">None identified.</w:t>
      </w:r>
    </w:p>
    <w:p>
      <w:pPr>
        <w:pStyle w:val="BodyText"/>
      </w:pPr>
      <w:r>
        <w:rPr>
          <w:b/>
          <w:bCs/>
        </w:rPr>
        <w:t xml:space="preserve">Security Clearances:</w:t>
      </w:r>
      <w:r>
        <w:t xml:space="preserve"> </w:t>
      </w:r>
      <w:r>
        <w:t xml:space="preserve">Not required for this effort. Dr. Kovacs holds an inactive Secret clearance that can be reactivated if needed.</w:t>
      </w:r>
    </w:p>
    <w:p>
      <w:pPr>
        <w:pStyle w:val="BodyText"/>
      </w:pPr>
      <w:r>
        <w:rPr>
          <w:b/>
          <w:bCs/>
        </w:rPr>
        <w:t xml:space="preserve">Environmental Impacts:</w:t>
      </w:r>
      <w:r>
        <w:t xml:space="preserve"> </w:t>
      </w:r>
      <w:r>
        <w:t xml:space="preserve">None (standard research laboratory work).</w:t>
      </w:r>
    </w:p>
    <w:p>
      <w:pPr>
        <w:pStyle w:val="BodyText"/>
      </w:pPr>
      <w:r>
        <w:rPr>
          <w:b/>
          <w:bCs/>
        </w:rPr>
        <w:t xml:space="preserve">3.7 Prior Agency Contacts</w:t>
      </w:r>
    </w:p>
    <w:p>
      <w:pPr>
        <w:pStyle w:val="Compact"/>
        <w:numPr>
          <w:ilvl w:val="0"/>
          <w:numId w:val="1006"/>
        </w:numPr>
      </w:pPr>
      <w:r>
        <w:rPr>
          <w:b/>
          <w:bCs/>
        </w:rPr>
        <w:t xml:space="preserve">[Name], USSOCOM SOF AT&amp;L Small Business Office</w:t>
      </w:r>
      <w:r>
        <w:t xml:space="preserve"> </w:t>
      </w:r>
      <w:r>
        <w:t xml:space="preserve">— Email exchange on [date] confirming the correct submission process and the relevance of the topic to SOF AT&amp;L programs.</w:t>
      </w:r>
    </w:p>
    <w:p>
      <w:pPr>
        <w:pStyle w:val="Compact"/>
        <w:numPr>
          <w:ilvl w:val="0"/>
          <w:numId w:val="1006"/>
        </w:numPr>
      </w:pPr>
      <w:r>
        <w:rPr>
          <w:b/>
          <w:bCs/>
        </w:rPr>
        <w:t xml:space="preserve">[Name], POTFF Program Office</w:t>
      </w:r>
      <w:r>
        <w:t xml:space="preserve"> </w:t>
      </w:r>
      <w:r>
        <w:t xml:space="preserve">— 30-minute phone call on [date], limited to confirming general interest in cognitive performance technologies; no draft review occurred.</w:t>
      </w:r>
    </w:p>
    <w:p>
      <w:r>
        <w:pict>
          <v:rect style="width:0;height:1.5pt" o:hralign="center" o:hrstd="t" o:hr="t"/>
        </w:pict>
      </w:r>
    </w:p>
    <w:p>
      <w:pPr>
        <w:pStyle w:val="FirstParagraph"/>
      </w:pPr>
      <w:r>
        <w:rPr>
          <w:i/>
          <w:iCs/>
        </w:rPr>
        <w:t xml:space="preserve">End of Specific Sample 2 — NeuroEdge (USSOCOM)</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2026-04-11T19:52:26Z</dcterms:created>
  <dcterms:modified xsi:type="dcterms:W3CDTF">2026-04-11T19:52:26Z</dcterms:modified>
</cp:coreProperties>
</file>

<file path=docProps/custom.xml><?xml version="1.0" encoding="utf-8"?>
<Properties xmlns="http://schemas.openxmlformats.org/officeDocument/2006/custom-properties" xmlns:vt="http://schemas.openxmlformats.org/officeDocument/2006/docPropsVTypes"/>
</file>