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pecific-sample-4"/>
    <w:p>
      <w:pPr>
        <w:pStyle w:val="Heading1"/>
      </w:pPr>
      <w:r>
        <w:t xml:space="preserve">SPECIFIC SAMPLE 4</w:t>
      </w:r>
    </w:p>
    <w:bookmarkStart w:id="10" w:name="X984f9b0b0c18f5121bc8f9f7fdf63997ee78287"/>
    <w:p>
      <w:pPr>
        <w:pStyle w:val="Heading2"/>
      </w:pPr>
      <w:r>
        <w:t xml:space="preserve">FedFacility IQ — AI-Driven Facility Operations &amp; Energy Management</w:t>
      </w:r>
    </w:p>
    <w:bookmarkStart w:id="9" w:name="Xf5285732423be5febcb998c79e7aa20e5c1b782"/>
    <w:p>
      <w:pPr>
        <w:pStyle w:val="Heading3"/>
      </w:pPr>
      <w:r>
        <w:t xml:space="preserve">Submitted to the General Services Administration, Public Buildings Service (GSA PBS)</w:t>
      </w:r>
    </w:p>
    <w:p>
      <w:pPr>
        <w:pStyle w:val="BlockText"/>
      </w:pPr>
      <w:r>
        <w:rPr>
          <w:b/>
          <w:bCs/>
        </w:rPr>
        <w:t xml:space="preserve">NOTE TO READERS</w:t>
      </w:r>
    </w:p>
    <w:p>
      <w:pPr>
        <w:pStyle w:val="BlockText"/>
      </w:pPr>
      <w:r>
        <w:t xml:space="preserve">This is a fictional sample proposal provided for educational use. The company, people, and prices are invented. The agency, programs (GSALink, Smart Buildings, Building Technologies Technical Reference Guide), and mission language are real.</w:t>
      </w:r>
    </w:p>
    <w:p>
      <w:pPr>
        <w:pStyle w:val="BlockText"/>
      </w:pPr>
      <w:r>
        <w:rPr>
          <w:b/>
          <w:bCs/>
        </w:rPr>
        <w:t xml:space="preserve">Why this sample works as a teaching example:</w:t>
      </w:r>
      <w:r>
        <w:t xml:space="preserve"> </w:t>
      </w:r>
      <w:r>
        <w:t xml:space="preserve">GSA PBS already has a Smart Buildings program that includes GSALink (a fault detection and diagnostics tool) and a Building Technologies and Security Division coordinating IoT-based building systems. A weaker proposal would duplicate GSALink. This sample is positioned as a</w:t>
      </w:r>
      <w:r>
        <w:t xml:space="preserve"> </w:t>
      </w:r>
      <w:r>
        <w:rPr>
          <w:b/>
          <w:bCs/>
        </w:rPr>
        <w:t xml:space="preserve">retrofit overlay for aging buildings that do not have modern building automation systems</w:t>
      </w:r>
      <w:r>
        <w:t xml:space="preserve"> </w:t>
      </w:r>
      <w:r>
        <w:t xml:space="preserve">— which is a different and narrower problem than what GSALink addresses. This is a good teaching example for members who want to propose facility services to GSA PBS.</w:t>
      </w:r>
    </w:p>
    <w:p>
      <w:r>
        <w:pict>
          <v:rect style="width:0;height:1.5pt" o:hralign="center" o:hrstd="t" o:hr="t"/>
        </w:pict>
      </w:r>
    </w:p>
    <w:bookmarkEnd w:id="9"/>
    <w:bookmarkEnd w:id="10"/>
    <w:bookmarkStart w:id="11" w:name="title-page"/>
    <w:p>
      <w:pPr>
        <w:pStyle w:val="Heading2"/>
      </w:pPr>
      <w:r>
        <w:t xml:space="preserve">[TITLE PAGE]</w:t>
      </w:r>
    </w:p>
    <w:p>
      <w:pPr>
        <w:pStyle w:val="FirstParagraph"/>
      </w:pPr>
      <w:r>
        <w:rPr>
          <w:b/>
          <w:bCs/>
        </w:rPr>
        <w:t xml:space="preserve">CIVIC ENERGY INSIGHTS, LLC</w:t>
      </w:r>
      <w:r>
        <w:t xml:space="preserve"> </w:t>
      </w:r>
      <w:r>
        <w:t xml:space="preserve">5400 Peachtree Industrial Boulevard</w:t>
      </w:r>
      <w:r>
        <w:t xml:space="preserve"> </w:t>
      </w:r>
      <w:r>
        <w:t xml:space="preserve">Atlanta, GA 30341</w:t>
      </w:r>
      <w:r>
        <w:t xml:space="preserve"> </w:t>
      </w:r>
      <w:r>
        <w:t xml:space="preserve">Phone: (404) 555-0241 | Email: federal@civicenergy.example</w:t>
      </w:r>
      <w:r>
        <w:t xml:space="preserve"> </w:t>
      </w:r>
      <w:r>
        <w:t xml:space="preserve">CAGE Code: 7RV55 | UEI: CE6P7Q8R9S1T | NAICS: 541690</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FedFacility IQ — Wireless-Sensor Retrofit Platform for Energy Optimization of Aging GSA-Owned Federal Buildings</w:t>
      </w:r>
    </w:p>
    <w:p>
      <w:pPr>
        <w:pStyle w:val="BodyText"/>
      </w:pPr>
      <w:r>
        <w:rPr>
          <w:b/>
          <w:bCs/>
        </w:rPr>
        <w:t xml:space="preserve">Submitted to:</w:t>
      </w:r>
      <w:r>
        <w:t xml:space="preserve"> </w:t>
      </w:r>
      <w:r>
        <w:t xml:space="preserve">General Services Administration</w:t>
      </w:r>
      <w:r>
        <w:t xml:space="preserve"> </w:t>
      </w:r>
      <w:r>
        <w:t xml:space="preserve">Public Buildings Service (PBS)</w:t>
      </w:r>
      <w:r>
        <w:t xml:space="preserve"> </w:t>
      </w:r>
      <w:r>
        <w:t xml:space="preserve">Office of Facilities Management</w:t>
      </w:r>
      <w:r>
        <w:t xml:space="preserve"> </w:t>
      </w:r>
      <w:r>
        <w:t xml:space="preserve">Submitted via: unsolicitedproposal@gsa.gov</w:t>
      </w:r>
    </w:p>
    <w:p>
      <w:pPr>
        <w:pStyle w:val="BodyText"/>
      </w:pP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3, 5, 7–9, and 11</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Dr. Olivia Asante, Chief Executive Officer</w:t>
      </w:r>
      <w:r>
        <w:t xml:space="preserve"> </w:t>
      </w:r>
      <w:r>
        <w:t xml:space="preserve">Civic Energy Insights, LLC</w:t>
      </w:r>
      <w:r>
        <w:t xml:space="preserve"> </w:t>
      </w:r>
      <w:r>
        <w:t xml:space="preserve">Signature: ________________________________ Date: ____________</w:t>
      </w:r>
    </w:p>
    <w:p>
      <w:r>
        <w:pict>
          <v:rect style="width:0;height:1.5pt" o:hralign="center" o:hrstd="t" o:hr="t"/>
        </w:pict>
      </w:r>
    </w:p>
    <w:bookmarkEnd w:id="11"/>
    <w:bookmarkStart w:id="12"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Civic Energy Insights, LLC is a for-profit small business headquartered in Atlanta, Georgia, with satellite offices in Chicago and Seattle. Founded in 2018 by a team of building energy engineers and data scientists, Civic Energy specializes in retrofit-grade smart building solutions for older commercial and institutional buildings that lack modern building automation systems. The company employs 38 full-time staff including licensed Professional Engineers, LEED APs, and certified energy managers.</w:t>
      </w:r>
    </w:p>
    <w:p>
      <w:pPr>
        <w:pStyle w:val="Compact"/>
        <w:numPr>
          <w:ilvl w:val="0"/>
          <w:numId w:val="1001"/>
        </w:numPr>
      </w:pPr>
      <w:r>
        <w:t xml:space="preserve">Registered in SAM.gov: Active</w:t>
      </w:r>
    </w:p>
    <w:p>
      <w:pPr>
        <w:pStyle w:val="Compact"/>
        <w:numPr>
          <w:ilvl w:val="0"/>
          <w:numId w:val="1001"/>
        </w:numPr>
      </w:pPr>
      <w:r>
        <w:t xml:space="preserve">NAICS Code: 541690 (Other Scientific and Technical Consulting Services)</w:t>
      </w:r>
    </w:p>
    <w:p>
      <w:pPr>
        <w:pStyle w:val="Compact"/>
        <w:numPr>
          <w:ilvl w:val="0"/>
          <w:numId w:val="1001"/>
        </w:numPr>
      </w:pPr>
      <w:r>
        <w:t xml:space="preserve">Size Standard: $19M average annual receipts (Civic Energy qualifies as small)</w:t>
      </w:r>
    </w:p>
    <w:p>
      <w:pPr>
        <w:pStyle w:val="Compact"/>
        <w:numPr>
          <w:ilvl w:val="0"/>
          <w:numId w:val="1001"/>
        </w:numPr>
      </w:pPr>
      <w:r>
        <w:t xml:space="preserve">Certifications: Woman-Owned Small Business (WOSB) (SBA-certified), HUBZone eligibility under review</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Daniel Wexler, P.E., Director of Building Analytics</w:t>
            </w:r>
          </w:p>
        </w:tc>
        <w:tc>
          <w:tcPr/>
          <w:p>
            <w:pPr>
              <w:pStyle w:val="Compact"/>
            </w:pPr>
            <w:r>
              <w:t xml:space="preserve">(404) 555-0242</w:t>
            </w:r>
          </w:p>
        </w:tc>
        <w:tc>
          <w:tcPr/>
          <w:p>
            <w:pPr>
              <w:pStyle w:val="Compact"/>
            </w:pPr>
            <w:r>
              <w:t xml:space="preserve">d.wexler@civicenergy.example</w:t>
            </w:r>
          </w:p>
        </w:tc>
      </w:tr>
      <w:tr>
        <w:tc>
          <w:tcPr/>
          <w:p>
            <w:pPr>
              <w:pStyle w:val="Compact"/>
            </w:pPr>
            <w:r>
              <w:t xml:space="preserve">Business Point of Contact</w:t>
            </w:r>
          </w:p>
        </w:tc>
        <w:tc>
          <w:tcPr/>
          <w:p>
            <w:pPr>
              <w:pStyle w:val="Compact"/>
            </w:pPr>
            <w:r>
              <w:t xml:space="preserve">Monica Reeves, VP Federal Programs</w:t>
            </w:r>
          </w:p>
        </w:tc>
        <w:tc>
          <w:tcPr/>
          <w:p>
            <w:pPr>
              <w:pStyle w:val="Compact"/>
            </w:pPr>
            <w:r>
              <w:t xml:space="preserve">(404) 555-0243</w:t>
            </w:r>
          </w:p>
        </w:tc>
        <w:tc>
          <w:tcPr/>
          <w:p>
            <w:pPr>
              <w:pStyle w:val="Compact"/>
            </w:pPr>
            <w:r>
              <w:t xml:space="preserve">m.reeves@civicenergy.example</w:t>
            </w:r>
          </w:p>
        </w:tc>
      </w:tr>
      <w:tr>
        <w:tc>
          <w:tcPr/>
          <w:p>
            <w:pPr>
              <w:pStyle w:val="Compact"/>
            </w:pPr>
            <w:r>
              <w:t xml:space="preserve">Authorized Representative</w:t>
            </w:r>
          </w:p>
        </w:tc>
        <w:tc>
          <w:tcPr/>
          <w:p>
            <w:pPr>
              <w:pStyle w:val="Compact"/>
            </w:pPr>
            <w:r>
              <w:t xml:space="preserve">Dr. Olivia Asante, CEO</w:t>
            </w:r>
          </w:p>
        </w:tc>
        <w:tc>
          <w:tcPr/>
          <w:p>
            <w:pPr>
              <w:pStyle w:val="Compact"/>
            </w:pPr>
            <w:r>
              <w:t xml:space="preserve">(404) 555-0241</w:t>
            </w:r>
          </w:p>
        </w:tc>
        <w:tc>
          <w:tcPr/>
          <w:p>
            <w:pPr>
              <w:pStyle w:val="Compact"/>
            </w:pPr>
            <w:r>
              <w:t xml:space="preserve">o.asante@civicenergy.example</w:t>
            </w:r>
          </w:p>
        </w:tc>
      </w:tr>
    </w:tbl>
    <w:p>
      <w:pPr>
        <w:pStyle w:val="BodyText"/>
      </w:pPr>
      <w:r>
        <w:rPr>
          <w:b/>
          <w:bCs/>
        </w:rPr>
        <w:t xml:space="preserve">1.3 Proprietary Data</w:t>
      </w:r>
    </w:p>
    <w:p>
      <w:pPr>
        <w:pStyle w:val="BodyText"/>
      </w:pPr>
      <w:r>
        <w:t xml:space="preserve">Proprietary data on Sheets 3, 5, 7–9, and 11 cover the FedFacility IQ sensor-to-cloud architecture (trade secret), the optimization algorithm (U.S. Patent Pending 18/WWW,WWW), pilot outcomes data from six commercial buildings, and cost structure.</w:t>
      </w:r>
    </w:p>
    <w:p>
      <w:pPr>
        <w:pStyle w:val="BodyText"/>
      </w:pPr>
      <w:r>
        <w:rPr>
          <w:b/>
          <w:bCs/>
        </w:rPr>
        <w:t xml:space="preserve">1.4 Other Parties Receiving This Proposal</w:t>
      </w:r>
    </w:p>
    <w:p>
      <w:pPr>
        <w:pStyle w:val="BodyText"/>
      </w:pPr>
      <w:r>
        <w:t xml:space="preserve">This proposal is being submitted only to GSA PBS. Civic Energy holds a GSA Multiple Award Schedule contract under Schedule 03FAC (Facilities) and has performed retrofit energy analysis for three state-owned university systems, but has not performed this specific scope for any federal agency.</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2"/>
    <w:bookmarkStart w:id="13"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FedFacility IQ — Wireless-Sensor Retrofit Platform for Energy Optimization of Aging GSA-Owned Federal Buildings</w:t>
      </w:r>
    </w:p>
    <w:p>
      <w:pPr>
        <w:pStyle w:val="BodyText"/>
      </w:pPr>
      <w:r>
        <w:rPr>
          <w:b/>
          <w:bCs/>
        </w:rPr>
        <w:t xml:space="preserve">Abstract (198 words):</w:t>
      </w:r>
    </w:p>
    <w:p>
      <w:pPr>
        <w:pStyle w:val="BodyText"/>
      </w:pPr>
      <w:r>
        <w:t xml:space="preserve">Civic Energy Insights, LLC proposes FedFacility IQ, a wireless-sensor retrofit platform designed to deliver 20–30% HVAC and lighting energy reduction in GSA-owned federal buildings that currently lack modern building automation systems. Unlike GSA’s existing GSALink fault detection and diagnostics application — which requires an underlying BAS for data input — FedFacility IQ installs a low-cost wireless sensor network (temperature, humidity, CO₂, occupancy, lighting level, plug load) over the existing mechanical and electrical infrastructure, streams the data to a cloud analytics engine, and continuously optimizes setpoints and runtime schedules using machine learning. The platform is designed specifically for the segment of the GSA portfolio where installing a full BAS is cost-prohibitive or operationally disruptive. In a three-year deployment at six commercial and institutional buildings (total 1.4 million square feet) Civic Energy achieved measured energy savings averaging 26.3% with a 14-month simple payback. This proposal offers a 24-month pilot deployment at four GSA-owned buildings selected by PBS, with measurement-and-verification (M&amp;V) per FEMP protocols and a deployment playbook for broader rollout. Total estimated price: $2,910,000. FedFacility IQ complements — and does not replace — GSALink.</w:t>
      </w:r>
    </w:p>
    <w:p>
      <w:pPr>
        <w:pStyle w:val="BodyText"/>
      </w:pPr>
      <w:r>
        <w:rPr>
          <w:b/>
          <w:bCs/>
        </w:rPr>
        <w:t xml:space="preserve">2.2 Objectives</w:t>
      </w:r>
    </w:p>
    <w:p>
      <w:pPr>
        <w:numPr>
          <w:ilvl w:val="0"/>
          <w:numId w:val="1002"/>
        </w:numPr>
      </w:pPr>
      <w:r>
        <w:rPr>
          <w:b/>
          <w:bCs/>
        </w:rPr>
        <w:t xml:space="preserve">Deploy FedFacility IQ at four GSA-owned buildings</w:t>
      </w:r>
      <w:r>
        <w:t xml:space="preserve"> </w:t>
      </w:r>
      <w:r>
        <w:t xml:space="preserve">(total 800,000–1,200,000 square feet) selected by PBS to represent the portfolio of aging federal buildings without modern BAS, within nine months of contract award.</w:t>
      </w:r>
    </w:p>
    <w:p>
      <w:pPr>
        <w:numPr>
          <w:ilvl w:val="0"/>
          <w:numId w:val="1002"/>
        </w:numPr>
      </w:pPr>
      <w:r>
        <w:rPr>
          <w:b/>
          <w:bCs/>
        </w:rPr>
        <w:t xml:space="preserve">Achieve average HVAC and lighting energy reduction ≥ 20%</w:t>
      </w:r>
      <w:r>
        <w:t xml:space="preserve"> </w:t>
      </w:r>
      <w:r>
        <w:t xml:space="preserve">across the four pilot buildings relative to a baseline established under FEMP M&amp;V protocols.</w:t>
      </w:r>
    </w:p>
    <w:p>
      <w:pPr>
        <w:numPr>
          <w:ilvl w:val="0"/>
          <w:numId w:val="1002"/>
        </w:numPr>
      </w:pPr>
      <w:r>
        <w:rPr>
          <w:b/>
          <w:bCs/>
        </w:rPr>
        <w:t xml:space="preserve">Maintain or improve occupant comfort metrics</w:t>
      </w:r>
      <w:r>
        <w:t xml:space="preserve"> </w:t>
      </w:r>
      <w:r>
        <w:t xml:space="preserve">(thermal comfort, CO₂ levels, lighting adequacy) at the pilot buildings during the deployment.</w:t>
      </w:r>
    </w:p>
    <w:p>
      <w:pPr>
        <w:numPr>
          <w:ilvl w:val="0"/>
          <w:numId w:val="1002"/>
        </w:numPr>
      </w:pPr>
      <w:r>
        <w:rPr>
          <w:b/>
          <w:bCs/>
        </w:rPr>
        <w:t xml:space="preserve">Deliver a GSA-specific deployment playbook and cost model</w:t>
      </w:r>
      <w:r>
        <w:t xml:space="preserve"> </w:t>
      </w:r>
      <w:r>
        <w:t xml:space="preserve">supporting enterprise-wide rollout across the GSA-owned portfolio.</w:t>
      </w:r>
    </w:p>
    <w:p>
      <w:pPr>
        <w:pStyle w:val="FirstParagraph"/>
      </w:pPr>
      <w:r>
        <w:rPr>
          <w:b/>
          <w:bCs/>
        </w:rPr>
        <w:t xml:space="preserve">2.3 Method of Approach</w:t>
      </w:r>
    </w:p>
    <w:p>
      <w:pPr>
        <w:pStyle w:val="BodyText"/>
      </w:pPr>
      <w:r>
        <w:rPr>
          <w:b/>
          <w:bCs/>
        </w:rPr>
        <w:t xml:space="preserve">Phase 1 — Site Selection, Survey, and Baseline (Months 1–6).</w:t>
      </w:r>
      <w:r>
        <w:t xml:space="preserve"> </w:t>
      </w:r>
      <w:r>
        <w:t xml:space="preserve">Civic Energy will work with PBS to select four pilot buildings, complete on-site energy surveys, install reference metering, and establish 90-day FEMP-compliant baselines. Deliverables include a Baseline Energy Report for each building.</w:t>
      </w:r>
    </w:p>
    <w:p>
      <w:pPr>
        <w:pStyle w:val="BodyText"/>
      </w:pPr>
      <w:r>
        <w:rPr>
          <w:b/>
          <w:bCs/>
        </w:rPr>
        <w:t xml:space="preserve">Phase 2 — Sensor Installation and Platform Deployment (Months 7–12).</w:t>
      </w:r>
      <w:r>
        <w:t xml:space="preserve"> </w:t>
      </w:r>
      <w:r>
        <w:t xml:space="preserve">Wireless sensors and edge nodes will be installed at each pilot building. Installation does not require shutdown of existing building systems and can be completed during normal operating hours. FedFacility IQ will begin streaming data, initial optimization will occur, and the joint working group will review the first operational month. Deliverables include an Installation Report per building and a First-Month Operations Review.</w:t>
      </w:r>
    </w:p>
    <w:p>
      <w:pPr>
        <w:pStyle w:val="BodyText"/>
      </w:pPr>
      <w:r>
        <w:rPr>
          <w:b/>
          <w:bCs/>
        </w:rPr>
        <w:t xml:space="preserve">Phase 3 — Active Optimization and Monthly Measurement (Months 13–22).</w:t>
      </w:r>
      <w:r>
        <w:t xml:space="preserve"> </w:t>
      </w:r>
      <w:r>
        <w:t xml:space="preserve">Ten months of active optimization with monthly M&amp;V reporting, quarterly deep-dive technical reviews, and a Mid-Phase Review at month 18. Civic Energy field engineers will visit each pilot building at least quarterly.</w:t>
      </w:r>
    </w:p>
    <w:p>
      <w:pPr>
        <w:pStyle w:val="BodyText"/>
      </w:pPr>
      <w:r>
        <w:rPr>
          <w:b/>
          <w:bCs/>
        </w:rPr>
        <w:t xml:space="preserve">Phase 4 — Final M&amp;V, Playbook, and Transition (Months 23–24).</w:t>
      </w:r>
      <w:r>
        <w:t xml:space="preserve"> </w:t>
      </w:r>
      <w:r>
        <w:t xml:space="preserve">Civic Energy will consolidate all M&amp;V data into a final Energy Performance Report, develop the GSA-specific Deployment Playbook, and brief PBS leadership on results and enterprise rollout options.</w:t>
      </w:r>
    </w:p>
    <w:p>
      <w:pPr>
        <w:pStyle w:val="BodyText"/>
      </w:pPr>
      <w:r>
        <w:rPr>
          <w:b/>
          <w:bCs/>
        </w:rPr>
        <w:t xml:space="preserve">2.4 Anticipated Results</w:t>
      </w:r>
    </w:p>
    <w:p>
      <w:pPr>
        <w:pStyle w:val="Compact"/>
        <w:numPr>
          <w:ilvl w:val="0"/>
          <w:numId w:val="1003"/>
        </w:numPr>
      </w:pPr>
      <w:r>
        <w:rPr>
          <w:b/>
          <w:bCs/>
        </w:rPr>
        <w:t xml:space="preserve">Four operational deployments</w:t>
      </w:r>
      <w:r>
        <w:t xml:space="preserve"> </w:t>
      </w:r>
      <w:r>
        <w:t xml:space="preserve">with at least 10 months of continuous optimization data and FEMP-compliant M&amp;V reports.</w:t>
      </w:r>
    </w:p>
    <w:p>
      <w:pPr>
        <w:pStyle w:val="Compact"/>
        <w:numPr>
          <w:ilvl w:val="0"/>
          <w:numId w:val="1003"/>
        </w:numPr>
      </w:pPr>
      <w:r>
        <w:rPr>
          <w:b/>
          <w:bCs/>
        </w:rPr>
        <w:t xml:space="preserve">Measured annual energy savings</w:t>
      </w:r>
      <w:r>
        <w:t xml:space="preserve"> </w:t>
      </w:r>
      <w:r>
        <w:t xml:space="preserve">across the pilot buildings totaling an estimated $420,000–$650,000 per year (based on pilot building sizes and current GSA energy rates).</w:t>
      </w:r>
    </w:p>
    <w:p>
      <w:pPr>
        <w:pStyle w:val="Compact"/>
        <w:numPr>
          <w:ilvl w:val="0"/>
          <w:numId w:val="1003"/>
        </w:numPr>
      </w:pPr>
      <w:r>
        <w:rPr>
          <w:b/>
          <w:bCs/>
        </w:rPr>
        <w:t xml:space="preserve">Preserved or improved occupant comfort metrics</w:t>
      </w:r>
      <w:r>
        <w:t xml:space="preserve"> </w:t>
      </w:r>
      <w:r>
        <w:t xml:space="preserve">validated against ASHRAE standards.</w:t>
      </w:r>
    </w:p>
    <w:p>
      <w:pPr>
        <w:pStyle w:val="Compact"/>
        <w:numPr>
          <w:ilvl w:val="0"/>
          <w:numId w:val="1003"/>
        </w:numPr>
      </w:pPr>
      <w:r>
        <w:rPr>
          <w:b/>
          <w:bCs/>
        </w:rPr>
        <w:t xml:space="preserve">A deployment playbook and enterprise cost model</w:t>
      </w:r>
      <w:r>
        <w:t xml:space="preserve"> </w:t>
      </w:r>
      <w:r>
        <w:t xml:space="preserve">supporting PBS consideration of broader rollout.</w:t>
      </w:r>
    </w:p>
    <w:p>
      <w:pPr>
        <w:pStyle w:val="Compact"/>
        <w:numPr>
          <w:ilvl w:val="0"/>
          <w:numId w:val="1003"/>
        </w:numPr>
      </w:pPr>
      <w:r>
        <w:rPr>
          <w:b/>
          <w:bCs/>
        </w:rPr>
        <w:t xml:space="preserve">Compatibility with existing GSA systems</w:t>
      </w:r>
      <w:r>
        <w:t xml:space="preserve"> </w:t>
      </w:r>
      <w:r>
        <w:t xml:space="preserve">including GSALink, the GSA Smart Buildings program, and the Building Technology and Security Division’s integration standards.</w:t>
      </w:r>
    </w:p>
    <w:p>
      <w:pPr>
        <w:pStyle w:val="FirstParagraph"/>
      </w:pPr>
      <w:r>
        <w:rPr>
          <w:b/>
          <w:bCs/>
        </w:rPr>
        <w:t xml:space="preserve">2.5 Mission Support Statement</w:t>
      </w:r>
    </w:p>
    <w:p>
      <w:pPr>
        <w:pStyle w:val="BodyText"/>
      </w:pPr>
      <w:r>
        <w:t xml:space="preserve">This effort directly supports GSA’s Public Buildings Service and specifically PBS’s Office of Facilities Management. PBS manages a federal building portfolio responsible for significant federal energy consumption and is implementing PBS sustainability, energy efficiency, and net-zero targets as part of its core mission.</w:t>
      </w:r>
    </w:p>
    <w:p>
      <w:pPr>
        <w:pStyle w:val="BodyText"/>
      </w:pPr>
      <w:r>
        <w:t xml:space="preserve">GSA’s Smart Buildings program — originally focused on advanced metering and fault detection and diagnostics through tools like GSALink — has successfully modernized newer buildings with building automation systems. A substantial portion of the GSA-owned portfolio, however, consists of older buildings where installing a full BAS is cost-prohibitive, operationally disruptive, or constrained by historic-preservation considerations. The PBS Building Technologies Technical Reference Guide acknowledges the challenge of integrating legacy buildings into the smart-building framework.</w:t>
      </w:r>
    </w:p>
    <w:p>
      <w:pPr>
        <w:pStyle w:val="BodyText"/>
      </w:pPr>
      <w:r>
        <w:t xml:space="preserve">FedFacility IQ specifically targets this gap: buildings where a full BAS is not practical but where a wireless-sensor overlay can still deliver measurable energy savings. The proposed effort does not duplicate GSALink — the two tools address different parts of the portfolio and can operate in parallel where both apply. Civic Energy has structured this proposal to be explicitly complementary to GSA’s existing smart building investments.</w:t>
      </w:r>
    </w:p>
    <w:p>
      <w:pPr>
        <w:pStyle w:val="BodyText"/>
      </w:pPr>
      <w:r>
        <w:rPr>
          <w:b/>
          <w:bCs/>
        </w:rPr>
        <w:t xml:space="preserve">2.6 Key Personnel</w:t>
      </w:r>
    </w:p>
    <w:p>
      <w:pPr>
        <w:pStyle w:val="BodyText"/>
      </w:pPr>
      <w:r>
        <w:rPr>
          <w:b/>
          <w:bCs/>
        </w:rPr>
        <w:t xml:space="preserve">Daniel Wexler, P.E., LEED AP, Director of Building Analytics (Project Lead).</w:t>
      </w:r>
      <w:r>
        <w:t xml:space="preserve"> </w:t>
      </w:r>
      <w:r>
        <w:t xml:space="preserve">Mr. Wexler is a licensed Professional Engineer (Mechanical, Georgia) with 18 years of experience in commercial building energy optimization. He leads Civic Energy’s analytics team. Commitment: 60%.</w:t>
      </w:r>
    </w:p>
    <w:p>
      <w:pPr>
        <w:pStyle w:val="BodyText"/>
      </w:pPr>
      <w:r>
        <w:rPr>
          <w:b/>
          <w:bCs/>
        </w:rPr>
        <w:t xml:space="preserve">Dr. Saleem Haddad, Chief Data Scientist.</w:t>
      </w:r>
      <w:r>
        <w:t xml:space="preserve"> </w:t>
      </w:r>
      <w:r>
        <w:t xml:space="preserve">Dr. Haddad holds a Ph.D. in Applied Mathematics from Emory University and 11 years of experience applying machine learning to building energy optimization. He is the lead inventor on U.S. Patent Pending 18/WWW,WWW. Commitment: 50%.</w:t>
      </w:r>
    </w:p>
    <w:p>
      <w:pPr>
        <w:pStyle w:val="BodyText"/>
      </w:pPr>
      <w:r>
        <w:rPr>
          <w:b/>
          <w:bCs/>
        </w:rPr>
        <w:t xml:space="preserve">Rebecca Dupree, P.E., CEM, Senior Building Engineer.</w:t>
      </w:r>
      <w:r>
        <w:t xml:space="preserve"> </w:t>
      </w:r>
      <w:r>
        <w:t xml:space="preserve">Ms. Dupree is a licensed PE and Certified Energy Manager with 14 years of experience performing FEMP M&amp;V and ASHRAE Level II energy audits on federal and institutional buildings. Commitment: 70%.</w:t>
      </w:r>
    </w:p>
    <w:p>
      <w:pPr>
        <w:pStyle w:val="BodyText"/>
      </w:pPr>
      <w:r>
        <w:rPr>
          <w:b/>
          <w:bCs/>
        </w:rPr>
        <w:t xml:space="preserve">Monica Reeves, VP Federal Programs (Program Manager).</w:t>
      </w:r>
      <w:r>
        <w:t xml:space="preserve"> </w:t>
      </w:r>
      <w:r>
        <w:t xml:space="preserve">15 years federal contracting experience. Commitment: 30%.</w:t>
      </w:r>
    </w:p>
    <w:p>
      <w:pPr>
        <w:pStyle w:val="BodyText"/>
      </w:pPr>
      <w:r>
        <w:t xml:space="preserve">Additional installers and field staff as needed. Resumes available on request.</w:t>
      </w:r>
    </w:p>
    <w:p>
      <w:pPr>
        <w:pStyle w:val="BodyText"/>
      </w:pPr>
      <w:r>
        <w:rPr>
          <w:b/>
          <w:bCs/>
        </w:rPr>
        <w:t xml:space="preserve">2.7 Type of Support Needed from the Government</w:t>
      </w:r>
    </w:p>
    <w:p>
      <w:pPr>
        <w:pStyle w:val="Compact"/>
        <w:numPr>
          <w:ilvl w:val="0"/>
          <w:numId w:val="1004"/>
        </w:numPr>
      </w:pPr>
      <w:r>
        <w:rPr>
          <w:b/>
          <w:bCs/>
        </w:rPr>
        <w:t xml:space="preserve">PBS selection of four pilot buildings</w:t>
      </w:r>
      <w:r>
        <w:t xml:space="preserve"> </w:t>
      </w:r>
      <w:r>
        <w:t xml:space="preserve">representative of aging GSA-owned inventory without modern BAS.</w:t>
      </w:r>
    </w:p>
    <w:p>
      <w:pPr>
        <w:pStyle w:val="Compact"/>
        <w:numPr>
          <w:ilvl w:val="0"/>
          <w:numId w:val="1004"/>
        </w:numPr>
      </w:pPr>
      <w:r>
        <w:rPr>
          <w:b/>
          <w:bCs/>
        </w:rPr>
        <w:t xml:space="preserve">Access to buildings</w:t>
      </w:r>
      <w:r>
        <w:t xml:space="preserve"> </w:t>
      </w:r>
      <w:r>
        <w:t xml:space="preserve">for on-site surveys, sensor installation, and ongoing service visits, with GSA security coordination.</w:t>
      </w:r>
    </w:p>
    <w:p>
      <w:pPr>
        <w:pStyle w:val="Compact"/>
        <w:numPr>
          <w:ilvl w:val="0"/>
          <w:numId w:val="1004"/>
        </w:numPr>
      </w:pPr>
      <w:r>
        <w:rPr>
          <w:b/>
          <w:bCs/>
        </w:rPr>
        <w:t xml:space="preserve">Historical utility bill data</w:t>
      </w:r>
      <w:r>
        <w:t xml:space="preserve"> </w:t>
      </w:r>
      <w:r>
        <w:t xml:space="preserve">for the selected buildings (24 months minimum).</w:t>
      </w:r>
    </w:p>
    <w:p>
      <w:pPr>
        <w:pStyle w:val="Compact"/>
        <w:numPr>
          <w:ilvl w:val="0"/>
          <w:numId w:val="1004"/>
        </w:numPr>
      </w:pPr>
      <w:r>
        <w:rPr>
          <w:b/>
          <w:bCs/>
        </w:rPr>
        <w:t xml:space="preserve">Coordination with building operations staff</w:t>
      </w:r>
      <w:r>
        <w:t xml:space="preserve"> </w:t>
      </w:r>
      <w:r>
        <w:t xml:space="preserve">at each pilot building.</w:t>
      </w:r>
    </w:p>
    <w:p>
      <w:pPr>
        <w:pStyle w:val="Compact"/>
        <w:numPr>
          <w:ilvl w:val="0"/>
          <w:numId w:val="1004"/>
        </w:numPr>
      </w:pPr>
      <w:r>
        <w:rPr>
          <w:b/>
          <w:bCs/>
        </w:rPr>
        <w:t xml:space="preserve">Designated PBS technical point of contact</w:t>
      </w:r>
      <w:r>
        <w:t xml:space="preserve"> </w:t>
      </w:r>
      <w:r>
        <w:t xml:space="preserve">for quarterly reviews.</w:t>
      </w:r>
    </w:p>
    <w:p>
      <w:r>
        <w:pict>
          <v:rect style="width:0;height:1.5pt" o:hralign="center" o:hrstd="t" o:hr="t"/>
        </w:pict>
      </w:r>
    </w:p>
    <w:bookmarkEnd w:id="13"/>
    <w:bookmarkStart w:id="14"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$2,910,000</w:t>
      </w:r>
      <w:r>
        <w:t xml:space="preserve"> </w:t>
      </w:r>
      <w:r>
        <w:t xml:space="preserve">(firm-fixed-price).</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Sensor hardware (wireless network, edge nodes, metering) for 4 buildings</w:t>
            </w:r>
          </w:p>
        </w:tc>
        <w:tc>
          <w:tcPr/>
          <w:p>
            <w:pPr>
              <w:pStyle w:val="Compact"/>
            </w:pPr>
            <w:r>
              <w:t xml:space="preserve">$680,000</w:t>
            </w:r>
          </w:p>
        </w:tc>
      </w:tr>
      <w:tr>
        <w:tc>
          <w:tcPr/>
          <w:p>
            <w:pPr>
              <w:pStyle w:val="Compact"/>
            </w:pPr>
            <w:r>
              <w:t xml:space="preserve">Installation labor</w:t>
            </w:r>
          </w:p>
        </w:tc>
        <w:tc>
          <w:tcPr/>
          <w:p>
            <w:pPr>
              <w:pStyle w:val="Compact"/>
            </w:pPr>
            <w:r>
              <w:t xml:space="preserve">$340,000</w:t>
            </w:r>
          </w:p>
        </w:tc>
      </w:tr>
      <w:tr>
        <w:tc>
          <w:tcPr/>
          <w:p>
            <w:pPr>
              <w:pStyle w:val="Compact"/>
            </w:pPr>
            <w:r>
              <w:t xml:space="preserve">FedFacility IQ Platform license (proprietary) and configuration</w:t>
            </w:r>
          </w:p>
        </w:tc>
        <w:tc>
          <w:tcPr/>
          <w:p>
            <w:pPr>
              <w:pStyle w:val="Compact"/>
            </w:pPr>
            <w:r>
              <w:t xml:space="preserve">$540,000</w:t>
            </w:r>
          </w:p>
        </w:tc>
      </w:tr>
      <w:tr>
        <w:tc>
          <w:tcPr/>
          <w:p>
            <w:pPr>
              <w:pStyle w:val="Compact"/>
            </w:pPr>
            <w:r>
              <w:t xml:space="preserve">M&amp;V services (FEMP-compliant)</w:t>
            </w:r>
          </w:p>
        </w:tc>
        <w:tc>
          <w:tcPr/>
          <w:p>
            <w:pPr>
              <w:pStyle w:val="Compact"/>
            </w:pPr>
            <w:r>
              <w:t xml:space="preserve">$215,000</w:t>
            </w:r>
          </w:p>
        </w:tc>
      </w:tr>
      <w:tr>
        <w:tc>
          <w:tcPr/>
          <w:p>
            <w:pPr>
              <w:pStyle w:val="Compact"/>
            </w:pPr>
            <w:r>
              <w:t xml:space="preserve">Direct labor (engineering, data science, program management)</w:t>
            </w:r>
          </w:p>
        </w:tc>
        <w:tc>
          <w:tcPr/>
          <w:p>
            <w:pPr>
              <w:pStyle w:val="Compact"/>
            </w:pPr>
            <w:r>
              <w:t xml:space="preserve">$580,000</w:t>
            </w:r>
          </w:p>
        </w:tc>
      </w:tr>
      <w:tr>
        <w:tc>
          <w:tcPr/>
          <w:p>
            <w:pPr>
              <w:pStyle w:val="Compact"/>
            </w:pPr>
            <w:r>
              <w:t xml:space="preserve">Travel (site visits, quarterly reviews)</w:t>
            </w:r>
          </w:p>
        </w:tc>
        <w:tc>
          <w:tcPr/>
          <w:p>
            <w:pPr>
              <w:pStyle w:val="Compact"/>
            </w:pPr>
            <w:r>
              <w:t xml:space="preserve">$72,000</w:t>
            </w:r>
          </w:p>
        </w:tc>
      </w:tr>
      <w:tr>
        <w:tc>
          <w:tcPr/>
          <w:p>
            <w:pPr>
              <w:pStyle w:val="Compact"/>
            </w:pPr>
            <w:r>
              <w:t xml:space="preserve">Indirect Costs and Overhead</w:t>
            </w:r>
          </w:p>
        </w:tc>
        <w:tc>
          <w:tcPr/>
          <w:p>
            <w:pPr>
              <w:pStyle w:val="Compact"/>
            </w:pPr>
            <w:r>
              <w:t xml:space="preserve">$365,000</w:t>
            </w:r>
          </w:p>
        </w:tc>
      </w:tr>
      <w:tr>
        <w:tc>
          <w:tcPr/>
          <w:p>
            <w:pPr>
              <w:pStyle w:val="Compact"/>
            </w:pPr>
            <w:r>
              <w:t xml:space="preserve">Fee</w:t>
            </w:r>
          </w:p>
        </w:tc>
        <w:tc>
          <w:tcPr/>
          <w:p>
            <w:pPr>
              <w:pStyle w:val="Compact"/>
            </w:pPr>
            <w:r>
              <w:t xml:space="preserve">$118,000</w:t>
            </w:r>
          </w:p>
        </w:tc>
      </w:tr>
      <w:tr>
        <w:tc>
          <w:tcPr/>
          <w:p>
            <w:pPr>
              <w:pStyle w:val="Compact"/>
            </w:pPr>
            <w:r>
              <w:rPr>
                <w:b/>
                <w:bCs/>
              </w:rPr>
              <w:t xml:space="preserve">Total</w:t>
            </w:r>
          </w:p>
        </w:tc>
        <w:tc>
          <w:tcPr/>
          <w:p>
            <w:pPr>
              <w:pStyle w:val="Compact"/>
            </w:pPr>
            <w:r>
              <w:rPr>
                <w:b/>
                <w:bCs/>
              </w:rPr>
              <w:t xml:space="preserve">$2,910,000</w:t>
            </w:r>
          </w:p>
        </w:tc>
      </w:tr>
    </w:tbl>
    <w:p>
      <w:pPr>
        <w:pStyle w:val="BodyText"/>
      </w:pPr>
      <w:r>
        <w:t xml:space="preserve">A detailed line-item budget is available under FAR 15.609(a) proprietary protection.</w:t>
      </w:r>
    </w:p>
    <w:p>
      <w:pPr>
        <w:pStyle w:val="BodyText"/>
      </w:pPr>
      <w:r>
        <w:rPr>
          <w:b/>
          <w:bCs/>
        </w:rPr>
        <w:t xml:space="preserve">3.2 Period of Validity</w:t>
      </w:r>
    </w:p>
    <w:p>
      <w:pPr>
        <w:pStyle w:val="BodyText"/>
      </w:pPr>
      <w:r>
        <w:t xml:space="preserve">Twelve (12) months from the date of submission.</w:t>
      </w:r>
    </w:p>
    <w:p>
      <w:pPr>
        <w:pStyle w:val="BodyText"/>
      </w:pPr>
      <w:r>
        <w:rPr>
          <w:b/>
          <w:bCs/>
        </w:rPr>
        <w:t xml:space="preserve">3.3 Type of Contract Preferred</w:t>
      </w:r>
    </w:p>
    <w:p>
      <w:pPr>
        <w:pStyle w:val="BodyText"/>
      </w:pPr>
      <w:r>
        <w:t xml:space="preserve">Firm-fixed-price (FFP). Civic Energy is also prepared to discuss an Energy Savings Performance Contract (ESPC) or Utility Energy Services Contract (UESC) structure under FAR 36.3 or applicable DOE authorities if GSA prefers a performance-based payment model tied to measured energy savings.</w:t>
      </w:r>
    </w:p>
    <w:p>
      <w:pPr>
        <w:pStyle w:val="BodyText"/>
      </w:pPr>
      <w:r>
        <w:rPr>
          <w:b/>
          <w:bCs/>
        </w:rPr>
        <w:t xml:space="preserve">3.4 Proposed Duration of Effort</w:t>
      </w:r>
    </w:p>
    <w:p>
      <w:pPr>
        <w:pStyle w:val="BodyText"/>
      </w:pPr>
      <w:r>
        <w:t xml:space="preserve">Twenty-four (24) months from contract award.</w:t>
      </w:r>
    </w:p>
    <w:p>
      <w:pPr>
        <w:pStyle w:val="BodyText"/>
      </w:pPr>
      <w:r>
        <w:rPr>
          <w:b/>
          <w:bCs/>
        </w:rPr>
        <w:t xml:space="preserve">3.5 Organization Description, Experience, and Facilities</w:t>
      </w:r>
    </w:p>
    <w:p>
      <w:pPr>
        <w:pStyle w:val="BodyText"/>
      </w:pPr>
      <w:r>
        <w:t xml:space="preserve">Civic Energy Insights, LLC operates a 5,200-square-foot engineering office in Atlanta with a dedicated analytics operations center.</w:t>
      </w:r>
    </w:p>
    <w:p>
      <w:pPr>
        <w:pStyle w:val="BodyText"/>
      </w:pPr>
      <w:r>
        <w:rPr>
          <w:b/>
          <w:bCs/>
        </w:rPr>
        <w:t xml:space="preserve">Past Performance:</w:t>
      </w:r>
    </w:p>
    <w:p>
      <w:pPr>
        <w:pStyle w:val="Compact"/>
        <w:numPr>
          <w:ilvl w:val="0"/>
          <w:numId w:val="1005"/>
        </w:numPr>
      </w:pPr>
      <w:r>
        <w:rPr>
          <w:b/>
          <w:bCs/>
        </w:rPr>
        <w:t xml:space="preserve">[State University System]</w:t>
      </w:r>
      <w:r>
        <w:t xml:space="preserve"> </w:t>
      </w:r>
      <w:r>
        <w:t xml:space="preserve">— Wireless sensor retrofit, 1.4 million square feet, $2.8M, 2021–2024. Delivered 26.3% average energy reduction.</w:t>
      </w:r>
    </w:p>
    <w:p>
      <w:pPr>
        <w:pStyle w:val="Compact"/>
        <w:numPr>
          <w:ilvl w:val="0"/>
          <w:numId w:val="1005"/>
        </w:numPr>
      </w:pPr>
      <w:r>
        <w:rPr>
          <w:b/>
          <w:bCs/>
        </w:rPr>
        <w:t xml:space="preserve">[Large Commercial Landlord]</w:t>
      </w:r>
      <w:r>
        <w:t xml:space="preserve"> </w:t>
      </w:r>
      <w:r>
        <w:t xml:space="preserve">— Retrofit pilot, 600,000 square feet, $1.1M, 2022–2023. Completed.</w:t>
      </w:r>
    </w:p>
    <w:p>
      <w:pPr>
        <w:pStyle w:val="Compact"/>
        <w:numPr>
          <w:ilvl w:val="0"/>
          <w:numId w:val="1005"/>
        </w:numPr>
      </w:pPr>
      <w:r>
        <w:rPr>
          <w:b/>
          <w:bCs/>
        </w:rPr>
        <w:t xml:space="preserve">Department of Veterans Affairs (via prime)</w:t>
      </w:r>
      <w:r>
        <w:t xml:space="preserve"> </w:t>
      </w:r>
      <w:r>
        <w:t xml:space="preserve">— Energy audit support, $385k, 2023–2024. Completed.</w:t>
      </w:r>
    </w:p>
    <w:p>
      <w:pPr>
        <w:pStyle w:val="Compact"/>
        <w:numPr>
          <w:ilvl w:val="0"/>
          <w:numId w:val="1005"/>
        </w:numPr>
      </w:pPr>
      <w:r>
        <w:rPr>
          <w:b/>
          <w:bCs/>
        </w:rPr>
        <w:t xml:space="preserve">City of Atlanta</w:t>
      </w:r>
      <w:r>
        <w:t xml:space="preserve"> </w:t>
      </w:r>
      <w:r>
        <w:t xml:space="preserve">— Municipal building optimization, $240k, 2022. Completed.</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None identified.</w:t>
      </w:r>
    </w:p>
    <w:p>
      <w:pPr>
        <w:pStyle w:val="BodyText"/>
      </w:pPr>
      <w:r>
        <w:rPr>
          <w:b/>
          <w:bCs/>
        </w:rPr>
        <w:t xml:space="preserve">Security Clearances:</w:t>
      </w:r>
      <w:r>
        <w:t xml:space="preserve"> </w:t>
      </w:r>
      <w:r>
        <w:t xml:space="preserve">Not required for this effort. Civic Energy staff will complete standard GSA building access procedures.</w:t>
      </w:r>
    </w:p>
    <w:p>
      <w:pPr>
        <w:pStyle w:val="BodyText"/>
      </w:pPr>
      <w:r>
        <w:rPr>
          <w:b/>
          <w:bCs/>
        </w:rPr>
        <w:t xml:space="preserve">Environmental Impacts:</w:t>
      </w:r>
      <w:r>
        <w:t xml:space="preserve"> </w:t>
      </w:r>
      <w:r>
        <w:t xml:space="preserve">The proposed work is designed to</w:t>
      </w:r>
      <w:r>
        <w:t xml:space="preserve"> </w:t>
      </w:r>
      <w:r>
        <w:rPr>
          <w:i/>
          <w:iCs/>
        </w:rPr>
        <w:t xml:space="preserve">reduce</w:t>
      </w:r>
      <w:r>
        <w:t xml:space="preserve"> </w:t>
      </w:r>
      <w:r>
        <w:t xml:space="preserve">environmental impact by reducing energy consumption. Sensors are low-power, wireless, and contain no hazardous materials beyond standard consumer electronics.</w:t>
      </w:r>
    </w:p>
    <w:p>
      <w:pPr>
        <w:pStyle w:val="BodyText"/>
      </w:pPr>
      <w:r>
        <w:rPr>
          <w:b/>
          <w:bCs/>
        </w:rPr>
        <w:t xml:space="preserve">3.7 Prior Agency Contacts</w:t>
      </w:r>
    </w:p>
    <w:p>
      <w:pPr>
        <w:pStyle w:val="Compact"/>
        <w:numPr>
          <w:ilvl w:val="0"/>
          <w:numId w:val="1006"/>
        </w:numPr>
      </w:pPr>
      <w:r>
        <w:rPr>
          <w:b/>
          <w:bCs/>
        </w:rPr>
        <w:t xml:space="preserve">[Name], GSA PBS Office of Facilities Management</w:t>
      </w:r>
      <w:r>
        <w:t xml:space="preserve"> </w:t>
      </w:r>
      <w:r>
        <w:t xml:space="preserve">— 25-minute phone call on [date], limited to confirming interest in retrofit-grade smart building solutions and the correct unsolicited proposal submission process.</w:t>
      </w:r>
    </w:p>
    <w:p>
      <w:pPr>
        <w:pStyle w:val="Compact"/>
        <w:numPr>
          <w:ilvl w:val="0"/>
          <w:numId w:val="1006"/>
        </w:numPr>
      </w:pPr>
      <w:r>
        <w:rPr>
          <w:b/>
          <w:bCs/>
        </w:rPr>
        <w:t xml:space="preserve">[Name], GSA Small Business Technical Advisor</w:t>
      </w:r>
      <w:r>
        <w:t xml:space="preserve"> </w:t>
      </w:r>
      <w:r>
        <w:t xml:space="preserve">— Email exchange confirming submission address.</w:t>
      </w:r>
    </w:p>
    <w:p>
      <w:r>
        <w:pict>
          <v:rect style="width:0;height:1.5pt" o:hralign="center" o:hrstd="t" o:hr="t"/>
        </w:pict>
      </w:r>
    </w:p>
    <w:p>
      <w:pPr>
        <w:pStyle w:val="FirstParagraph"/>
      </w:pPr>
      <w:r>
        <w:rPr>
          <w:i/>
          <w:iCs/>
        </w:rPr>
        <w:t xml:space="preserve">End of Specific Sample 4 — FedFacility IQ (GSA PBS)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