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pecific-sample-6"/>
    <w:p>
      <w:pPr>
        <w:pStyle w:val="Heading1"/>
      </w:pPr>
      <w:r>
        <w:t xml:space="preserve">SPECIFIC SAMPLE 6</w:t>
      </w:r>
    </w:p>
    <w:bookmarkStart w:id="10" w:name="Xbc9d5528ba525cba3827ee59a80c05872e166bb"/>
    <w:p>
      <w:pPr>
        <w:pStyle w:val="Heading2"/>
      </w:pPr>
      <w:r>
        <w:t xml:space="preserve">ReadyRelief — Predictive Disaster-Response Logistics AI</w:t>
      </w:r>
    </w:p>
    <w:bookmarkStart w:id="9" w:name="Xf040f3be873538acbcad285d3f8c06a6b31e715"/>
    <w:p>
      <w:pPr>
        <w:pStyle w:val="Heading3"/>
      </w:pPr>
      <w:r>
        <w:t xml:space="preserve">Submitted to the Federal Emergency Management Agency (FEMA)</w:t>
      </w:r>
    </w:p>
    <w:p>
      <w:pPr>
        <w:pStyle w:val="BlockText"/>
      </w:pPr>
      <w:r>
        <w:rPr>
          <w:b/>
          <w:bCs/>
        </w:rPr>
        <w:t xml:space="preserve">NOTE TO READERS</w:t>
      </w:r>
    </w:p>
    <w:p>
      <w:pPr>
        <w:pStyle w:val="BlockText"/>
      </w:pPr>
      <w:r>
        <w:t xml:space="preserve">This is a fictional sample proposal provided for educational use. The company, people, pilot data, and prices are invented. The agency, the Logistics Management Directorate (LMD), LogVIZ/SAVER2, the National Logistics Staging Areas, the eight FEMA Distribution Centers, and the six Initial Response Resources (water, tarps, meals, cots, blue roof sheeting, blankets) are real.</w:t>
      </w:r>
    </w:p>
    <w:p>
      <w:pPr>
        <w:pStyle w:val="BlockText"/>
      </w:pPr>
      <w:r>
        <w:rPr>
          <w:b/>
          <w:bCs/>
        </w:rPr>
        <w:t xml:space="preserve">Why this sample works as a teaching example:</w:t>
      </w:r>
      <w:r>
        <w:t xml:space="preserve"> </w:t>
      </w:r>
      <w:r>
        <w:t xml:space="preserve">FEMA already has LogVIZ and SAVER2 (situational-awareness and logistics supply chain tools), pre-positioned Initial Response Resources at 8 distribution centers, and established sourcing relationships. A weaker proposal would try to replicate these capabilities. This sample is positioned as a</w:t>
      </w:r>
      <w:r>
        <w:t xml:space="preserve"> </w:t>
      </w:r>
      <w:r>
        <w:rPr>
          <w:b/>
          <w:bCs/>
        </w:rPr>
        <w:t xml:space="preserve">predictive AI overlay</w:t>
      </w:r>
      <w:r>
        <w:t xml:space="preserve"> </w:t>
      </w:r>
      <w:r>
        <w:t xml:space="preserve">that sits on top of FEMA’s existing logistics infrastructure — using 72–96-hour pre-disaster forecasting to reposition supplies before the incident — which is distinct from what LogVIZ does today.</w:t>
      </w:r>
    </w:p>
    <w:p>
      <w:r>
        <w:pict>
          <v:rect style="width:0;height:1.5pt" o:hralign="center" o:hrstd="t" o:hr="t"/>
        </w:pict>
      </w:r>
    </w:p>
    <w:bookmarkEnd w:id="9"/>
    <w:bookmarkEnd w:id="10"/>
    <w:bookmarkStart w:id="11" w:name="title-page"/>
    <w:p>
      <w:pPr>
        <w:pStyle w:val="Heading2"/>
      </w:pPr>
      <w:r>
        <w:t xml:space="preserve">[TITLE PAGE]</w:t>
      </w:r>
    </w:p>
    <w:p>
      <w:pPr>
        <w:pStyle w:val="FirstParagraph"/>
      </w:pPr>
      <w:r>
        <w:rPr>
          <w:b/>
          <w:bCs/>
        </w:rPr>
        <w:t xml:space="preserve">PREDICTIVE RESILIENCE, LLC</w:t>
      </w:r>
      <w:r>
        <w:t xml:space="preserve"> </w:t>
      </w:r>
      <w:r>
        <w:t xml:space="preserve">450 Innovation Park Drive</w:t>
      </w:r>
      <w:r>
        <w:t xml:space="preserve"> </w:t>
      </w:r>
      <w:r>
        <w:t xml:space="preserve">Durham, NC 27703</w:t>
      </w:r>
      <w:r>
        <w:t xml:space="preserve"> </w:t>
      </w:r>
      <w:r>
        <w:t xml:space="preserve">Phone: (984) 555-0261 | Email: fema@predictiveresilience.example</w:t>
      </w:r>
      <w:r>
        <w:t xml:space="preserve"> </w:t>
      </w:r>
      <w:r>
        <w:t xml:space="preserve">CAGE Code: 8MT77 | UEI: PR9X1Y2Z3A4B | NAICS: 541511</w:t>
      </w:r>
    </w:p>
    <w:p>
      <w:r>
        <w:pict>
          <v:rect style="width:0;height:1.5pt" o:hralign="center" o:hrstd="t" o:hr="t"/>
        </w:pict>
      </w:r>
    </w:p>
    <w:p>
      <w:pPr>
        <w:pStyle w:val="FirstParagraph"/>
      </w:pPr>
      <w:r>
        <w:rPr>
          <w:b/>
          <w:bCs/>
        </w:rPr>
        <w:t xml:space="preserve">UNSOLICITED PROPOSAL</w:t>
      </w:r>
    </w:p>
    <w:p>
      <w:pPr>
        <w:pStyle w:val="BodyText"/>
      </w:pPr>
      <w:r>
        <w:rPr>
          <w:b/>
          <w:bCs/>
        </w:rPr>
        <w:t xml:space="preserve">Title:</w:t>
      </w:r>
      <w:r>
        <w:t xml:space="preserve"> </w:t>
      </w:r>
      <w:r>
        <w:t xml:space="preserve">ReadyRelief — Predictive AI Overlay for FEMA Pre-Disaster Logistics Repositioning</w:t>
      </w:r>
    </w:p>
    <w:p>
      <w:pPr>
        <w:pStyle w:val="BodyText"/>
      </w:pPr>
      <w:r>
        <w:rPr>
          <w:b/>
          <w:bCs/>
        </w:rPr>
        <w:t xml:space="preserve">Submitted to:</w:t>
      </w:r>
      <w:r>
        <w:t xml:space="preserve"> </w:t>
      </w:r>
      <w:r>
        <w:t xml:space="preserve">Federal Emergency Management Agency</w:t>
      </w:r>
      <w:r>
        <w:t xml:space="preserve"> </w:t>
      </w:r>
      <w:r>
        <w:t xml:space="preserve">Logistics Management Directorate (LMD)</w:t>
      </w:r>
      <w:r>
        <w:t xml:space="preserve"> </w:t>
      </w:r>
      <w:r>
        <w:t xml:space="preserve">Distribution Management Division</w:t>
      </w:r>
      <w:r>
        <w:t xml:space="preserve"> </w:t>
      </w:r>
      <w:r>
        <w:t xml:space="preserve">500 C Street SW, Washington, DC 20472</w:t>
      </w:r>
    </w:p>
    <w:p>
      <w:pPr>
        <w:pStyle w:val="BodyText"/>
      </w:pPr>
      <w:r>
        <w:rPr>
          <w:b/>
          <w:bCs/>
        </w:rPr>
        <w:t xml:space="preserve">Date of Submission:</w:t>
      </w:r>
      <w:r>
        <w:t xml:space="preserve"> </w:t>
      </w:r>
      <w:r>
        <w:t xml:space="preserve">[Month Day, Year]</w:t>
      </w:r>
      <w:r>
        <w:t xml:space="preserve"> </w:t>
      </w:r>
      <w:r>
        <w:rPr>
          <w:b/>
          <w:bCs/>
        </w:rPr>
        <w:t xml:space="preserve">Period of Validity:</w:t>
      </w:r>
      <w:r>
        <w:t xml:space="preserve"> </w:t>
      </w:r>
      <w:r>
        <w:t xml:space="preserve">Twelve (12) months from date of submission</w:t>
      </w:r>
    </w:p>
    <w:p>
      <w:r>
        <w:pict>
          <v:rect style="width:0;height:1.5pt" o:hralign="center" o:hrstd="t" o:hr="t"/>
        </w:pict>
      </w:r>
    </w:p>
    <w:p>
      <w:pPr>
        <w:pStyle w:val="FirstParagraph"/>
      </w:pPr>
      <w:r>
        <w:rPr>
          <w:b/>
          <w:bCs/>
        </w:rPr>
        <w:t xml:space="preserve">USE AND DISCLOSURE OF DATA</w:t>
      </w:r>
    </w:p>
    <w:p>
      <w:pPr>
        <w:pStyle w:val="BodyText"/>
      </w:pPr>
      <w:r>
        <w:t xml:space="preserve">This proposal includes data that shall not be disclosed outside the Government and shall not be duplicated, used, or disclosed — in whole or in part — for any purpose other than to evaluate this proposal. However, if a contract is awarded to this offeror as a result of — or in connection with — the submission of these data, the Government shall have the right to duplicate, use, or disclose the data to the extent provided in the resulting contract. This restriction does not limit the Government’s right to use information contained in these data if they are obtained from another source without restriction. The data subject to this restriction are contained in</w:t>
      </w:r>
      <w:r>
        <w:t xml:space="preserve"> </w:t>
      </w:r>
      <w:r>
        <w:rPr>
          <w:b/>
          <w:bCs/>
        </w:rPr>
        <w:t xml:space="preserve">Sheets 3, 5, 7, 9–11</w:t>
      </w:r>
      <w:r>
        <w:t xml:space="preserve">.</w:t>
      </w:r>
    </w:p>
    <w:p>
      <w:r>
        <w:pict>
          <v:rect style="width:0;height:1.5pt" o:hralign="center" o:hrstd="t" o:hr="t"/>
        </w:pict>
      </w:r>
    </w:p>
    <w:p>
      <w:pPr>
        <w:pStyle w:val="FirstParagraph"/>
      </w:pPr>
      <w:r>
        <w:rPr>
          <w:i/>
          <w:iCs/>
        </w:rPr>
        <w:t xml:space="preserve">Authorized Representative:</w:t>
      </w:r>
    </w:p>
    <w:p>
      <w:pPr>
        <w:pStyle w:val="BodyText"/>
      </w:pPr>
      <w:r>
        <w:t xml:space="preserve">Nathan Briggs, Chief Executive Officer</w:t>
      </w:r>
      <w:r>
        <w:t xml:space="preserve"> </w:t>
      </w:r>
      <w:r>
        <w:t xml:space="preserve">Predictive Resilience, LLC</w:t>
      </w:r>
      <w:r>
        <w:t xml:space="preserve"> </w:t>
      </w:r>
      <w:r>
        <w:t xml:space="preserve">Signature: ________________________________ Date: ____________</w:t>
      </w:r>
    </w:p>
    <w:p>
      <w:r>
        <w:pict>
          <v:rect style="width:0;height:1.5pt" o:hralign="center" o:hrstd="t" o:hr="t"/>
        </w:pict>
      </w:r>
    </w:p>
    <w:bookmarkEnd w:id="11"/>
    <w:bookmarkStart w:id="12" w:name="part-1-basic-information-far-15.605a"/>
    <w:p>
      <w:pPr>
        <w:pStyle w:val="Heading2"/>
      </w:pPr>
      <w:r>
        <w:t xml:space="preserve">PART 1 — BASIC INFORMATION (FAR 15.605(a))</w:t>
      </w:r>
    </w:p>
    <w:p>
      <w:pPr>
        <w:pStyle w:val="FirstParagraph"/>
      </w:pPr>
      <w:r>
        <w:rPr>
          <w:b/>
          <w:bCs/>
        </w:rPr>
        <w:t xml:space="preserve">1.1 Offeror</w:t>
      </w:r>
    </w:p>
    <w:p>
      <w:pPr>
        <w:pStyle w:val="BodyText"/>
      </w:pPr>
      <w:r>
        <w:t xml:space="preserve">Predictive Resilience, LLC is a for-profit small business headquartered in Durham, North Carolina, at the Research Triangle Park campus. Founded in 2019 by a team of supply chain data scientists and a former state emergency management director, the company specializes in predictive analytics for supply chain and emergency logistics. Predictive Resilience employs 29 full-time staff including data scientists, supply chain engineers, and former state and local emergency operations personnel.</w:t>
      </w:r>
    </w:p>
    <w:p>
      <w:pPr>
        <w:pStyle w:val="Compact"/>
        <w:numPr>
          <w:ilvl w:val="0"/>
          <w:numId w:val="1001"/>
        </w:numPr>
      </w:pPr>
      <w:r>
        <w:t xml:space="preserve">Registered in SAM.gov: Active</w:t>
      </w:r>
    </w:p>
    <w:p>
      <w:pPr>
        <w:pStyle w:val="Compact"/>
        <w:numPr>
          <w:ilvl w:val="0"/>
          <w:numId w:val="1001"/>
        </w:numPr>
      </w:pPr>
      <w:r>
        <w:t xml:space="preserve">NAICS Code: 541511 (Custom Computer Programming Services)</w:t>
      </w:r>
    </w:p>
    <w:p>
      <w:pPr>
        <w:pStyle w:val="Compact"/>
        <w:numPr>
          <w:ilvl w:val="0"/>
          <w:numId w:val="1001"/>
        </w:numPr>
      </w:pPr>
      <w:r>
        <w:t xml:space="preserve">Size Standard: $34M average annual receipts (Predictive Resilience qualifies as small)</w:t>
      </w:r>
    </w:p>
    <w:p>
      <w:pPr>
        <w:pStyle w:val="Compact"/>
        <w:numPr>
          <w:ilvl w:val="0"/>
          <w:numId w:val="1001"/>
        </w:numPr>
      </w:pPr>
      <w:r>
        <w:t xml:space="preserve">Certifications: HUBZone (SBA-certified), Service-Disabled Veteran-Owned Small Business (SBA-certified)</w:t>
      </w:r>
    </w:p>
    <w:p>
      <w:pPr>
        <w:pStyle w:val="FirstParagraph"/>
      </w:pPr>
      <w:r>
        <w:rPr>
          <w:b/>
          <w:bCs/>
        </w:rPr>
        <w:t xml:space="preserve">1.2 Points of Contact</w:t>
      </w:r>
    </w:p>
    <w:tbl>
      <w:tblPr>
        <w:tblStyle w:val="Table"/>
        <w:tblW w:type="pct" w:w="5000"/>
        <w:tblLayout w:type="fixed"/>
        <w:tblLook w:firstRow="1" w:lastRow="0" w:firstColumn="0" w:lastColumn="0" w:noHBand="0" w:noVBand="0" w:val="0020"/>
      </w:tblPr>
      <w:tblGrid>
        <w:gridCol w:w="1827"/>
        <w:gridCol w:w="1827"/>
        <w:gridCol w:w="2132"/>
        <w:gridCol w:w="2132"/>
      </w:tblGrid>
      <w:tr>
        <w:trPr>
          <w:tblHeader w:val="on"/>
        </w:trPr>
        <w:tc>
          <w:tcPr/>
          <w:p>
            <w:pPr>
              <w:pStyle w:val="Compact"/>
            </w:pPr>
            <w:r>
              <w:t xml:space="preserve">Role</w:t>
            </w:r>
          </w:p>
        </w:tc>
        <w:tc>
          <w:tcPr/>
          <w:p>
            <w:pPr>
              <w:pStyle w:val="Compact"/>
            </w:pPr>
            <w:r>
              <w:t xml:space="preserve">Name</w:t>
            </w:r>
          </w:p>
        </w:tc>
        <w:tc>
          <w:tcPr/>
          <w:p>
            <w:pPr>
              <w:pStyle w:val="Compact"/>
            </w:pPr>
            <w:r>
              <w:t xml:space="preserve">Phone</w:t>
            </w:r>
          </w:p>
        </w:tc>
        <w:tc>
          <w:tcPr/>
          <w:p>
            <w:pPr>
              <w:pStyle w:val="Compact"/>
            </w:pPr>
            <w:r>
              <w:t xml:space="preserve">Email</w:t>
            </w:r>
          </w:p>
        </w:tc>
      </w:tr>
      <w:tr>
        <w:tc>
          <w:tcPr/>
          <w:p>
            <w:pPr>
              <w:pStyle w:val="Compact"/>
            </w:pPr>
            <w:r>
              <w:t xml:space="preserve">Technical Point of Contact</w:t>
            </w:r>
          </w:p>
        </w:tc>
        <w:tc>
          <w:tcPr/>
          <w:p>
            <w:pPr>
              <w:pStyle w:val="Compact"/>
            </w:pPr>
            <w:r>
              <w:t xml:space="preserve">Dr. Meera Kulkarni, Chief Data Officer</w:t>
            </w:r>
          </w:p>
        </w:tc>
        <w:tc>
          <w:tcPr/>
          <w:p>
            <w:pPr>
              <w:pStyle w:val="Compact"/>
            </w:pPr>
            <w:r>
              <w:t xml:space="preserve">(984) 555-0262</w:t>
            </w:r>
          </w:p>
        </w:tc>
        <w:tc>
          <w:tcPr/>
          <w:p>
            <w:pPr>
              <w:pStyle w:val="Compact"/>
            </w:pPr>
            <w:r>
              <w:t xml:space="preserve">m.kulkarni@predictiveresilience.example</w:t>
            </w:r>
          </w:p>
        </w:tc>
      </w:tr>
      <w:tr>
        <w:tc>
          <w:tcPr/>
          <w:p>
            <w:pPr>
              <w:pStyle w:val="Compact"/>
            </w:pPr>
            <w:r>
              <w:t xml:space="preserve">Business Point of Contact</w:t>
            </w:r>
          </w:p>
        </w:tc>
        <w:tc>
          <w:tcPr/>
          <w:p>
            <w:pPr>
              <w:pStyle w:val="Compact"/>
            </w:pPr>
            <w:r>
              <w:t xml:space="preserve">Owen Hargrove, VP Federal Programs</w:t>
            </w:r>
          </w:p>
        </w:tc>
        <w:tc>
          <w:tcPr/>
          <w:p>
            <w:pPr>
              <w:pStyle w:val="Compact"/>
            </w:pPr>
            <w:r>
              <w:t xml:space="preserve">(984) 555-0263</w:t>
            </w:r>
          </w:p>
        </w:tc>
        <w:tc>
          <w:tcPr/>
          <w:p>
            <w:pPr>
              <w:pStyle w:val="Compact"/>
            </w:pPr>
            <w:r>
              <w:t xml:space="preserve">o.hargrove@predictiveresilience.example</w:t>
            </w:r>
          </w:p>
        </w:tc>
      </w:tr>
      <w:tr>
        <w:tc>
          <w:tcPr/>
          <w:p>
            <w:pPr>
              <w:pStyle w:val="Compact"/>
            </w:pPr>
            <w:r>
              <w:t xml:space="preserve">Authorized Representative</w:t>
            </w:r>
          </w:p>
        </w:tc>
        <w:tc>
          <w:tcPr/>
          <w:p>
            <w:pPr>
              <w:pStyle w:val="Compact"/>
            </w:pPr>
            <w:r>
              <w:t xml:space="preserve">Nathan Briggs, CEO</w:t>
            </w:r>
          </w:p>
        </w:tc>
        <w:tc>
          <w:tcPr/>
          <w:p>
            <w:pPr>
              <w:pStyle w:val="Compact"/>
            </w:pPr>
            <w:r>
              <w:t xml:space="preserve">(984) 555-0261</w:t>
            </w:r>
          </w:p>
        </w:tc>
        <w:tc>
          <w:tcPr/>
          <w:p>
            <w:pPr>
              <w:pStyle w:val="Compact"/>
            </w:pPr>
            <w:r>
              <w:t xml:space="preserve">n.briggs@predictiveresilience.example</w:t>
            </w:r>
          </w:p>
        </w:tc>
      </w:tr>
    </w:tbl>
    <w:p>
      <w:pPr>
        <w:pStyle w:val="BodyText"/>
      </w:pPr>
      <w:r>
        <w:rPr>
          <w:b/>
          <w:bCs/>
        </w:rPr>
        <w:t xml:space="preserve">1.3 Proprietary Data</w:t>
      </w:r>
    </w:p>
    <w:p>
      <w:pPr>
        <w:pStyle w:val="BodyText"/>
      </w:pPr>
      <w:r>
        <w:t xml:space="preserve">Proprietary data on Sheets 3, 5, 7, and 9–11 cover the ReadyRelief forecasting model architecture (trade secret), training data and feature engineering approach, pilot outcomes with two state emergency management agencies, and cost structure.</w:t>
      </w:r>
    </w:p>
    <w:p>
      <w:pPr>
        <w:pStyle w:val="BodyText"/>
      </w:pPr>
      <w:r>
        <w:rPr>
          <w:b/>
          <w:bCs/>
        </w:rPr>
        <w:t xml:space="preserve">1.4 Other Parties Receiving This Proposal</w:t>
      </w:r>
    </w:p>
    <w:p>
      <w:pPr>
        <w:pStyle w:val="BodyText"/>
      </w:pPr>
      <w:r>
        <w:t xml:space="preserve">This proposal is being submitted only to FEMA. Predictive Resilience has previously supported two state-level emergency management agencies on predictive logistics analytics under state contracts.</w:t>
      </w:r>
    </w:p>
    <w:p>
      <w:pPr>
        <w:pStyle w:val="BodyText"/>
      </w:pPr>
      <w:r>
        <w:rPr>
          <w:b/>
          <w:bCs/>
        </w:rPr>
        <w:t xml:space="preserve">1.5 Date of Submission</w:t>
      </w:r>
    </w:p>
    <w:p>
      <w:pPr>
        <w:pStyle w:val="BodyText"/>
      </w:pPr>
      <w:r>
        <w:t xml:space="preserve">[Month Day, Year]</w:t>
      </w:r>
    </w:p>
    <w:p>
      <w:pPr>
        <w:pStyle w:val="BodyText"/>
      </w:pPr>
      <w:r>
        <w:rPr>
          <w:b/>
          <w:bCs/>
        </w:rPr>
        <w:t xml:space="preserve">1.6 Signature of Authorized Representative</w:t>
      </w:r>
    </w:p>
    <w:p>
      <w:pPr>
        <w:pStyle w:val="BodyText"/>
      </w:pPr>
      <w:r>
        <w:t xml:space="preserve">See title page.</w:t>
      </w:r>
    </w:p>
    <w:p>
      <w:r>
        <w:pict>
          <v:rect style="width:0;height:1.5pt" o:hralign="center" o:hrstd="t" o:hr="t"/>
        </w:pict>
      </w:r>
    </w:p>
    <w:bookmarkEnd w:id="12"/>
    <w:bookmarkStart w:id="13" w:name="part-2-technical-information-far-15.605b"/>
    <w:p>
      <w:pPr>
        <w:pStyle w:val="Heading2"/>
      </w:pPr>
      <w:r>
        <w:t xml:space="preserve">PART 2 — TECHNICAL INFORMATION (FAR 15.605(b))</w:t>
      </w:r>
    </w:p>
    <w:p>
      <w:pPr>
        <w:pStyle w:val="FirstParagraph"/>
      </w:pPr>
      <w:r>
        <w:rPr>
          <w:b/>
          <w:bCs/>
        </w:rPr>
        <w:t xml:space="preserve">2.1 Title and Abstract</w:t>
      </w:r>
    </w:p>
    <w:p>
      <w:pPr>
        <w:pStyle w:val="BodyText"/>
      </w:pPr>
      <w:r>
        <w:rPr>
          <w:b/>
          <w:bCs/>
        </w:rPr>
        <w:t xml:space="preserve">Title:</w:t>
      </w:r>
      <w:r>
        <w:t xml:space="preserve"> </w:t>
      </w:r>
      <w:r>
        <w:t xml:space="preserve">ReadyRelief — Predictive AI Overlay for FEMA Pre-Disaster Logistics Repositioning</w:t>
      </w:r>
    </w:p>
    <w:p>
      <w:pPr>
        <w:pStyle w:val="BodyText"/>
      </w:pPr>
      <w:r>
        <w:rPr>
          <w:b/>
          <w:bCs/>
        </w:rPr>
        <w:t xml:space="preserve">Abstract (199 words):</w:t>
      </w:r>
    </w:p>
    <w:p>
      <w:pPr>
        <w:pStyle w:val="BodyText"/>
      </w:pPr>
      <w:r>
        <w:t xml:space="preserve">Predictive Resilience, LLC proposes ReadyRelief, a predictive AI platform designed as a decision-support overlay on FEMA’s existing logistics infrastructure — not a replacement. ReadyRelief ingests historical disaster response data, real-time weather forecasts, demographic and social-vulnerability indices, road and port status data, and local retail commodity availability signals, and produces 72-to-96-hour forecasts of where and how much of each Initial Response Resource (IRR) commodity FEMA will likely need before a declared disaster. The platform is designed to integrate with FEMA’s Logistics Supply Chain Management System and to complement FEMA’s existing LogVIZ/SAVER2 situational awareness viewer by providing a forward-looking prediction layer where current tools focus on current-state visibility. In a 24-month retrospective analysis using historical data from 18 major disaster declarations, the ReadyRelief model correctly forecast 72-hour IRR demand within 15% of actual for 14 of 18 events. This proposal offers FEMA a 24-month pilot deployment supporting two FEMA Regions and three of the eight National Logistics Staging Areas, with retrospective validation, live-forecast operational use during two hurricane seasons, and a formal transition report. Total estimated price: $3,950,000. Predictive Resilience is a HUBZone and SDVOSB firm.</w:t>
      </w:r>
    </w:p>
    <w:p>
      <w:pPr>
        <w:pStyle w:val="BodyText"/>
      </w:pPr>
      <w:r>
        <w:rPr>
          <w:b/>
          <w:bCs/>
        </w:rPr>
        <w:t xml:space="preserve">2.2 Objectives</w:t>
      </w:r>
    </w:p>
    <w:p>
      <w:pPr>
        <w:numPr>
          <w:ilvl w:val="0"/>
          <w:numId w:val="1002"/>
        </w:numPr>
      </w:pPr>
      <w:r>
        <w:rPr>
          <w:b/>
          <w:bCs/>
        </w:rPr>
        <w:t xml:space="preserve">Deploy ReadyRelief in a decision-support posture</w:t>
      </w:r>
      <w:r>
        <w:t xml:space="preserve"> </w:t>
      </w:r>
      <w:r>
        <w:t xml:space="preserve">at two FEMA Regions (selected by FEMA LMD) and three of the eight FEMA Distribution Centers (Atlanta, Fort Worth, Cumberland, Frederick, Moffett Field, Puerto Rico, Hawaii, or Guam — selection by FEMA).</w:t>
      </w:r>
    </w:p>
    <w:p>
      <w:pPr>
        <w:numPr>
          <w:ilvl w:val="0"/>
          <w:numId w:val="1002"/>
        </w:numPr>
      </w:pPr>
      <w:r>
        <w:rPr>
          <w:b/>
          <w:bCs/>
        </w:rPr>
        <w:t xml:space="preserve">Demonstrate 72-hour demand forecasts</w:t>
      </w:r>
      <w:r>
        <w:t xml:space="preserve"> </w:t>
      </w:r>
      <w:r>
        <w:t xml:space="preserve">within 15% of actual for the six Initial Response Resources (water, tarps, meals, cots, blue roof sheeting, blankets) across at least 75% of events in the pilot period.</w:t>
      </w:r>
    </w:p>
    <w:p>
      <w:pPr>
        <w:numPr>
          <w:ilvl w:val="0"/>
          <w:numId w:val="1002"/>
        </w:numPr>
      </w:pPr>
      <w:r>
        <w:rPr>
          <w:b/>
          <w:bCs/>
        </w:rPr>
        <w:t xml:space="preserve">Validate repositioning recommendations</w:t>
      </w:r>
      <w:r>
        <w:t xml:space="preserve"> </w:t>
      </w:r>
      <w:r>
        <w:t xml:space="preserve">against actual FEMA repositioning decisions made during the pilot, documenting where ReadyRelief recommendations matched, exceeded, or fell short of human-expert decisions.</w:t>
      </w:r>
    </w:p>
    <w:p>
      <w:pPr>
        <w:numPr>
          <w:ilvl w:val="0"/>
          <w:numId w:val="1002"/>
        </w:numPr>
      </w:pPr>
      <w:r>
        <w:rPr>
          <w:b/>
          <w:bCs/>
        </w:rPr>
        <w:t xml:space="preserve">Deliver a formal transition assessment</w:t>
      </w:r>
      <w:r>
        <w:t xml:space="preserve"> </w:t>
      </w:r>
      <w:r>
        <w:t xml:space="preserve">supporting FEMA LMD’s decision on whether to adopt ReadyRelief as a recommended decision-support tool for broader use across all eight Distribution Centers.</w:t>
      </w:r>
    </w:p>
    <w:p>
      <w:pPr>
        <w:pStyle w:val="FirstParagraph"/>
      </w:pPr>
      <w:r>
        <w:rPr>
          <w:b/>
          <w:bCs/>
        </w:rPr>
        <w:t xml:space="preserve">2.3 Method of Approach</w:t>
      </w:r>
    </w:p>
    <w:p>
      <w:pPr>
        <w:pStyle w:val="BodyText"/>
      </w:pPr>
      <w:r>
        <w:rPr>
          <w:b/>
          <w:bCs/>
        </w:rPr>
        <w:t xml:space="preserve">Phase 1 — Baseline, Data Integration, and Retrospective Validation (Months 1–7).</w:t>
      </w:r>
      <w:r>
        <w:t xml:space="preserve"> </w:t>
      </w:r>
      <w:r>
        <w:t xml:space="preserve">Predictive Resilience will work with FEMA LMD and LogVIZ/SAVER2 system owners to establish data integration (one-way read-only connectors — ReadyRelief does not write into existing FEMA systems). Historical data from at least 20 disasters over the past 5 years will be used for retrospective model validation at the two selected pilot Regions. Deliverables include a Data Integration Document, a Retrospective Validation Report, and the FEMA-specific model configuration.</w:t>
      </w:r>
    </w:p>
    <w:p>
      <w:pPr>
        <w:pStyle w:val="BodyText"/>
      </w:pPr>
      <w:r>
        <w:rPr>
          <w:b/>
          <w:bCs/>
        </w:rPr>
        <w:t xml:space="preserve">Phase 2 — Live Decision-Support Deployment — Season 1 (Months 8–17).</w:t>
      </w:r>
      <w:r>
        <w:t xml:space="preserve"> </w:t>
      </w:r>
      <w:r>
        <w:t xml:space="preserve">During the first full hurricane season of the pilot, ReadyRelief will be operated in parallel with FEMA’s existing decision processes at the two pilot Regions. ReadyRelief forecasts and repositioning recommendations will be delivered to FEMA Regional Response Coordinators and LMD staff as a decision-support input — FEMA retains all authority over actual logistics decisions. Every ReadyRelief recommendation will be logged and compared against actual FEMA decisions and actual outcomes. Deliverables include Weekly Forecast Logs during active events and an End-of-Season 1 Analysis Report.</w:t>
      </w:r>
    </w:p>
    <w:p>
      <w:pPr>
        <w:pStyle w:val="BodyText"/>
      </w:pPr>
      <w:r>
        <w:rPr>
          <w:b/>
          <w:bCs/>
        </w:rPr>
        <w:t xml:space="preserve">Phase 3 — Live Decision-Support Deployment — Season 2 (Months 18–22).</w:t>
      </w:r>
      <w:r>
        <w:t xml:space="preserve"> </w:t>
      </w:r>
      <w:r>
        <w:t xml:space="preserve">Second hurricane season, same structure as Phase 2, incorporating any model refinements identified in Season 1.</w:t>
      </w:r>
    </w:p>
    <w:p>
      <w:pPr>
        <w:pStyle w:val="BodyText"/>
      </w:pPr>
      <w:r>
        <w:rPr>
          <w:b/>
          <w:bCs/>
        </w:rPr>
        <w:t xml:space="preserve">Phase 4 — Transition Assessment and Reporting (Months 23–24).</w:t>
      </w:r>
      <w:r>
        <w:t xml:space="preserve"> </w:t>
      </w:r>
      <w:r>
        <w:t xml:space="preserve">Predictive Resilience will consolidate all retrospective and live-deployment data into a Transition Assessment Report, including a cost-benefit analysis of broader deployment and recommendations for FEMA’s decision.</w:t>
      </w:r>
    </w:p>
    <w:p>
      <w:pPr>
        <w:pStyle w:val="BodyText"/>
      </w:pPr>
      <w:r>
        <w:rPr>
          <w:b/>
          <w:bCs/>
        </w:rPr>
        <w:t xml:space="preserve">2.4 Anticipated Results</w:t>
      </w:r>
    </w:p>
    <w:p>
      <w:pPr>
        <w:pStyle w:val="Compact"/>
        <w:numPr>
          <w:ilvl w:val="0"/>
          <w:numId w:val="1003"/>
        </w:numPr>
      </w:pPr>
      <w:r>
        <w:rPr>
          <w:b/>
          <w:bCs/>
        </w:rPr>
        <w:t xml:space="preserve">Two complete hurricane seasons</w:t>
      </w:r>
      <w:r>
        <w:t xml:space="preserve"> </w:t>
      </w:r>
      <w:r>
        <w:t xml:space="preserve">of live decision-support data showing ReadyRelief performance under operational conditions.</w:t>
      </w:r>
    </w:p>
    <w:p>
      <w:pPr>
        <w:pStyle w:val="Compact"/>
        <w:numPr>
          <w:ilvl w:val="0"/>
          <w:numId w:val="1003"/>
        </w:numPr>
      </w:pPr>
      <w:r>
        <w:rPr>
          <w:b/>
          <w:bCs/>
        </w:rPr>
        <w:t xml:space="preserve">A retrospective validation dataset</w:t>
      </w:r>
      <w:r>
        <w:t xml:space="preserve"> </w:t>
      </w:r>
      <w:r>
        <w:t xml:space="preserve">covering at least 20 historical disasters showing model performance against ground truth.</w:t>
      </w:r>
    </w:p>
    <w:p>
      <w:pPr>
        <w:pStyle w:val="Compact"/>
        <w:numPr>
          <w:ilvl w:val="0"/>
          <w:numId w:val="1003"/>
        </w:numPr>
      </w:pPr>
      <w:r>
        <w:rPr>
          <w:b/>
          <w:bCs/>
        </w:rPr>
        <w:t xml:space="preserve">Quantified value</w:t>
      </w:r>
      <w:r>
        <w:t xml:space="preserve"> </w:t>
      </w:r>
      <w:r>
        <w:t xml:space="preserve">— the retrospective analysis and live deployment will be used to estimate whether earlier repositioning decisions would have reduced time-to-distribution for affected populations and reduced emergency sourcing costs.</w:t>
      </w:r>
    </w:p>
    <w:p>
      <w:pPr>
        <w:pStyle w:val="Compact"/>
        <w:numPr>
          <w:ilvl w:val="0"/>
          <w:numId w:val="1003"/>
        </w:numPr>
      </w:pPr>
      <w:r>
        <w:rPr>
          <w:b/>
          <w:bCs/>
        </w:rPr>
        <w:t xml:space="preserve">A transition-ready assessment</w:t>
      </w:r>
      <w:r>
        <w:t xml:space="preserve"> </w:t>
      </w:r>
      <w:r>
        <w:t xml:space="preserve">supporting FEMA LMD’s decision on broader adoption.</w:t>
      </w:r>
    </w:p>
    <w:p>
      <w:pPr>
        <w:pStyle w:val="FirstParagraph"/>
      </w:pPr>
      <w:r>
        <w:t xml:space="preserve">Based on preliminary modeling against historical events, Predictive Resilience estimates that effective 72–96-hour forecasts could enable pre-positioning decisions that reduce time-to-first-commodity-delivery by 18–28 hours in affected areas and reduce emergency sourcing costs by displacing some emergency local procurement with pre-positioned stock. These estimates are preliminary and would be refined during the pilot.</w:t>
      </w:r>
    </w:p>
    <w:p>
      <w:pPr>
        <w:pStyle w:val="BodyText"/>
      </w:pPr>
      <w:r>
        <w:rPr>
          <w:b/>
          <w:bCs/>
        </w:rPr>
        <w:t xml:space="preserve">2.5 Mission Support Statement</w:t>
      </w:r>
    </w:p>
    <w:p>
      <w:pPr>
        <w:pStyle w:val="BodyText"/>
      </w:pPr>
      <w:r>
        <w:t xml:space="preserve">This effort directly supports FEMA’s Logistics Management Directorate (LMD), specifically the Distribution Management Division. LMD serves as the National Logistics Coordinator under Emergency Support Function #7 and is responsible for pre-positioning and distributing initial response resources during domestic disasters. LMD maintains Initial Response Resources at eight Distribution Centers — Atlanta, Fort Worth, Cumberland, Frederick, Moffett Field, Puerto Rico, Hawaii, and Guam — and operates the LogVIZ/SAVER2 situational awareness system to track commodities, vendor availability, and distribution operations.</w:t>
      </w:r>
    </w:p>
    <w:p>
      <w:pPr>
        <w:pStyle w:val="BodyText"/>
      </w:pPr>
      <w:r>
        <w:t xml:space="preserve">FEMA’s current decision processes rely heavily on LogVIZ/SAVER2 for situational awareness of current state, supplemented by human expertise and historical judgment for forward-looking decisions about pre-disaster repositioning. The distinction matters: LogVIZ answers</w:t>
      </w:r>
      <w:r>
        <w:t xml:space="preserve"> </w:t>
      </w:r>
      <w:r>
        <w:t xml:space="preserve">“where are our resources now?”</w:t>
      </w:r>
      <w:r>
        <w:t xml:space="preserve"> </w:t>
      </w:r>
      <w:r>
        <w:t xml:space="preserve">very well; it is not a predictive tool.</w:t>
      </w:r>
    </w:p>
    <w:p>
      <w:pPr>
        <w:pStyle w:val="BodyText"/>
      </w:pPr>
      <w:r>
        <w:t xml:space="preserve">ReadyRelief is specifically designed to fill this gap as a decision-support overlay, not as a replacement for LogVIZ or SAVER2. ReadyRelief produces forward-looking forecasts that complement LogVIZ’s current-state visibility. All repositioning decisions remain with FEMA leadership; ReadyRelief only provides recommendations for human review.</w:t>
      </w:r>
    </w:p>
    <w:p>
      <w:pPr>
        <w:pStyle w:val="BodyText"/>
      </w:pPr>
      <w:r>
        <w:t xml:space="preserve">This proposal does not seek access to write data into FEMA systems, does not seek to modify existing FEMA processes, and does not seek to replace any existing FEMA contract or capability. It offers a purely additive decision-support capability that has been structured specifically to be compatible with FEMA’s existing infrastructure and authority model.</w:t>
      </w:r>
    </w:p>
    <w:p>
      <w:pPr>
        <w:pStyle w:val="BodyText"/>
      </w:pPr>
      <w:r>
        <w:rPr>
          <w:b/>
          <w:bCs/>
        </w:rPr>
        <w:t xml:space="preserve">2.6 Key Personnel</w:t>
      </w:r>
    </w:p>
    <w:p>
      <w:pPr>
        <w:pStyle w:val="BodyText"/>
      </w:pPr>
      <w:r>
        <w:rPr>
          <w:b/>
          <w:bCs/>
        </w:rPr>
        <w:t xml:space="preserve">Dr. Meera Kulkarni, Chief Data Officer (Principal Investigator).</w:t>
      </w:r>
      <w:r>
        <w:t xml:space="preserve"> </w:t>
      </w:r>
      <w:r>
        <w:t xml:space="preserve">Dr. Kulkarni holds a Ph.D. in Operations Research from Georgia Tech and 13 years of experience applying machine learning to supply chain forecasting problems, including 5 years on humanitarian logistics projects. Commitment: 70%.</w:t>
      </w:r>
    </w:p>
    <w:p>
      <w:pPr>
        <w:pStyle w:val="BodyText"/>
      </w:pPr>
      <w:r>
        <w:rPr>
          <w:b/>
          <w:bCs/>
        </w:rPr>
        <w:t xml:space="preserve">Rebecca Wolfson, Director of Emergency Operations Analytics.</w:t>
      </w:r>
      <w:r>
        <w:t xml:space="preserve"> </w:t>
      </w:r>
      <w:r>
        <w:t xml:space="preserve">Ms. Wolfson is a former state Emergency Management Director (retired) with 22 years in state-level emergency response including multiple federally-declared disaster deployments. She provides operational credibility and direct subject-matter expertise. Commitment: 50%.</w:t>
      </w:r>
    </w:p>
    <w:p>
      <w:pPr>
        <w:pStyle w:val="BodyText"/>
      </w:pPr>
      <w:r>
        <w:rPr>
          <w:b/>
          <w:bCs/>
        </w:rPr>
        <w:t xml:space="preserve">Dr. Anthony Ma, Senior Data Scientist.</w:t>
      </w:r>
      <w:r>
        <w:t xml:space="preserve"> </w:t>
      </w:r>
      <w:r>
        <w:t xml:space="preserve">Dr. Ma holds a Ph.D. in Statistics and 9 years of experience in demand forecasting for both commercial and humanitarian logistics. Commitment: 80%.</w:t>
      </w:r>
    </w:p>
    <w:p>
      <w:pPr>
        <w:pStyle w:val="BodyText"/>
      </w:pPr>
      <w:r>
        <w:rPr>
          <w:b/>
          <w:bCs/>
        </w:rPr>
        <w:t xml:space="preserve">Owen Hargrove, VP Federal Programs (Program Manager).</w:t>
      </w:r>
      <w:r>
        <w:t xml:space="preserve"> </w:t>
      </w:r>
      <w:r>
        <w:t xml:space="preserve">14 years of federal contracting experience, including DHS cybersecurity and logistics contracts. Commitment: 35%.</w:t>
      </w:r>
    </w:p>
    <w:p>
      <w:pPr>
        <w:pStyle w:val="BodyText"/>
      </w:pPr>
      <w:r>
        <w:t xml:space="preserve">Additional data engineers, ML engineers, and regional analysts will be assigned. Resumes available on request.</w:t>
      </w:r>
    </w:p>
    <w:p>
      <w:pPr>
        <w:pStyle w:val="BodyText"/>
      </w:pPr>
      <w:r>
        <w:rPr>
          <w:b/>
          <w:bCs/>
        </w:rPr>
        <w:t xml:space="preserve">2.7 Type of Support Needed from the Government</w:t>
      </w:r>
    </w:p>
    <w:p>
      <w:pPr>
        <w:pStyle w:val="Compact"/>
        <w:numPr>
          <w:ilvl w:val="0"/>
          <w:numId w:val="1004"/>
        </w:numPr>
      </w:pPr>
      <w:r>
        <w:rPr>
          <w:b/>
          <w:bCs/>
        </w:rPr>
        <w:t xml:space="preserve">FEMA LMD designation of two pilot FEMA Regions and three partner Distribution Centers</w:t>
      </w:r>
      <w:r>
        <w:t xml:space="preserve"> </w:t>
      </w:r>
      <w:r>
        <w:t xml:space="preserve">for the deployment.</w:t>
      </w:r>
    </w:p>
    <w:p>
      <w:pPr>
        <w:pStyle w:val="Compact"/>
        <w:numPr>
          <w:ilvl w:val="0"/>
          <w:numId w:val="1004"/>
        </w:numPr>
      </w:pPr>
      <w:r>
        <w:rPr>
          <w:b/>
          <w:bCs/>
        </w:rPr>
        <w:t xml:space="preserve">Read-only data integration access</w:t>
      </w:r>
      <w:r>
        <w:t xml:space="preserve"> </w:t>
      </w:r>
      <w:r>
        <w:t xml:space="preserve">to LogVIZ/SAVER2, the Logistics Supply Chain Management System, and applicable historical disaster response datasets, under appropriate data use agreements.</w:t>
      </w:r>
    </w:p>
    <w:p>
      <w:pPr>
        <w:pStyle w:val="Compact"/>
        <w:numPr>
          <w:ilvl w:val="0"/>
          <w:numId w:val="1004"/>
        </w:numPr>
      </w:pPr>
      <w:r>
        <w:rPr>
          <w:b/>
          <w:bCs/>
        </w:rPr>
        <w:t xml:space="preserve">Designated FEMA LMD technical point of contact</w:t>
      </w:r>
      <w:r>
        <w:t xml:space="preserve"> </w:t>
      </w:r>
      <w:r>
        <w:t xml:space="preserve">for program oversight.</w:t>
      </w:r>
    </w:p>
    <w:p>
      <w:pPr>
        <w:pStyle w:val="Compact"/>
        <w:numPr>
          <w:ilvl w:val="0"/>
          <w:numId w:val="1004"/>
        </w:numPr>
      </w:pPr>
      <w:r>
        <w:rPr>
          <w:b/>
          <w:bCs/>
        </w:rPr>
        <w:t xml:space="preserve">Regular access to FEMA Regional Response Coordinators</w:t>
      </w:r>
      <w:r>
        <w:t xml:space="preserve"> </w:t>
      </w:r>
      <w:r>
        <w:t xml:space="preserve">and LMD staff during hurricane seasons for recommendation delivery and feedback.</w:t>
      </w:r>
    </w:p>
    <w:p>
      <w:pPr>
        <w:pStyle w:val="Compact"/>
        <w:numPr>
          <w:ilvl w:val="0"/>
          <w:numId w:val="1004"/>
        </w:numPr>
      </w:pPr>
      <w:r>
        <w:rPr>
          <w:b/>
          <w:bCs/>
        </w:rPr>
        <w:t xml:space="preserve">FEMA coordination with partner Distribution Center leadership</w:t>
      </w:r>
      <w:r>
        <w:t xml:space="preserve"> </w:t>
      </w:r>
      <w:r>
        <w:t xml:space="preserve">for any on-site observation requirements.</w:t>
      </w:r>
    </w:p>
    <w:p>
      <w:pPr>
        <w:pStyle w:val="FirstParagraph"/>
      </w:pPr>
      <w:r>
        <w:t xml:space="preserve">No government-furnished equipment or facilities are requested; Predictive Resilience will host the ReadyRelief platform in a FedRAMP-compliant cloud environment.</w:t>
      </w:r>
    </w:p>
    <w:p>
      <w:r>
        <w:pict>
          <v:rect style="width:0;height:1.5pt" o:hralign="center" o:hrstd="t" o:hr="t"/>
        </w:pict>
      </w:r>
    </w:p>
    <w:bookmarkEnd w:id="13"/>
    <w:bookmarkStart w:id="14" w:name="X28136ab4ee65456fbfc26342004afea7ffa49cd"/>
    <w:p>
      <w:pPr>
        <w:pStyle w:val="Heading2"/>
      </w:pPr>
      <w:r>
        <w:t xml:space="preserve">PART 3 — SUPPORTING INFORMATION (FAR 15.605(c))</w:t>
      </w:r>
    </w:p>
    <w:p>
      <w:pPr>
        <w:pStyle w:val="FirstParagraph"/>
      </w:pPr>
      <w:r>
        <w:rPr>
          <w:b/>
          <w:bCs/>
        </w:rPr>
        <w:t xml:space="preserve">3.1 Proposed Price</w:t>
      </w:r>
    </w:p>
    <w:p>
      <w:pPr>
        <w:pStyle w:val="BodyText"/>
      </w:pPr>
      <w:r>
        <w:t xml:space="preserve">Total estimated price:</w:t>
      </w:r>
      <w:r>
        <w:t xml:space="preserve"> </w:t>
      </w:r>
      <w:r>
        <w:rPr>
          <w:b/>
          <w:bCs/>
        </w:rPr>
        <w:t xml:space="preserve">$3,950,000</w:t>
      </w:r>
      <w:r>
        <w:t xml:space="preserve"> </w:t>
      </w:r>
      <w:r>
        <w:t xml:space="preserve">(firm-fixed-price).</w:t>
      </w:r>
    </w:p>
    <w:tbl>
      <w:tblPr>
        <w:tblStyle w:val="Table"/>
        <w:tblW w:type="pct" w:w="5000"/>
        <w:tblLayout w:type="fixed"/>
        <w:tblLook w:firstRow="1" w:lastRow="0" w:firstColumn="0" w:lastColumn="0" w:noHBand="0" w:noVBand="0" w:val="0020"/>
      </w:tblPr>
      <w:tblGrid>
        <w:gridCol w:w="5040"/>
        <w:gridCol w:w="2880"/>
      </w:tblGrid>
      <w:tr>
        <w:trPr>
          <w:tblHeader w:val="on"/>
        </w:trPr>
        <w:tc>
          <w:tcPr/>
          <w:p>
            <w:pPr>
              <w:pStyle w:val="Compact"/>
            </w:pPr>
            <w:r>
              <w:t xml:space="preserve">Cost Element</w:t>
            </w:r>
          </w:p>
        </w:tc>
        <w:tc>
          <w:tcPr/>
          <w:p>
            <w:pPr>
              <w:pStyle w:val="Compact"/>
            </w:pPr>
            <w:r>
              <w:t xml:space="preserve">Amount</w:t>
            </w:r>
          </w:p>
        </w:tc>
      </w:tr>
      <w:tr>
        <w:tc>
          <w:tcPr/>
          <w:p>
            <w:pPr>
              <w:pStyle w:val="Compact"/>
            </w:pPr>
            <w:r>
              <w:t xml:space="preserve">Data integration and cloud hosting (FedRAMP-compliant)</w:t>
            </w:r>
          </w:p>
        </w:tc>
        <w:tc>
          <w:tcPr/>
          <w:p>
            <w:pPr>
              <w:pStyle w:val="Compact"/>
            </w:pPr>
            <w:r>
              <w:t xml:space="preserve">$520,000</w:t>
            </w:r>
          </w:p>
        </w:tc>
      </w:tr>
      <w:tr>
        <w:tc>
          <w:tcPr/>
          <w:p>
            <w:pPr>
              <w:pStyle w:val="Compact"/>
            </w:pPr>
            <w:r>
              <w:t xml:space="preserve">Model development, training, and validation</w:t>
            </w:r>
          </w:p>
        </w:tc>
        <w:tc>
          <w:tcPr/>
          <w:p>
            <w:pPr>
              <w:pStyle w:val="Compact"/>
            </w:pPr>
            <w:r>
              <w:t xml:space="preserve">$680,000</w:t>
            </w:r>
          </w:p>
        </w:tc>
      </w:tr>
      <w:tr>
        <w:tc>
          <w:tcPr/>
          <w:p>
            <w:pPr>
              <w:pStyle w:val="Compact"/>
            </w:pPr>
            <w:r>
              <w:t xml:space="preserve">Direct labor (data scientists, ML engineers, operations analysts)</w:t>
            </w:r>
          </w:p>
        </w:tc>
        <w:tc>
          <w:tcPr/>
          <w:p>
            <w:pPr>
              <w:pStyle w:val="Compact"/>
            </w:pPr>
            <w:r>
              <w:t xml:space="preserve">$1,240,000</w:t>
            </w:r>
          </w:p>
        </w:tc>
      </w:tr>
      <w:tr>
        <w:tc>
          <w:tcPr/>
          <w:p>
            <w:pPr>
              <w:pStyle w:val="Compact"/>
            </w:pPr>
            <w:r>
              <w:t xml:space="preserve">FEMA-specific configuration and LogVIZ integration work</w:t>
            </w:r>
          </w:p>
        </w:tc>
        <w:tc>
          <w:tcPr/>
          <w:p>
            <w:pPr>
              <w:pStyle w:val="Compact"/>
            </w:pPr>
            <w:r>
              <w:t xml:space="preserve">$280,000</w:t>
            </w:r>
          </w:p>
        </w:tc>
      </w:tr>
      <w:tr>
        <w:tc>
          <w:tcPr/>
          <w:p>
            <w:pPr>
              <w:pStyle w:val="Compact"/>
            </w:pPr>
            <w:r>
              <w:t xml:space="preserve">Program management and travel</w:t>
            </w:r>
          </w:p>
        </w:tc>
        <w:tc>
          <w:tcPr/>
          <w:p>
            <w:pPr>
              <w:pStyle w:val="Compact"/>
            </w:pPr>
            <w:r>
              <w:t xml:space="preserve">$180,000</w:t>
            </w:r>
          </w:p>
        </w:tc>
      </w:tr>
      <w:tr>
        <w:tc>
          <w:tcPr/>
          <w:p>
            <w:pPr>
              <w:pStyle w:val="Compact"/>
            </w:pPr>
            <w:r>
              <w:t xml:space="preserve">Retrospective validation data acquisition and analysis</w:t>
            </w:r>
          </w:p>
        </w:tc>
        <w:tc>
          <w:tcPr/>
          <w:p>
            <w:pPr>
              <w:pStyle w:val="Compact"/>
            </w:pPr>
            <w:r>
              <w:t xml:space="preserve">$135,000</w:t>
            </w:r>
          </w:p>
        </w:tc>
      </w:tr>
      <w:tr>
        <w:tc>
          <w:tcPr/>
          <w:p>
            <w:pPr>
              <w:pStyle w:val="Compact"/>
            </w:pPr>
            <w:r>
              <w:t xml:space="preserve">Indirect Costs and Overhead</w:t>
            </w:r>
          </w:p>
        </w:tc>
        <w:tc>
          <w:tcPr/>
          <w:p>
            <w:pPr>
              <w:pStyle w:val="Compact"/>
            </w:pPr>
            <w:r>
              <w:t xml:space="preserve">$765,000</w:t>
            </w:r>
          </w:p>
        </w:tc>
      </w:tr>
      <w:tr>
        <w:tc>
          <w:tcPr/>
          <w:p>
            <w:pPr>
              <w:pStyle w:val="Compact"/>
            </w:pPr>
            <w:r>
              <w:t xml:space="preserve">Fee</w:t>
            </w:r>
          </w:p>
        </w:tc>
        <w:tc>
          <w:tcPr/>
          <w:p>
            <w:pPr>
              <w:pStyle w:val="Compact"/>
            </w:pPr>
            <w:r>
              <w:t xml:space="preserve">$150,000</w:t>
            </w:r>
          </w:p>
        </w:tc>
      </w:tr>
      <w:tr>
        <w:tc>
          <w:tcPr/>
          <w:p>
            <w:pPr>
              <w:pStyle w:val="Compact"/>
            </w:pPr>
            <w:r>
              <w:rPr>
                <w:b/>
                <w:bCs/>
              </w:rPr>
              <w:t xml:space="preserve">Total</w:t>
            </w:r>
          </w:p>
        </w:tc>
        <w:tc>
          <w:tcPr/>
          <w:p>
            <w:pPr>
              <w:pStyle w:val="Compact"/>
            </w:pPr>
            <w:r>
              <w:rPr>
                <w:b/>
                <w:bCs/>
              </w:rPr>
              <w:t xml:space="preserve">$3,950,000</w:t>
            </w:r>
          </w:p>
        </w:tc>
      </w:tr>
    </w:tbl>
    <w:p>
      <w:pPr>
        <w:pStyle w:val="BodyText"/>
      </w:pPr>
      <w:r>
        <w:t xml:space="preserve">A detailed line-item budget is available under FAR 15.609(a) proprietary protection.</w:t>
      </w:r>
    </w:p>
    <w:p>
      <w:pPr>
        <w:pStyle w:val="BodyText"/>
      </w:pPr>
      <w:r>
        <w:rPr>
          <w:b/>
          <w:bCs/>
        </w:rPr>
        <w:t xml:space="preserve">3.2 Period of Validity</w:t>
      </w:r>
    </w:p>
    <w:p>
      <w:pPr>
        <w:pStyle w:val="BodyText"/>
      </w:pPr>
      <w:r>
        <w:t xml:space="preserve">Twelve (12) months from the date of submission.</w:t>
      </w:r>
    </w:p>
    <w:p>
      <w:pPr>
        <w:pStyle w:val="BodyText"/>
      </w:pPr>
      <w:r>
        <w:rPr>
          <w:b/>
          <w:bCs/>
        </w:rPr>
        <w:t xml:space="preserve">3.3 Type of Contract Preferred</w:t>
      </w:r>
    </w:p>
    <w:p>
      <w:pPr>
        <w:pStyle w:val="BodyText"/>
      </w:pPr>
      <w:r>
        <w:t xml:space="preserve">Firm-fixed-price (FFP), milestone-based. Predictive Resilience is also prepared to discuss a hybrid cost-plus structure for the initial retrospective validation phase if FEMA prefers a lower-risk R&amp;D structure for Phase 1.</w:t>
      </w:r>
    </w:p>
    <w:p>
      <w:pPr>
        <w:pStyle w:val="BodyText"/>
      </w:pPr>
      <w:r>
        <w:rPr>
          <w:b/>
          <w:bCs/>
        </w:rPr>
        <w:t xml:space="preserve">3.4 Proposed Duration of Effort</w:t>
      </w:r>
    </w:p>
    <w:p>
      <w:pPr>
        <w:pStyle w:val="BodyText"/>
      </w:pPr>
      <w:r>
        <w:t xml:space="preserve">Twenty-four (24) months from contract award, structured to cover two complete hurricane seasons for live validation.</w:t>
      </w:r>
    </w:p>
    <w:p>
      <w:pPr>
        <w:pStyle w:val="BodyText"/>
      </w:pPr>
      <w:r>
        <w:rPr>
          <w:b/>
          <w:bCs/>
        </w:rPr>
        <w:t xml:space="preserve">3.5 Organization Description, Experience, and Facilities</w:t>
      </w:r>
    </w:p>
    <w:p>
      <w:pPr>
        <w:pStyle w:val="BodyText"/>
      </w:pPr>
      <w:r>
        <w:t xml:space="preserve">Predictive Resilience operates a 4,200-square-foot engineering office in Durham, NC.</w:t>
      </w:r>
    </w:p>
    <w:p>
      <w:pPr>
        <w:pStyle w:val="BodyText"/>
      </w:pPr>
      <w:r>
        <w:rPr>
          <w:b/>
          <w:bCs/>
        </w:rPr>
        <w:t xml:space="preserve">Past Performance:</w:t>
      </w:r>
    </w:p>
    <w:p>
      <w:pPr>
        <w:pStyle w:val="Compact"/>
        <w:numPr>
          <w:ilvl w:val="0"/>
          <w:numId w:val="1005"/>
        </w:numPr>
      </w:pPr>
      <w:r>
        <w:rPr>
          <w:b/>
          <w:bCs/>
        </w:rPr>
        <w:t xml:space="preserve">[State Emergency Management Agency A]</w:t>
      </w:r>
      <w:r>
        <w:t xml:space="preserve"> </w:t>
      </w:r>
      <w:r>
        <w:t xml:space="preserve">— Predictive logistics analytics, $650k, 2023–2024. Completed. Covered two hurricane seasons with documented forecast-versus-actual performance.</w:t>
      </w:r>
    </w:p>
    <w:p>
      <w:pPr>
        <w:pStyle w:val="Compact"/>
        <w:numPr>
          <w:ilvl w:val="0"/>
          <w:numId w:val="1005"/>
        </w:numPr>
      </w:pPr>
      <w:r>
        <w:rPr>
          <w:b/>
          <w:bCs/>
        </w:rPr>
        <w:t xml:space="preserve">[State Emergency Management Agency B]</w:t>
      </w:r>
      <w:r>
        <w:t xml:space="preserve"> </w:t>
      </w:r>
      <w:r>
        <w:t xml:space="preserve">— Supply chain analytics pilot, $420k, 2022–2023. Completed.</w:t>
      </w:r>
    </w:p>
    <w:p>
      <w:pPr>
        <w:pStyle w:val="Compact"/>
        <w:numPr>
          <w:ilvl w:val="0"/>
          <w:numId w:val="1005"/>
        </w:numPr>
      </w:pPr>
      <w:r>
        <w:rPr>
          <w:b/>
          <w:bCs/>
        </w:rPr>
        <w:t xml:space="preserve">[Commercial Humanitarian Logistics Organization]</w:t>
      </w:r>
      <w:r>
        <w:t xml:space="preserve"> </w:t>
      </w:r>
      <w:r>
        <w:t xml:space="preserve">— Global supply chain forecasting, $380k, 2023–ongoing.</w:t>
      </w:r>
    </w:p>
    <w:p>
      <w:pPr>
        <w:pStyle w:val="Compact"/>
        <w:numPr>
          <w:ilvl w:val="0"/>
          <w:numId w:val="1005"/>
        </w:numPr>
      </w:pPr>
      <w:r>
        <w:rPr>
          <w:b/>
          <w:bCs/>
        </w:rPr>
        <w:t xml:space="preserve">NOAA (via prime)</w:t>
      </w:r>
      <w:r>
        <w:t xml:space="preserve"> </w:t>
      </w:r>
      <w:r>
        <w:t xml:space="preserve">— Storm surge impact modeling support, $215k, 2022. Completed.</w:t>
      </w:r>
    </w:p>
    <w:p>
      <w:pPr>
        <w:pStyle w:val="FirstParagraph"/>
      </w:pPr>
      <w:r>
        <w:rPr>
          <w:b/>
          <w:bCs/>
        </w:rPr>
        <w:t xml:space="preserve">3.6 Organizational Conflicts of Interest, Security Clearances, Environmental</w:t>
      </w:r>
    </w:p>
    <w:p>
      <w:pPr>
        <w:pStyle w:val="BodyText"/>
      </w:pPr>
      <w:r>
        <w:rPr>
          <w:b/>
          <w:bCs/>
        </w:rPr>
        <w:t xml:space="preserve">Conflicts of Interest:</w:t>
      </w:r>
      <w:r>
        <w:t xml:space="preserve"> </w:t>
      </w:r>
      <w:r>
        <w:t xml:space="preserve">None identified. Predictive Resilience does not currently hold contracts with any FEMA logistics commodity vendors or with LogVIZ/SAVER2 system integrators.</w:t>
      </w:r>
    </w:p>
    <w:p>
      <w:pPr>
        <w:pStyle w:val="BodyText"/>
      </w:pPr>
      <w:r>
        <w:rPr>
          <w:b/>
          <w:bCs/>
        </w:rPr>
        <w:t xml:space="preserve">Security Clearances:</w:t>
      </w:r>
      <w:r>
        <w:t xml:space="preserve"> </w:t>
      </w:r>
      <w:r>
        <w:t xml:space="preserve">Not required for this effort. All staff will complete DHS background investigations as needed for system access. Platform will be hosted in a FedRAMP Moderate-authorized cloud environment.</w:t>
      </w:r>
    </w:p>
    <w:p>
      <w:pPr>
        <w:pStyle w:val="BodyText"/>
      </w:pPr>
      <w:r>
        <w:rPr>
          <w:b/>
          <w:bCs/>
        </w:rPr>
        <w:t xml:space="preserve">Environmental Impacts:</w:t>
      </w:r>
      <w:r>
        <w:t xml:space="preserve"> </w:t>
      </w:r>
      <w:r>
        <w:t xml:space="preserve">None (software and analytics work).</w:t>
      </w:r>
    </w:p>
    <w:p>
      <w:pPr>
        <w:pStyle w:val="BodyText"/>
      </w:pPr>
      <w:r>
        <w:rPr>
          <w:b/>
          <w:bCs/>
        </w:rPr>
        <w:t xml:space="preserve">3.7 Prior Agency Contacts</w:t>
      </w:r>
    </w:p>
    <w:p>
      <w:pPr>
        <w:pStyle w:val="Compact"/>
        <w:numPr>
          <w:ilvl w:val="0"/>
          <w:numId w:val="1006"/>
        </w:numPr>
      </w:pPr>
      <w:r>
        <w:rPr>
          <w:b/>
          <w:bCs/>
        </w:rPr>
        <w:t xml:space="preserve">[Name], FEMA Logistics Management Directorate</w:t>
      </w:r>
      <w:r>
        <w:t xml:space="preserve"> </w:t>
      </w:r>
      <w:r>
        <w:t xml:space="preserve">— 30-minute phone call on [date], limited to confirming LMD’s general interest in decision-support analytics and confirming the correct unsolicited proposal submission process. No discussion of any specific procurement, timeline, or source selection information occurred.</w:t>
      </w:r>
    </w:p>
    <w:p>
      <w:pPr>
        <w:pStyle w:val="Compact"/>
        <w:numPr>
          <w:ilvl w:val="0"/>
          <w:numId w:val="1006"/>
        </w:numPr>
      </w:pPr>
      <w:r>
        <w:rPr>
          <w:b/>
          <w:bCs/>
        </w:rPr>
        <w:t xml:space="preserve">[Name], DHS Small Business Office</w:t>
      </w:r>
      <w:r>
        <w:t xml:space="preserve"> </w:t>
      </w:r>
      <w:r>
        <w:t xml:space="preserve">— Email exchange confirming the HUBZone and SDVOSB contracting considerations for DHS components.</w:t>
      </w:r>
    </w:p>
    <w:p>
      <w:pPr>
        <w:pStyle w:val="Compact"/>
        <w:numPr>
          <w:ilvl w:val="0"/>
          <w:numId w:val="1006"/>
        </w:numPr>
      </w:pPr>
      <w:r>
        <w:rPr>
          <w:b/>
          <w:bCs/>
        </w:rPr>
        <w:t xml:space="preserve">[Name], FEMA Industry Liaison Program</w:t>
      </w:r>
      <w:r>
        <w:t xml:space="preserve"> </w:t>
      </w:r>
      <w:r>
        <w:t xml:space="preserve">— Follow-up email confirming the appropriate submission pathway for an unsolicited proposal.</w:t>
      </w:r>
    </w:p>
    <w:p>
      <w:pPr>
        <w:pStyle w:val="FirstParagraph"/>
      </w:pPr>
      <w:r>
        <w:t xml:space="preserve">No FEMA or DHS personnel reviewed drafts of this proposal, provided guidance on its content, or directed any portion of its preparation.</w:t>
      </w:r>
    </w:p>
    <w:p>
      <w:r>
        <w:pict>
          <v:rect style="width:0;height:1.5pt" o:hralign="center" o:hrstd="t" o:hr="t"/>
        </w:pict>
      </w:r>
    </w:p>
    <w:p>
      <w:pPr>
        <w:pStyle w:val="FirstParagraph"/>
      </w:pPr>
      <w:r>
        <w:rPr>
          <w:i/>
          <w:iCs/>
        </w:rPr>
        <w:t xml:space="preserve">End of Specific Sample 6 — ReadyRelief (FEMA)</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2026-04-11T19:52:26Z</dcterms:created>
  <dcterms:modified xsi:type="dcterms:W3CDTF">2026-04-11T19:52:26Z</dcterms:modified>
</cp:coreProperties>
</file>

<file path=docProps/custom.xml><?xml version="1.0" encoding="utf-8"?>
<Properties xmlns="http://schemas.openxmlformats.org/officeDocument/2006/custom-properties" xmlns:vt="http://schemas.openxmlformats.org/officeDocument/2006/docPropsVTypes"/>
</file>