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rcgmudgsbqwo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要件定義書 - API版かなた（テスミちゃん）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lgne0wge9311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機能要件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bmgvxi5229v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必須機能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[x] 記憶継承システム（4テーブル設計）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[x] Memolette機能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KanaRe-1.1形式日報自動生成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8crib3mw9fy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任意機能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任意機能があれば記載 --&gt;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wuz2x52etqlg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非機能要件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uqvnjum1gtm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性能要件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API統合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：Claude APIの実験成功率87.5%を目標とする。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cod5gseq1vn5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運用要件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基盤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：DockerとFastAPIによる安定した運用。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veruzenb9ygp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制約条件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技術的制約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：Claude API, PostgreSQL, pgvector, Ollama, FastAPI, React, Dockerを使用。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開発計画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：8週間での開発完了を目指す。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zc6lza35c6af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承認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要件確定日：2025年8月4日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承認者：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