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7C7B" w14:textId="77777777" w:rsidR="00B17F4C" w:rsidRPr="004A1D76" w:rsidRDefault="00B17F4C" w:rsidP="00B17F4C">
      <w:pPr>
        <w:ind w:left="-1134" w:right="-852"/>
        <w:rPr>
          <w:rFonts w:ascii="Segoe UI" w:hAnsi="Segoe UI" w:cs="Segoe UI"/>
          <w:sz w:val="24"/>
          <w:szCs w:val="24"/>
          <w:lang w:val="de-DE"/>
        </w:rPr>
      </w:pPr>
      <w:bookmarkStart w:id="0" w:name="_Hlk128906867"/>
      <w:r w:rsidRPr="004A1D76">
        <w:rPr>
          <w:rFonts w:ascii="Segoe UI" w:hAnsi="Segoe UI" w:cs="Segoe UI"/>
          <w:sz w:val="24"/>
          <w:szCs w:val="24"/>
          <w:lang w:val="de-DE"/>
        </w:rPr>
        <w:t>Einbeziehung der Standardvertrags</w:t>
      </w:r>
      <w:r>
        <w:rPr>
          <w:rFonts w:ascii="Segoe UI" w:hAnsi="Segoe UI" w:cs="Segoe UI"/>
          <w:sz w:val="24"/>
          <w:szCs w:val="24"/>
          <w:lang w:val="de-DE"/>
        </w:rPr>
        <w:t>klauseln</w:t>
      </w:r>
      <w:r w:rsidRPr="004A1D76">
        <w:rPr>
          <w:rFonts w:ascii="Segoe UI" w:hAnsi="Segoe UI" w:cs="Segoe UI"/>
          <w:sz w:val="24"/>
          <w:szCs w:val="24"/>
          <w:lang w:val="de-DE"/>
        </w:rPr>
        <w:t xml:space="preserve"> in die Vereinbarung über Datenverarbeitung</w:t>
      </w:r>
    </w:p>
    <w:p w14:paraId="02485C52" w14:textId="77777777" w:rsidR="00B17F4C" w:rsidRPr="00AC4D07" w:rsidRDefault="00B17F4C" w:rsidP="00B17F4C">
      <w:pPr>
        <w:ind w:left="-1134" w:right="-852"/>
        <w:rPr>
          <w:rFonts w:ascii="Segoe UI" w:hAnsi="Segoe UI" w:cs="Segoe UI"/>
          <w:sz w:val="18"/>
          <w:szCs w:val="18"/>
          <w:lang w:val="de-DE"/>
        </w:rPr>
      </w:pPr>
      <w:r w:rsidRPr="00AC4D07">
        <w:rPr>
          <w:rFonts w:ascii="Segoe UI" w:hAnsi="Segoe UI" w:cs="Segoe UI"/>
          <w:sz w:val="18"/>
          <w:szCs w:val="18"/>
          <w:lang w:val="de-DE"/>
        </w:rPr>
        <w:t xml:space="preserve">Letzte Aktualisierung: 22. Februar 2023 </w:t>
      </w:r>
    </w:p>
    <w:p w14:paraId="2D0A5CE7" w14:textId="77777777" w:rsidR="00B17F4C" w:rsidRPr="00AC4D07" w:rsidRDefault="00B17F4C" w:rsidP="00B17F4C">
      <w:pPr>
        <w:ind w:left="-1134" w:right="-852"/>
        <w:jc w:val="both"/>
        <w:rPr>
          <w:rFonts w:ascii="Segoe UI" w:hAnsi="Segoe UI" w:cs="Segoe UI"/>
          <w:sz w:val="18"/>
          <w:szCs w:val="18"/>
          <w:lang w:val="de-DE"/>
        </w:rPr>
      </w:pPr>
      <w:r w:rsidRPr="00AC4D07">
        <w:rPr>
          <w:rFonts w:ascii="Segoe UI" w:hAnsi="Segoe UI" w:cs="Segoe UI"/>
          <w:sz w:val="18"/>
          <w:szCs w:val="18"/>
          <w:lang w:val="de-DE"/>
        </w:rPr>
        <w:t xml:space="preserve">Dieses vom Kunden und </w:t>
      </w:r>
      <w:proofErr w:type="spellStart"/>
      <w:r w:rsidRPr="00AC4D07">
        <w:rPr>
          <w:rFonts w:ascii="Segoe UI" w:hAnsi="Segoe UI" w:cs="Segoe UI"/>
          <w:sz w:val="18"/>
          <w:szCs w:val="18"/>
          <w:lang w:val="de-DE"/>
        </w:rPr>
        <w:t>Hydrafacial</w:t>
      </w:r>
      <w:proofErr w:type="spellEnd"/>
      <w:r w:rsidRPr="00AC4D07">
        <w:rPr>
          <w:rFonts w:ascii="Segoe UI" w:hAnsi="Segoe UI" w:cs="Segoe UI"/>
          <w:sz w:val="18"/>
          <w:szCs w:val="18"/>
          <w:lang w:val="de-DE"/>
        </w:rPr>
        <w:t xml:space="preserve"> LLC (</w:t>
      </w:r>
      <w:r>
        <w:rPr>
          <w:rFonts w:ascii="Segoe UI" w:hAnsi="Segoe UI" w:cs="Segoe UI"/>
          <w:sz w:val="18"/>
          <w:szCs w:val="18"/>
          <w:lang w:val="de-DE"/>
        </w:rPr>
        <w:t>„</w:t>
      </w:r>
      <w:proofErr w:type="spellStart"/>
      <w:r w:rsidRPr="00AC4D07">
        <w:rPr>
          <w:rFonts w:ascii="Segoe UI" w:hAnsi="Segoe UI" w:cs="Segoe UI"/>
          <w:sz w:val="18"/>
          <w:szCs w:val="18"/>
          <w:lang w:val="de-DE"/>
        </w:rPr>
        <w:t>Hydrafacial</w:t>
      </w:r>
      <w:proofErr w:type="spellEnd"/>
      <w:r w:rsidRPr="00AC4D07">
        <w:rPr>
          <w:rFonts w:ascii="Segoe UI" w:hAnsi="Segoe UI" w:cs="Segoe UI"/>
          <w:sz w:val="18"/>
          <w:szCs w:val="18"/>
          <w:lang w:val="de-DE"/>
        </w:rPr>
        <w:t>”) vereinbarte Dokument dient der Einbeziehung der Standardvertrags</w:t>
      </w:r>
      <w:r>
        <w:rPr>
          <w:rFonts w:ascii="Segoe UI" w:hAnsi="Segoe UI" w:cs="Segoe UI"/>
          <w:sz w:val="18"/>
          <w:szCs w:val="18"/>
          <w:lang w:val="de-DE"/>
        </w:rPr>
        <w:t>klausel</w:t>
      </w:r>
      <w:r w:rsidRPr="00AC4D07">
        <w:rPr>
          <w:rFonts w:ascii="Segoe UI" w:hAnsi="Segoe UI" w:cs="Segoe UI"/>
          <w:sz w:val="18"/>
          <w:szCs w:val="18"/>
          <w:lang w:val="de-DE"/>
        </w:rPr>
        <w:t>n (</w:t>
      </w:r>
      <w:r>
        <w:rPr>
          <w:rFonts w:ascii="Segoe UI" w:hAnsi="Segoe UI" w:cs="Segoe UI"/>
          <w:sz w:val="18"/>
          <w:szCs w:val="18"/>
          <w:lang w:val="de-DE"/>
        </w:rPr>
        <w:t>„HF-SVK</w:t>
      </w:r>
      <w:r w:rsidRPr="00AC4D07">
        <w:rPr>
          <w:rFonts w:ascii="Segoe UI" w:hAnsi="Segoe UI" w:cs="Segoe UI"/>
          <w:sz w:val="18"/>
          <w:szCs w:val="18"/>
          <w:lang w:val="de-DE"/>
        </w:rPr>
        <w:t>”).</w:t>
      </w:r>
    </w:p>
    <w:p w14:paraId="019ADCB8" w14:textId="77777777" w:rsidR="00B17F4C" w:rsidRPr="00AC4D07" w:rsidRDefault="00B17F4C" w:rsidP="00B17F4C">
      <w:pPr>
        <w:ind w:left="-1134" w:right="-852"/>
        <w:jc w:val="both"/>
        <w:rPr>
          <w:rFonts w:ascii="Segoe UI" w:hAnsi="Segoe UI" w:cs="Segoe UI"/>
          <w:sz w:val="18"/>
          <w:szCs w:val="18"/>
          <w:lang w:val="de-DE"/>
        </w:rPr>
      </w:pPr>
      <w:r w:rsidRPr="00AC4D07">
        <w:rPr>
          <w:rFonts w:ascii="Segoe UI" w:hAnsi="Segoe UI" w:cs="Segoe UI"/>
          <w:sz w:val="18"/>
          <w:szCs w:val="18"/>
          <w:lang w:val="de-DE"/>
        </w:rPr>
        <w:t xml:space="preserve">Auf der Grundlage der beiderseitigen verbindlichen Zusagen und Abmachungen treffen die Vertragsparteien die folgende Vereinbarung: </w:t>
      </w:r>
    </w:p>
    <w:p w14:paraId="2D123E4F" w14:textId="77777777" w:rsidR="00B17F4C" w:rsidRPr="00D05CF3" w:rsidRDefault="00B17F4C" w:rsidP="00B17F4C">
      <w:pPr>
        <w:ind w:left="-1134" w:right="-852"/>
        <w:jc w:val="both"/>
        <w:rPr>
          <w:rFonts w:ascii="Segoe UI" w:hAnsi="Segoe UI" w:cs="Segoe UI"/>
          <w:b/>
          <w:bCs/>
          <w:sz w:val="20"/>
          <w:szCs w:val="20"/>
          <w:lang w:val="de-DE"/>
        </w:rPr>
      </w:pPr>
      <w:r w:rsidRPr="00D05CF3">
        <w:rPr>
          <w:rFonts w:ascii="Segoe UI" w:hAnsi="Segoe UI" w:cs="Segoe UI"/>
          <w:b/>
          <w:bCs/>
          <w:sz w:val="20"/>
          <w:szCs w:val="20"/>
          <w:lang w:val="de-DE"/>
        </w:rPr>
        <w:t xml:space="preserve">Definitionen </w:t>
      </w:r>
    </w:p>
    <w:p w14:paraId="2FED30C5" w14:textId="77777777" w:rsidR="00B17F4C" w:rsidRPr="00D05CF3" w:rsidRDefault="00B17F4C" w:rsidP="00B17F4C">
      <w:pPr>
        <w:ind w:left="-1134" w:right="-852"/>
        <w:jc w:val="both"/>
        <w:rPr>
          <w:rFonts w:ascii="Segoe UI" w:hAnsi="Segoe UI" w:cs="Segoe UI"/>
          <w:sz w:val="18"/>
          <w:szCs w:val="18"/>
          <w:lang w:val="de-DE"/>
        </w:rPr>
      </w:pPr>
      <w:r w:rsidRPr="00D05CF3">
        <w:rPr>
          <w:rFonts w:ascii="Segoe UI" w:hAnsi="Segoe UI" w:cs="Segoe UI"/>
          <w:sz w:val="18"/>
          <w:szCs w:val="18"/>
          <w:lang w:val="de-DE"/>
        </w:rPr>
        <w:t xml:space="preserve">Soweit in der Vereinbarung über Datenverarbeitung nichts anderes bestimmt ist, haben die nachfolgend aufgeführten </w:t>
      </w:r>
      <w:r>
        <w:rPr>
          <w:rFonts w:ascii="Segoe UI" w:hAnsi="Segoe UI" w:cs="Segoe UI"/>
          <w:sz w:val="18"/>
          <w:szCs w:val="18"/>
          <w:lang w:val="de-DE"/>
        </w:rPr>
        <w:t xml:space="preserve">und in diesen Standardvertragsklauseln verwendeten </w:t>
      </w:r>
      <w:r w:rsidRPr="00D05CF3">
        <w:rPr>
          <w:rFonts w:ascii="Segoe UI" w:hAnsi="Segoe UI" w:cs="Segoe UI"/>
          <w:sz w:val="18"/>
          <w:szCs w:val="18"/>
          <w:lang w:val="de-DE"/>
        </w:rPr>
        <w:t>Be</w:t>
      </w:r>
      <w:r>
        <w:rPr>
          <w:rFonts w:ascii="Segoe UI" w:hAnsi="Segoe UI" w:cs="Segoe UI"/>
          <w:sz w:val="18"/>
          <w:szCs w:val="18"/>
          <w:lang w:val="de-DE"/>
        </w:rPr>
        <w:t>griffe die folgenden Bedeutungen</w:t>
      </w:r>
      <w:r w:rsidRPr="00D05CF3">
        <w:rPr>
          <w:rFonts w:ascii="Segoe UI" w:hAnsi="Segoe UI" w:cs="Segoe UI"/>
          <w:sz w:val="18"/>
          <w:szCs w:val="18"/>
          <w:lang w:val="de-DE"/>
        </w:rPr>
        <w:t xml:space="preserve">: </w:t>
      </w:r>
    </w:p>
    <w:p w14:paraId="3974D344" w14:textId="77777777" w:rsidR="00B17F4C" w:rsidRPr="00D05CF3" w:rsidRDefault="00B17F4C" w:rsidP="00B17F4C">
      <w:pPr>
        <w:pStyle w:val="Prrafodelista"/>
        <w:numPr>
          <w:ilvl w:val="0"/>
          <w:numId w:val="8"/>
        </w:numPr>
        <w:spacing w:after="0" w:line="240" w:lineRule="auto"/>
        <w:ind w:left="-851" w:right="-851" w:hanging="207"/>
        <w:jc w:val="both"/>
        <w:rPr>
          <w:rFonts w:ascii="Segoe UI" w:hAnsi="Segoe UI" w:cs="Segoe UI"/>
          <w:sz w:val="18"/>
          <w:szCs w:val="18"/>
          <w:lang w:val="de-DE"/>
        </w:rPr>
      </w:pPr>
      <w:r>
        <w:rPr>
          <w:rFonts w:ascii="Segoe UI" w:hAnsi="Segoe UI" w:cs="Segoe UI"/>
          <w:sz w:val="18"/>
          <w:szCs w:val="18"/>
          <w:lang w:val="de-DE"/>
        </w:rPr>
        <w:t>„</w:t>
      </w:r>
      <w:r w:rsidRPr="00D05CF3">
        <w:rPr>
          <w:rFonts w:ascii="Segoe UI" w:hAnsi="Segoe UI" w:cs="Segoe UI"/>
          <w:sz w:val="18"/>
          <w:szCs w:val="18"/>
          <w:lang w:val="de-DE"/>
        </w:rPr>
        <w:t xml:space="preserve">Kaufvertrag” bezeichnet den bereits bestehenden, unterzeichneten Vertrag, der als Grundlage für die </w:t>
      </w:r>
      <w:r>
        <w:rPr>
          <w:rFonts w:ascii="Segoe UI" w:hAnsi="Segoe UI" w:cs="Segoe UI"/>
          <w:sz w:val="18"/>
          <w:szCs w:val="18"/>
          <w:lang w:val="de-DE"/>
        </w:rPr>
        <w:t xml:space="preserve">geschäftliche Transaktion zwischen dem Kunden und </w:t>
      </w:r>
      <w:proofErr w:type="spellStart"/>
      <w:r w:rsidRPr="00D05CF3">
        <w:rPr>
          <w:rFonts w:ascii="Segoe UI" w:hAnsi="Segoe UI" w:cs="Segoe UI"/>
          <w:sz w:val="18"/>
          <w:szCs w:val="18"/>
          <w:lang w:val="de-DE"/>
        </w:rPr>
        <w:t>Hydrafacial</w:t>
      </w:r>
      <w:proofErr w:type="spellEnd"/>
      <w:r w:rsidRPr="00D05CF3">
        <w:rPr>
          <w:rFonts w:ascii="Segoe UI" w:hAnsi="Segoe UI" w:cs="Segoe UI"/>
          <w:sz w:val="18"/>
          <w:szCs w:val="18"/>
          <w:lang w:val="de-DE"/>
        </w:rPr>
        <w:t xml:space="preserve"> </w:t>
      </w:r>
      <w:r>
        <w:rPr>
          <w:rFonts w:ascii="Segoe UI" w:hAnsi="Segoe UI" w:cs="Segoe UI"/>
          <w:sz w:val="18"/>
          <w:szCs w:val="18"/>
          <w:lang w:val="de-DE"/>
        </w:rPr>
        <w:t>u</w:t>
      </w:r>
      <w:r w:rsidRPr="00D05CF3">
        <w:rPr>
          <w:rFonts w:ascii="Segoe UI" w:hAnsi="Segoe UI" w:cs="Segoe UI"/>
          <w:sz w:val="18"/>
          <w:szCs w:val="18"/>
          <w:lang w:val="de-DE"/>
        </w:rPr>
        <w:t>nd/o</w:t>
      </w:r>
      <w:r>
        <w:rPr>
          <w:rFonts w:ascii="Segoe UI" w:hAnsi="Segoe UI" w:cs="Segoe UI"/>
          <w:sz w:val="18"/>
          <w:szCs w:val="18"/>
          <w:lang w:val="de-DE"/>
        </w:rPr>
        <w:t>de</w:t>
      </w:r>
      <w:r w:rsidRPr="00D05CF3">
        <w:rPr>
          <w:rFonts w:ascii="Segoe UI" w:hAnsi="Segoe UI" w:cs="Segoe UI"/>
          <w:sz w:val="18"/>
          <w:szCs w:val="18"/>
          <w:lang w:val="de-DE"/>
        </w:rPr>
        <w:t xml:space="preserve">r </w:t>
      </w:r>
      <w:r>
        <w:rPr>
          <w:rFonts w:ascii="Segoe UI" w:hAnsi="Segoe UI" w:cs="Segoe UI"/>
          <w:sz w:val="18"/>
          <w:szCs w:val="18"/>
          <w:lang w:val="de-DE"/>
        </w:rPr>
        <w:t xml:space="preserve">den mit </w:t>
      </w:r>
      <w:proofErr w:type="spellStart"/>
      <w:r>
        <w:rPr>
          <w:rFonts w:ascii="Segoe UI" w:hAnsi="Segoe UI" w:cs="Segoe UI"/>
          <w:sz w:val="18"/>
          <w:szCs w:val="18"/>
          <w:lang w:val="de-DE"/>
        </w:rPr>
        <w:t>Hydrafacial</w:t>
      </w:r>
      <w:proofErr w:type="spellEnd"/>
      <w:r>
        <w:rPr>
          <w:rFonts w:ascii="Segoe UI" w:hAnsi="Segoe UI" w:cs="Segoe UI"/>
          <w:sz w:val="18"/>
          <w:szCs w:val="18"/>
          <w:lang w:val="de-DE"/>
        </w:rPr>
        <w:t xml:space="preserve"> verbundenen Unternehmen dient</w:t>
      </w:r>
      <w:r w:rsidRPr="00D05CF3">
        <w:rPr>
          <w:rFonts w:ascii="Segoe UI" w:hAnsi="Segoe UI" w:cs="Segoe UI"/>
          <w:sz w:val="18"/>
          <w:szCs w:val="18"/>
          <w:lang w:val="de-DE"/>
        </w:rPr>
        <w:t xml:space="preserve">. </w:t>
      </w:r>
    </w:p>
    <w:p w14:paraId="51D9A3CB" w14:textId="77777777" w:rsidR="00B17F4C" w:rsidRPr="00F35690" w:rsidRDefault="00B17F4C" w:rsidP="00B17F4C">
      <w:pPr>
        <w:pStyle w:val="Prrafodelista"/>
        <w:numPr>
          <w:ilvl w:val="0"/>
          <w:numId w:val="8"/>
        </w:numPr>
        <w:spacing w:after="0" w:line="240" w:lineRule="auto"/>
        <w:ind w:left="-851" w:right="-851" w:hanging="207"/>
        <w:jc w:val="both"/>
        <w:rPr>
          <w:rFonts w:ascii="Segoe UI" w:hAnsi="Segoe UI" w:cs="Segoe UI"/>
          <w:sz w:val="18"/>
          <w:szCs w:val="18"/>
          <w:lang w:val="de-DE"/>
        </w:rPr>
      </w:pPr>
      <w:r>
        <w:rPr>
          <w:rFonts w:ascii="Segoe UI" w:hAnsi="Segoe UI" w:cs="Segoe UI"/>
          <w:sz w:val="18"/>
          <w:szCs w:val="18"/>
          <w:lang w:val="de-DE"/>
        </w:rPr>
        <w:t>„</w:t>
      </w:r>
      <w:r w:rsidRPr="00F35690">
        <w:rPr>
          <w:rFonts w:ascii="Segoe UI" w:hAnsi="Segoe UI" w:cs="Segoe UI"/>
          <w:sz w:val="18"/>
          <w:szCs w:val="18"/>
          <w:lang w:val="de-DE"/>
        </w:rPr>
        <w:t>Verbundenes Unternehmen</w:t>
      </w:r>
      <w:r>
        <w:rPr>
          <w:rFonts w:ascii="Segoe UI" w:hAnsi="Segoe UI" w:cs="Segoe UI"/>
          <w:sz w:val="18"/>
          <w:szCs w:val="18"/>
          <w:lang w:val="de-DE"/>
        </w:rPr>
        <w:t>“</w:t>
      </w:r>
      <w:r w:rsidRPr="00F35690">
        <w:rPr>
          <w:rFonts w:ascii="Segoe UI" w:hAnsi="Segoe UI" w:cs="Segoe UI"/>
          <w:sz w:val="18"/>
          <w:szCs w:val="18"/>
          <w:lang w:val="de-DE"/>
        </w:rPr>
        <w:t xml:space="preserve"> bezeichnet in Bezug auf eine Partei jedes Unternehmen, dass von d</w:t>
      </w:r>
      <w:r>
        <w:rPr>
          <w:rFonts w:ascii="Segoe UI" w:hAnsi="Segoe UI" w:cs="Segoe UI"/>
          <w:sz w:val="18"/>
          <w:szCs w:val="18"/>
          <w:lang w:val="de-DE"/>
        </w:rPr>
        <w:t>ieser Partei kontrolliert wird oder</w:t>
      </w:r>
      <w:r w:rsidRPr="00F35690">
        <w:rPr>
          <w:rFonts w:ascii="Segoe UI" w:hAnsi="Segoe UI" w:cs="Segoe UI"/>
          <w:sz w:val="18"/>
          <w:szCs w:val="18"/>
          <w:lang w:val="de-DE"/>
        </w:rPr>
        <w:t xml:space="preserve"> mit dieser unter einer gemeinsamen Kontrolle steht, wobei Kontrolle als </w:t>
      </w:r>
      <w:r>
        <w:rPr>
          <w:rFonts w:ascii="Segoe UI" w:hAnsi="Segoe UI" w:cs="Segoe UI"/>
          <w:sz w:val="18"/>
          <w:szCs w:val="18"/>
          <w:lang w:val="de-DE"/>
        </w:rPr>
        <w:t xml:space="preserve">unmittelbare oder mittelbare </w:t>
      </w:r>
      <w:r w:rsidRPr="00F35690">
        <w:rPr>
          <w:rFonts w:ascii="Segoe UI" w:hAnsi="Segoe UI" w:cs="Segoe UI"/>
          <w:sz w:val="18"/>
          <w:szCs w:val="18"/>
          <w:lang w:val="de-DE"/>
        </w:rPr>
        <w:t>Inhaberschaft von mehr als 50% (</w:t>
      </w:r>
      <w:r>
        <w:rPr>
          <w:rFonts w:ascii="Segoe UI" w:hAnsi="Segoe UI" w:cs="Segoe UI"/>
          <w:sz w:val="18"/>
          <w:szCs w:val="18"/>
          <w:lang w:val="de-DE"/>
        </w:rPr>
        <w:t>fünfzig Prozent</w:t>
      </w:r>
      <w:r w:rsidRPr="00F35690">
        <w:rPr>
          <w:rFonts w:ascii="Segoe UI" w:hAnsi="Segoe UI" w:cs="Segoe UI"/>
          <w:sz w:val="18"/>
          <w:szCs w:val="18"/>
          <w:lang w:val="de-DE"/>
        </w:rPr>
        <w:t xml:space="preserve">) </w:t>
      </w:r>
      <w:r>
        <w:rPr>
          <w:rFonts w:ascii="Segoe UI" w:hAnsi="Segoe UI" w:cs="Segoe UI"/>
          <w:sz w:val="18"/>
          <w:szCs w:val="18"/>
          <w:lang w:val="de-DE"/>
        </w:rPr>
        <w:t>der Stimmrechte an diesem Unternehmen definiert wird</w:t>
      </w:r>
      <w:r w:rsidRPr="00F35690">
        <w:rPr>
          <w:rFonts w:ascii="Segoe UI" w:hAnsi="Segoe UI" w:cs="Segoe UI"/>
          <w:sz w:val="18"/>
          <w:szCs w:val="18"/>
          <w:lang w:val="de-DE"/>
        </w:rPr>
        <w:t xml:space="preserve">. </w:t>
      </w:r>
    </w:p>
    <w:p w14:paraId="256D7ADD" w14:textId="77777777" w:rsidR="00B17F4C" w:rsidRPr="00956F78" w:rsidRDefault="00B17F4C" w:rsidP="00B17F4C">
      <w:pPr>
        <w:pStyle w:val="Prrafodelista"/>
        <w:numPr>
          <w:ilvl w:val="0"/>
          <w:numId w:val="8"/>
        </w:numPr>
        <w:spacing w:after="0" w:line="240" w:lineRule="auto"/>
        <w:ind w:left="-851" w:right="-851" w:hanging="207"/>
        <w:jc w:val="both"/>
        <w:rPr>
          <w:rFonts w:ascii="Segoe UI" w:hAnsi="Segoe UI" w:cs="Segoe UI"/>
          <w:sz w:val="18"/>
          <w:szCs w:val="18"/>
          <w:lang w:val="de-DE"/>
        </w:rPr>
      </w:pPr>
      <w:r>
        <w:rPr>
          <w:rFonts w:ascii="Segoe UI" w:hAnsi="Segoe UI" w:cs="Segoe UI"/>
          <w:sz w:val="18"/>
          <w:szCs w:val="18"/>
          <w:lang w:val="de-DE"/>
        </w:rPr>
        <w:t>„</w:t>
      </w:r>
      <w:r w:rsidRPr="00956F78">
        <w:rPr>
          <w:rFonts w:ascii="Segoe UI" w:hAnsi="Segoe UI" w:cs="Segoe UI"/>
          <w:sz w:val="18"/>
          <w:szCs w:val="18"/>
          <w:lang w:val="de-DE"/>
        </w:rPr>
        <w:t>Kunde” bezeichnet eine</w:t>
      </w:r>
      <w:r>
        <w:rPr>
          <w:rFonts w:ascii="Segoe UI" w:hAnsi="Segoe UI" w:cs="Segoe UI"/>
          <w:sz w:val="18"/>
          <w:szCs w:val="18"/>
          <w:lang w:val="de-DE"/>
        </w:rPr>
        <w:t>n</w:t>
      </w:r>
      <w:r w:rsidRPr="00956F78">
        <w:rPr>
          <w:rFonts w:ascii="Segoe UI" w:hAnsi="Segoe UI" w:cs="Segoe UI"/>
          <w:sz w:val="18"/>
          <w:szCs w:val="18"/>
          <w:lang w:val="de-DE"/>
        </w:rPr>
        <w:t xml:space="preserve"> Nutzer, der in den Konto</w:t>
      </w:r>
      <w:r>
        <w:rPr>
          <w:rFonts w:ascii="Segoe UI" w:hAnsi="Segoe UI" w:cs="Segoe UI"/>
          <w:sz w:val="18"/>
          <w:szCs w:val="18"/>
          <w:lang w:val="de-DE"/>
        </w:rPr>
        <w:t>unterlagen</w:t>
      </w:r>
      <w:r w:rsidRPr="00956F78">
        <w:rPr>
          <w:rFonts w:ascii="Segoe UI" w:hAnsi="Segoe UI" w:cs="Segoe UI"/>
          <w:sz w:val="18"/>
          <w:szCs w:val="18"/>
          <w:lang w:val="de-DE"/>
        </w:rPr>
        <w:t xml:space="preserve"> </w:t>
      </w:r>
      <w:r>
        <w:rPr>
          <w:rFonts w:ascii="Segoe UI" w:hAnsi="Segoe UI" w:cs="Segoe UI"/>
          <w:sz w:val="18"/>
          <w:szCs w:val="18"/>
          <w:lang w:val="de-DE"/>
        </w:rPr>
        <w:t xml:space="preserve">von </w:t>
      </w:r>
      <w:proofErr w:type="spellStart"/>
      <w:r w:rsidRPr="00956F78">
        <w:rPr>
          <w:rFonts w:ascii="Segoe UI" w:eastAsia="Times New Roman" w:hAnsi="Segoe UI" w:cs="Segoe UI"/>
          <w:color w:val="000000"/>
          <w:sz w:val="18"/>
          <w:szCs w:val="18"/>
          <w:lang w:val="de-DE" w:eastAsia="es-ES"/>
        </w:rPr>
        <w:t>Hydrafacial</w:t>
      </w:r>
      <w:proofErr w:type="spellEnd"/>
      <w:r w:rsidRPr="00956F78">
        <w:rPr>
          <w:rFonts w:ascii="Segoe UI" w:eastAsia="Times New Roman" w:hAnsi="Segoe UI" w:cs="Segoe UI"/>
          <w:color w:val="000000"/>
          <w:sz w:val="18"/>
          <w:szCs w:val="18"/>
          <w:lang w:val="de-DE" w:eastAsia="es-ES"/>
        </w:rPr>
        <w:t xml:space="preserve"> </w:t>
      </w:r>
      <w:r>
        <w:rPr>
          <w:rFonts w:ascii="Segoe UI" w:eastAsia="Times New Roman" w:hAnsi="Segoe UI" w:cs="Segoe UI"/>
          <w:color w:val="000000"/>
          <w:sz w:val="18"/>
          <w:szCs w:val="18"/>
          <w:lang w:val="de-DE" w:eastAsia="es-ES"/>
        </w:rPr>
        <w:t xml:space="preserve">oder ausweislich der </w:t>
      </w:r>
      <w:proofErr w:type="spellStart"/>
      <w:r>
        <w:rPr>
          <w:rFonts w:ascii="Segoe UI" w:eastAsia="Times New Roman" w:hAnsi="Segoe UI" w:cs="Segoe UI"/>
          <w:color w:val="000000"/>
          <w:sz w:val="18"/>
          <w:szCs w:val="18"/>
          <w:lang w:val="de-DE" w:eastAsia="es-ES"/>
        </w:rPr>
        <w:t>Untersschriften</w:t>
      </w:r>
      <w:proofErr w:type="spellEnd"/>
      <w:r>
        <w:rPr>
          <w:rFonts w:ascii="Segoe UI" w:eastAsia="Times New Roman" w:hAnsi="Segoe UI" w:cs="Segoe UI"/>
          <w:color w:val="000000"/>
          <w:sz w:val="18"/>
          <w:szCs w:val="18"/>
          <w:lang w:val="de-DE" w:eastAsia="es-ES"/>
        </w:rPr>
        <w:t xml:space="preserve"> auf dem Kaufvertrag als Anbieter </w:t>
      </w:r>
      <w:r w:rsidRPr="00956F78">
        <w:rPr>
          <w:rFonts w:ascii="Segoe UI" w:eastAsia="Times New Roman" w:hAnsi="Segoe UI" w:cs="Segoe UI"/>
          <w:color w:val="000000"/>
          <w:sz w:val="18"/>
          <w:szCs w:val="18"/>
          <w:lang w:val="de-DE" w:eastAsia="es-ES"/>
        </w:rPr>
        <w:t>(</w:t>
      </w:r>
      <w:r>
        <w:rPr>
          <w:rFonts w:ascii="Segoe UI" w:eastAsia="Times New Roman" w:hAnsi="Segoe UI" w:cs="Segoe UI"/>
          <w:color w:val="000000"/>
          <w:sz w:val="18"/>
          <w:szCs w:val="18"/>
          <w:lang w:val="de-DE" w:eastAsia="es-ES"/>
        </w:rPr>
        <w:t>K</w:t>
      </w:r>
      <w:r w:rsidRPr="00956F78">
        <w:rPr>
          <w:rFonts w:ascii="Segoe UI" w:eastAsia="Times New Roman" w:hAnsi="Segoe UI" w:cs="Segoe UI"/>
          <w:color w:val="000000"/>
          <w:sz w:val="18"/>
          <w:szCs w:val="18"/>
          <w:lang w:val="de-DE" w:eastAsia="es-ES"/>
        </w:rPr>
        <w:t>lini</w:t>
      </w:r>
      <w:r>
        <w:rPr>
          <w:rFonts w:ascii="Segoe UI" w:eastAsia="Times New Roman" w:hAnsi="Segoe UI" w:cs="Segoe UI"/>
          <w:color w:val="000000"/>
          <w:sz w:val="18"/>
          <w:szCs w:val="18"/>
          <w:lang w:val="de-DE" w:eastAsia="es-ES"/>
        </w:rPr>
        <w:t>k/Z</w:t>
      </w:r>
      <w:r w:rsidRPr="00956F78">
        <w:rPr>
          <w:rFonts w:ascii="Segoe UI" w:eastAsia="Times New Roman" w:hAnsi="Segoe UI" w:cs="Segoe UI"/>
          <w:color w:val="000000"/>
          <w:sz w:val="18"/>
          <w:szCs w:val="18"/>
          <w:lang w:val="de-DE" w:eastAsia="es-ES"/>
        </w:rPr>
        <w:t>entr</w:t>
      </w:r>
      <w:r>
        <w:rPr>
          <w:rFonts w:ascii="Segoe UI" w:eastAsia="Times New Roman" w:hAnsi="Segoe UI" w:cs="Segoe UI"/>
          <w:color w:val="000000"/>
          <w:sz w:val="18"/>
          <w:szCs w:val="18"/>
          <w:lang w:val="de-DE" w:eastAsia="es-ES"/>
        </w:rPr>
        <w:t>um</w:t>
      </w:r>
      <w:r w:rsidRPr="00956F78">
        <w:rPr>
          <w:rFonts w:ascii="Segoe UI" w:eastAsia="Times New Roman" w:hAnsi="Segoe UI" w:cs="Segoe UI"/>
          <w:color w:val="000000"/>
          <w:sz w:val="18"/>
          <w:szCs w:val="18"/>
          <w:lang w:val="de-DE" w:eastAsia="es-ES"/>
        </w:rPr>
        <w:t xml:space="preserve">) </w:t>
      </w:r>
      <w:r>
        <w:rPr>
          <w:rFonts w:ascii="Segoe UI" w:eastAsia="Times New Roman" w:hAnsi="Segoe UI" w:cs="Segoe UI"/>
          <w:color w:val="000000"/>
          <w:sz w:val="18"/>
          <w:szCs w:val="18"/>
          <w:lang w:val="de-DE" w:eastAsia="es-ES"/>
        </w:rPr>
        <w:t>geführt wird</w:t>
      </w:r>
      <w:r w:rsidRPr="00956F78">
        <w:rPr>
          <w:rFonts w:ascii="Segoe UI" w:eastAsia="Times New Roman" w:hAnsi="Segoe UI" w:cs="Segoe UI"/>
          <w:color w:val="000000"/>
          <w:sz w:val="18"/>
          <w:szCs w:val="18"/>
          <w:lang w:val="de-DE" w:eastAsia="es-ES"/>
        </w:rPr>
        <w:t>.</w:t>
      </w:r>
    </w:p>
    <w:p w14:paraId="740F3B23" w14:textId="77777777" w:rsidR="00B17F4C" w:rsidRPr="00845DEE" w:rsidRDefault="00B17F4C" w:rsidP="00B17F4C">
      <w:pPr>
        <w:pStyle w:val="Prrafodelista"/>
        <w:numPr>
          <w:ilvl w:val="0"/>
          <w:numId w:val="8"/>
        </w:numPr>
        <w:spacing w:after="0"/>
        <w:ind w:left="-839" w:right="-994" w:hanging="295"/>
        <w:jc w:val="both"/>
        <w:rPr>
          <w:rFonts w:ascii="Segoe UI" w:hAnsi="Segoe UI" w:cs="Segoe UI"/>
          <w:sz w:val="18"/>
          <w:szCs w:val="18"/>
          <w:lang w:val="de-DE"/>
        </w:rPr>
      </w:pPr>
      <w:r w:rsidRPr="0054561C">
        <w:rPr>
          <w:rFonts w:ascii="Segoe UI" w:hAnsi="Segoe UI" w:cs="Segoe UI"/>
          <w:sz w:val="18"/>
          <w:szCs w:val="18"/>
          <w:lang w:val="de-DE"/>
        </w:rPr>
        <w:t>„EU-Datenschutzrecht” bezeichnet (a) die Datenschutz-Grundverordnung der EU (Verordnung 2016/679) (DSGVO),</w:t>
      </w:r>
      <w:r>
        <w:rPr>
          <w:rFonts w:ascii="Segoe UI" w:hAnsi="Segoe UI" w:cs="Segoe UI"/>
          <w:sz w:val="18"/>
          <w:szCs w:val="18"/>
          <w:lang w:val="de-DE"/>
        </w:rPr>
        <w:t xml:space="preserve"> (b</w:t>
      </w:r>
      <w:r w:rsidRPr="0054561C">
        <w:rPr>
          <w:rFonts w:ascii="Segoe UI" w:hAnsi="Segoe UI" w:cs="Segoe UI"/>
          <w:sz w:val="18"/>
          <w:szCs w:val="18"/>
          <w:lang w:val="de-DE"/>
        </w:rPr>
        <w:t xml:space="preserve">) die Datenschutzrichtlinie für elektronische Kommunikation der EU (Richtlinie </w:t>
      </w:r>
      <w:r>
        <w:rPr>
          <w:rFonts w:ascii="Segoe UI" w:hAnsi="Segoe UI" w:cs="Segoe UI"/>
          <w:sz w:val="18"/>
          <w:szCs w:val="18"/>
          <w:lang w:val="de-DE"/>
        </w:rPr>
        <w:t>2</w:t>
      </w:r>
      <w:r w:rsidRPr="0054561C">
        <w:rPr>
          <w:rFonts w:ascii="Segoe UI" w:hAnsi="Segoe UI" w:cs="Segoe UI"/>
          <w:sz w:val="18"/>
          <w:szCs w:val="18"/>
          <w:lang w:val="de-DE"/>
        </w:rPr>
        <w:t>002/58/EK) sowie (</w:t>
      </w:r>
      <w:r>
        <w:rPr>
          <w:rFonts w:ascii="Segoe UI" w:hAnsi="Segoe UI" w:cs="Segoe UI"/>
          <w:sz w:val="18"/>
          <w:szCs w:val="18"/>
          <w:lang w:val="de-DE"/>
        </w:rPr>
        <w:t>c</w:t>
      </w:r>
      <w:r w:rsidRPr="0054561C">
        <w:rPr>
          <w:rFonts w:ascii="Segoe UI" w:hAnsi="Segoe UI" w:cs="Segoe UI"/>
          <w:sz w:val="18"/>
          <w:szCs w:val="18"/>
          <w:lang w:val="de-DE"/>
        </w:rPr>
        <w:t>) alle Gesetze, die ein EU-Mitgliedstaat auf der Grundlage oder gemäß den vorgenannten Vorschriften erlassen hat, jeweils in der von Zeit zu Zeit geänderten oder ersetzten Fassung.</w:t>
      </w:r>
      <w:r w:rsidRPr="00845DEE">
        <w:rPr>
          <w:rFonts w:ascii="Segoe UI" w:hAnsi="Segoe UI" w:cs="Segoe UI"/>
          <w:sz w:val="18"/>
          <w:szCs w:val="18"/>
          <w:lang w:val="de-DE"/>
        </w:rPr>
        <w:t xml:space="preserve"> </w:t>
      </w:r>
    </w:p>
    <w:p w14:paraId="075C992A" w14:textId="77777777" w:rsidR="00B17F4C" w:rsidRPr="00845DEE" w:rsidRDefault="00B17F4C" w:rsidP="00B17F4C">
      <w:pPr>
        <w:pStyle w:val="Prrafodelista"/>
        <w:numPr>
          <w:ilvl w:val="0"/>
          <w:numId w:val="8"/>
        </w:numPr>
        <w:spacing w:after="0" w:line="240" w:lineRule="auto"/>
        <w:ind w:left="-851" w:right="-851" w:hanging="207"/>
        <w:jc w:val="both"/>
        <w:rPr>
          <w:rFonts w:ascii="Segoe UI" w:hAnsi="Segoe UI" w:cs="Segoe UI"/>
          <w:sz w:val="18"/>
          <w:szCs w:val="18"/>
          <w:lang w:val="de-DE"/>
        </w:rPr>
      </w:pPr>
      <w:r>
        <w:rPr>
          <w:rFonts w:ascii="Segoe UI" w:hAnsi="Segoe UI" w:cs="Segoe UI"/>
          <w:sz w:val="18"/>
          <w:szCs w:val="18"/>
          <w:lang w:val="de-DE"/>
        </w:rPr>
        <w:t>„</w:t>
      </w:r>
      <w:r w:rsidRPr="00845DEE">
        <w:rPr>
          <w:rFonts w:ascii="Segoe UI" w:hAnsi="Segoe UI" w:cs="Segoe UI"/>
          <w:sz w:val="18"/>
          <w:szCs w:val="18"/>
          <w:lang w:val="de-DE"/>
        </w:rPr>
        <w:t>EU-</w:t>
      </w:r>
      <w:r>
        <w:rPr>
          <w:rFonts w:ascii="Segoe UI" w:hAnsi="Segoe UI" w:cs="Segoe UI"/>
          <w:sz w:val="18"/>
          <w:szCs w:val="18"/>
          <w:lang w:val="de-DE"/>
        </w:rPr>
        <w:t>SVK</w:t>
      </w:r>
      <w:r w:rsidRPr="00845DEE">
        <w:rPr>
          <w:rFonts w:ascii="Segoe UI" w:hAnsi="Segoe UI" w:cs="Segoe UI"/>
          <w:sz w:val="18"/>
          <w:szCs w:val="18"/>
          <w:lang w:val="de-DE"/>
        </w:rPr>
        <w:t xml:space="preserve">” bezeichnet die durch die Entscheidung der EU 2021/914 vom 4. Juni 2021 über Standardvertragsklauseln für die Übermittlung personenbezogener Daten in Drittländern gemäß der Verordnung (EU) 2016/679 des Europäischen Parlaments und des Rates ausgewiesenen Standardvertragsklauseln. </w:t>
      </w:r>
    </w:p>
    <w:p w14:paraId="066CA605" w14:textId="77777777" w:rsidR="00B17F4C" w:rsidRPr="00845DEE" w:rsidRDefault="00B17F4C" w:rsidP="00B17F4C">
      <w:pPr>
        <w:pStyle w:val="Prrafodelista"/>
        <w:numPr>
          <w:ilvl w:val="0"/>
          <w:numId w:val="8"/>
        </w:numPr>
        <w:spacing w:after="0" w:line="240" w:lineRule="auto"/>
        <w:ind w:left="-851" w:right="-851" w:hanging="207"/>
        <w:jc w:val="both"/>
        <w:rPr>
          <w:rFonts w:ascii="Segoe UI" w:hAnsi="Segoe UI" w:cs="Segoe UI"/>
          <w:sz w:val="18"/>
          <w:szCs w:val="18"/>
          <w:lang w:val="de-DE"/>
        </w:rPr>
      </w:pPr>
      <w:r>
        <w:rPr>
          <w:rFonts w:ascii="Segoe UI" w:hAnsi="Segoe UI" w:cs="Segoe UI"/>
          <w:sz w:val="18"/>
          <w:szCs w:val="18"/>
          <w:lang w:val="de-DE"/>
        </w:rPr>
        <w:t>„</w:t>
      </w:r>
      <w:r w:rsidRPr="00845DEE">
        <w:rPr>
          <w:rFonts w:ascii="Segoe UI" w:hAnsi="Segoe UI" w:cs="Segoe UI"/>
          <w:sz w:val="18"/>
          <w:szCs w:val="18"/>
          <w:lang w:val="de-DE"/>
        </w:rPr>
        <w:t>IDTA</w:t>
      </w:r>
      <w:r>
        <w:rPr>
          <w:rFonts w:ascii="Segoe UI" w:hAnsi="Segoe UI" w:cs="Segoe UI"/>
          <w:sz w:val="18"/>
          <w:szCs w:val="18"/>
          <w:lang w:val="de-DE"/>
        </w:rPr>
        <w:t xml:space="preserve"> (Internationales Datenübertragungsabkommen und Leitlinien)</w:t>
      </w:r>
      <w:r w:rsidRPr="00845DEE">
        <w:rPr>
          <w:rFonts w:ascii="Segoe UI" w:hAnsi="Segoe UI" w:cs="Segoe UI"/>
          <w:sz w:val="18"/>
          <w:szCs w:val="18"/>
          <w:lang w:val="de-DE"/>
        </w:rPr>
        <w:t xml:space="preserve">” bezeichnet den </w:t>
      </w:r>
      <w:r>
        <w:rPr>
          <w:rFonts w:ascii="Segoe UI" w:hAnsi="Segoe UI" w:cs="Segoe UI"/>
          <w:sz w:val="18"/>
          <w:szCs w:val="18"/>
          <w:lang w:val="de-DE"/>
        </w:rPr>
        <w:t>Zusatz zu den EU-SVK</w:t>
      </w:r>
      <w:r w:rsidRPr="00845DEE">
        <w:rPr>
          <w:rFonts w:ascii="Segoe UI" w:hAnsi="Segoe UI" w:cs="Segoe UI"/>
          <w:sz w:val="18"/>
          <w:szCs w:val="18"/>
          <w:lang w:val="de-DE"/>
        </w:rPr>
        <w:t xml:space="preserve"> für internationale Datenübermittlungen</w:t>
      </w:r>
      <w:r>
        <w:rPr>
          <w:rFonts w:ascii="Segoe UI" w:hAnsi="Segoe UI" w:cs="Segoe UI"/>
          <w:sz w:val="18"/>
          <w:szCs w:val="18"/>
          <w:lang w:val="de-DE"/>
        </w:rPr>
        <w:t xml:space="preserve">, der vom Datenschutzbeauftragen gemäß </w:t>
      </w:r>
      <w:r w:rsidRPr="00845DEE">
        <w:rPr>
          <w:rFonts w:ascii="Segoe UI" w:hAnsi="Segoe UI" w:cs="Segoe UI"/>
          <w:sz w:val="18"/>
          <w:szCs w:val="18"/>
          <w:lang w:val="de-DE"/>
        </w:rPr>
        <w:t>S119</w:t>
      </w:r>
      <w:proofErr w:type="gramStart"/>
      <w:r w:rsidRPr="00845DEE">
        <w:rPr>
          <w:rFonts w:ascii="Segoe UI" w:hAnsi="Segoe UI" w:cs="Segoe UI"/>
          <w:sz w:val="18"/>
          <w:szCs w:val="18"/>
          <w:lang w:val="de-DE"/>
        </w:rPr>
        <w:t>A(</w:t>
      </w:r>
      <w:proofErr w:type="gramEnd"/>
      <w:r w:rsidRPr="00845DEE">
        <w:rPr>
          <w:rFonts w:ascii="Segoe UI" w:hAnsi="Segoe UI" w:cs="Segoe UI"/>
          <w:sz w:val="18"/>
          <w:szCs w:val="18"/>
          <w:lang w:val="de-DE"/>
        </w:rPr>
        <w:t xml:space="preserve">1) </w:t>
      </w:r>
      <w:r>
        <w:rPr>
          <w:rFonts w:ascii="Segoe UI" w:hAnsi="Segoe UI" w:cs="Segoe UI"/>
          <w:sz w:val="18"/>
          <w:szCs w:val="18"/>
          <w:lang w:val="de-DE"/>
        </w:rPr>
        <w:t xml:space="preserve">Datenschutzgesetz von </w:t>
      </w:r>
      <w:r w:rsidRPr="00845DEE">
        <w:rPr>
          <w:rFonts w:ascii="Segoe UI" w:hAnsi="Segoe UI" w:cs="Segoe UI"/>
          <w:sz w:val="18"/>
          <w:szCs w:val="18"/>
          <w:lang w:val="de-DE"/>
        </w:rPr>
        <w:t xml:space="preserve">2018, Version B1.0, </w:t>
      </w:r>
      <w:r>
        <w:rPr>
          <w:rFonts w:ascii="Segoe UI" w:hAnsi="Segoe UI" w:cs="Segoe UI"/>
          <w:sz w:val="18"/>
          <w:szCs w:val="18"/>
          <w:lang w:val="de-DE"/>
        </w:rPr>
        <w:t>in Kraft seit 21. März</w:t>
      </w:r>
      <w:r w:rsidRPr="00845DEE">
        <w:rPr>
          <w:rFonts w:ascii="Segoe UI" w:hAnsi="Segoe UI" w:cs="Segoe UI"/>
          <w:sz w:val="18"/>
          <w:szCs w:val="18"/>
          <w:lang w:val="de-DE"/>
        </w:rPr>
        <w:t xml:space="preserve"> 2022</w:t>
      </w:r>
      <w:r>
        <w:rPr>
          <w:rFonts w:ascii="Segoe UI" w:hAnsi="Segoe UI" w:cs="Segoe UI"/>
          <w:sz w:val="18"/>
          <w:szCs w:val="18"/>
          <w:lang w:val="de-DE"/>
        </w:rPr>
        <w:t>, erlassen wurde</w:t>
      </w:r>
      <w:r w:rsidRPr="00845DEE">
        <w:rPr>
          <w:rFonts w:ascii="Segoe UI" w:hAnsi="Segoe UI" w:cs="Segoe UI"/>
          <w:sz w:val="18"/>
          <w:szCs w:val="18"/>
          <w:lang w:val="de-DE"/>
        </w:rPr>
        <w:t xml:space="preserve">. </w:t>
      </w:r>
    </w:p>
    <w:p w14:paraId="1129C56B" w14:textId="77777777" w:rsidR="00B17F4C" w:rsidRPr="0054561C" w:rsidRDefault="00B17F4C" w:rsidP="00B17F4C">
      <w:pPr>
        <w:pStyle w:val="Prrafodelista"/>
        <w:numPr>
          <w:ilvl w:val="0"/>
          <w:numId w:val="11"/>
        </w:numPr>
        <w:spacing w:after="0"/>
        <w:ind w:left="-851" w:right="-994" w:hanging="142"/>
        <w:jc w:val="both"/>
        <w:rPr>
          <w:rFonts w:ascii="Segoe UI" w:hAnsi="Segoe UI" w:cs="Segoe UI"/>
          <w:sz w:val="18"/>
          <w:szCs w:val="18"/>
          <w:lang w:val="de-DE"/>
        </w:rPr>
      </w:pPr>
      <w:r w:rsidRPr="008E3072">
        <w:rPr>
          <w:rFonts w:ascii="Segoe UI" w:hAnsi="Segoe UI" w:cs="Segoe UI"/>
          <w:sz w:val="18"/>
          <w:szCs w:val="18"/>
          <w:lang w:val="de-DE"/>
        </w:rPr>
        <w:t xml:space="preserve"> </w:t>
      </w:r>
      <w:r w:rsidRPr="0054561C">
        <w:rPr>
          <w:rFonts w:ascii="Segoe UI" w:hAnsi="Segoe UI" w:cs="Segoe UI"/>
          <w:sz w:val="18"/>
          <w:szCs w:val="18"/>
          <w:lang w:val="de-DE"/>
        </w:rPr>
        <w:t xml:space="preserve">„Schweizerisches Datenschutzrecht“ bezeichnet für den Zeitraum von 1992 bis </w:t>
      </w:r>
      <w:r>
        <w:rPr>
          <w:rFonts w:ascii="Segoe UI" w:hAnsi="Segoe UI" w:cs="Segoe UI"/>
          <w:sz w:val="18"/>
          <w:szCs w:val="18"/>
          <w:lang w:val="de-DE"/>
        </w:rPr>
        <w:t xml:space="preserve">31. </w:t>
      </w:r>
      <w:r w:rsidRPr="0054561C">
        <w:rPr>
          <w:rFonts w:ascii="Segoe UI" w:hAnsi="Segoe UI" w:cs="Segoe UI"/>
          <w:sz w:val="18"/>
          <w:szCs w:val="18"/>
          <w:lang w:val="de-DE"/>
        </w:rPr>
        <w:t>Dezember 2022 das schweizerische Bundesgesetz über den Datenschutz (DSG) und ab dem 1. Januar 2023 das novellierte schweizerische Bundesgesetz über den Datenschutz (novelliertes DSG) von 2020, jeweils in der von Zeit zu Zeit geänderten oder ersetzten Fassung.</w:t>
      </w:r>
    </w:p>
    <w:p w14:paraId="0A8744CF" w14:textId="77777777" w:rsidR="00B17F4C" w:rsidRPr="0054561C" w:rsidRDefault="00B17F4C" w:rsidP="00B17F4C">
      <w:pPr>
        <w:pStyle w:val="Prrafodelista"/>
        <w:numPr>
          <w:ilvl w:val="0"/>
          <w:numId w:val="11"/>
        </w:numPr>
        <w:spacing w:after="0"/>
        <w:ind w:left="-851" w:right="-994" w:hanging="284"/>
        <w:jc w:val="both"/>
        <w:rPr>
          <w:rFonts w:ascii="Segoe UI" w:hAnsi="Segoe UI" w:cs="Segoe UI"/>
          <w:sz w:val="18"/>
          <w:szCs w:val="18"/>
          <w:lang w:val="de-DE"/>
        </w:rPr>
      </w:pPr>
      <w:r w:rsidRPr="0054561C">
        <w:rPr>
          <w:rFonts w:ascii="Segoe UI" w:hAnsi="Segoe UI" w:cs="Segoe UI"/>
          <w:sz w:val="18"/>
          <w:szCs w:val="18"/>
          <w:lang w:val="de-DE"/>
        </w:rPr>
        <w:t>„UK-Datenschutzrecht“ bezeichnet die aus den Richtlinien über Datenschutz, Schutz der Privatsphäre und elektronische Kommunikation (mit Änderungen etc.) (</w:t>
      </w:r>
      <w:proofErr w:type="gramStart"/>
      <w:r w:rsidRPr="0054561C">
        <w:rPr>
          <w:rFonts w:ascii="Segoe UI" w:hAnsi="Segoe UI" w:cs="Segoe UI"/>
          <w:sz w:val="18"/>
          <w:szCs w:val="18"/>
          <w:lang w:val="de-DE"/>
        </w:rPr>
        <w:t>EU Exit</w:t>
      </w:r>
      <w:proofErr w:type="gramEnd"/>
      <w:r w:rsidRPr="0054561C">
        <w:rPr>
          <w:rFonts w:ascii="Segoe UI" w:hAnsi="Segoe UI" w:cs="Segoe UI"/>
          <w:sz w:val="18"/>
          <w:szCs w:val="18"/>
          <w:lang w:val="de-DE"/>
        </w:rPr>
        <w:t>) 2019/419 übernommene Datenschutzgesetzgebung, ergänzt durch die Vorschriften des Datenschutzgesetzes von 2018 (UK-DSG) und der UK-DSGVO (beibehaltene Richtlinie (EU) 2016/679 (UK-DSGVO) gemäß dem entsprechenden Abschnitt des Vertrags mit der Europäischen Union (Austrittsvertrag von 2018), jeweils in der von Zeit zu Zeit geänderten oder ersetzten Fassung.</w:t>
      </w:r>
    </w:p>
    <w:p w14:paraId="02676FC0" w14:textId="77777777" w:rsidR="00B17F4C" w:rsidRPr="00B17F4C" w:rsidRDefault="00B17F4C" w:rsidP="00B17F4C">
      <w:pPr>
        <w:pStyle w:val="Prrafodelista"/>
        <w:spacing w:after="0" w:line="240" w:lineRule="auto"/>
        <w:ind w:left="-567" w:right="-851"/>
        <w:jc w:val="both"/>
        <w:rPr>
          <w:rFonts w:ascii="Segoe UI" w:hAnsi="Segoe UI" w:cs="Segoe UI"/>
          <w:sz w:val="18"/>
          <w:szCs w:val="18"/>
          <w:lang w:val="de-DE"/>
        </w:rPr>
      </w:pPr>
    </w:p>
    <w:p w14:paraId="5536D537" w14:textId="77777777" w:rsidR="00B17F4C" w:rsidRPr="008E3072" w:rsidRDefault="00B17F4C" w:rsidP="00B17F4C">
      <w:pPr>
        <w:ind w:left="-1134" w:right="-852"/>
        <w:jc w:val="both"/>
        <w:rPr>
          <w:rFonts w:ascii="Segoe UI" w:hAnsi="Segoe UI" w:cs="Segoe UI"/>
          <w:sz w:val="18"/>
          <w:szCs w:val="18"/>
          <w:lang w:val="de-DE"/>
        </w:rPr>
      </w:pPr>
      <w:r w:rsidRPr="008E3072">
        <w:rPr>
          <w:rFonts w:ascii="Segoe UI" w:hAnsi="Segoe UI" w:cs="Segoe UI"/>
          <w:sz w:val="18"/>
          <w:szCs w:val="18"/>
          <w:lang w:val="de-DE"/>
        </w:rPr>
        <w:t>Alle anderen hervorgehobenen Begriffe, die</w:t>
      </w:r>
      <w:r>
        <w:rPr>
          <w:rFonts w:ascii="Segoe UI" w:hAnsi="Segoe UI" w:cs="Segoe UI"/>
          <w:sz w:val="18"/>
          <w:szCs w:val="18"/>
          <w:lang w:val="de-DE"/>
        </w:rPr>
        <w:t xml:space="preserve"> in diesen HF-SVK</w:t>
      </w:r>
      <w:r w:rsidRPr="008E3072">
        <w:rPr>
          <w:rFonts w:ascii="Segoe UI" w:hAnsi="Segoe UI" w:cs="Segoe UI"/>
          <w:sz w:val="18"/>
          <w:szCs w:val="18"/>
          <w:lang w:val="de-DE"/>
        </w:rPr>
        <w:t xml:space="preserve"> verwendet, aber nicht definiert werden, haben jeweils die gleiche Bedeutung wie in der Vereinbarung über Datenverarbeitung und dem Kaufvertrag. </w:t>
      </w:r>
    </w:p>
    <w:p w14:paraId="339E8F3A" w14:textId="77777777" w:rsidR="00B17F4C" w:rsidRPr="00F35690" w:rsidRDefault="00B17F4C" w:rsidP="00B17F4C">
      <w:pPr>
        <w:pStyle w:val="Prrafodelista"/>
        <w:numPr>
          <w:ilvl w:val="0"/>
          <w:numId w:val="1"/>
        </w:numPr>
        <w:ind w:left="-851" w:right="-852" w:hanging="283"/>
        <w:jc w:val="both"/>
        <w:rPr>
          <w:rFonts w:ascii="Segoe UI" w:hAnsi="Segoe UI" w:cs="Segoe UI"/>
          <w:b/>
          <w:bCs/>
          <w:sz w:val="20"/>
          <w:szCs w:val="20"/>
          <w:lang w:val="de-DE"/>
        </w:rPr>
      </w:pPr>
      <w:r w:rsidRPr="00F35690">
        <w:rPr>
          <w:rFonts w:ascii="Segoe UI" w:hAnsi="Segoe UI" w:cs="Segoe UI"/>
          <w:b/>
          <w:bCs/>
          <w:sz w:val="20"/>
          <w:szCs w:val="20"/>
          <w:lang w:val="de-DE"/>
        </w:rPr>
        <w:t>EU-</w:t>
      </w:r>
      <w:r>
        <w:rPr>
          <w:rFonts w:ascii="Segoe UI" w:hAnsi="Segoe UI" w:cs="Segoe UI"/>
          <w:b/>
          <w:bCs/>
          <w:sz w:val="20"/>
          <w:szCs w:val="20"/>
          <w:lang w:val="de-DE"/>
        </w:rPr>
        <w:t>SVK</w:t>
      </w:r>
      <w:r w:rsidRPr="00F35690">
        <w:rPr>
          <w:rFonts w:ascii="Segoe UI" w:hAnsi="Segoe UI" w:cs="Segoe UI"/>
          <w:b/>
          <w:bCs/>
          <w:sz w:val="20"/>
          <w:szCs w:val="20"/>
          <w:lang w:val="de-DE"/>
        </w:rPr>
        <w:t xml:space="preserve"> </w:t>
      </w:r>
    </w:p>
    <w:p w14:paraId="64E9724B" w14:textId="77777777" w:rsidR="00B17F4C" w:rsidRPr="00D05CF3" w:rsidRDefault="00B17F4C" w:rsidP="00B17F4C">
      <w:pPr>
        <w:ind w:left="-1134" w:right="-852"/>
        <w:jc w:val="both"/>
        <w:rPr>
          <w:rFonts w:ascii="Segoe UI" w:hAnsi="Segoe UI" w:cs="Segoe UI"/>
          <w:sz w:val="18"/>
          <w:szCs w:val="18"/>
          <w:lang w:val="de-DE"/>
        </w:rPr>
      </w:pPr>
      <w:r w:rsidRPr="00D05CF3">
        <w:rPr>
          <w:rFonts w:ascii="Segoe UI" w:hAnsi="Segoe UI" w:cs="Segoe UI"/>
          <w:sz w:val="18"/>
          <w:szCs w:val="18"/>
          <w:lang w:val="de-DE"/>
        </w:rPr>
        <w:t>Einbeziehung von Modul Zwei der EU-</w:t>
      </w:r>
      <w:r>
        <w:rPr>
          <w:rFonts w:ascii="Segoe UI" w:hAnsi="Segoe UI" w:cs="Segoe UI"/>
          <w:sz w:val="18"/>
          <w:szCs w:val="18"/>
          <w:lang w:val="de-DE"/>
        </w:rPr>
        <w:t>SVK</w:t>
      </w:r>
      <w:r w:rsidRPr="00D05CF3">
        <w:rPr>
          <w:rFonts w:ascii="Segoe UI" w:hAnsi="Segoe UI" w:cs="Segoe UI"/>
          <w:sz w:val="18"/>
          <w:szCs w:val="18"/>
          <w:lang w:val="de-DE"/>
        </w:rPr>
        <w:t xml:space="preserve"> (Übermittlung vo</w:t>
      </w:r>
      <w:r>
        <w:rPr>
          <w:rFonts w:ascii="Segoe UI" w:hAnsi="Segoe UI" w:cs="Segoe UI"/>
          <w:sz w:val="18"/>
          <w:szCs w:val="18"/>
          <w:lang w:val="de-DE"/>
        </w:rPr>
        <w:t>m</w:t>
      </w:r>
      <w:r w:rsidRPr="00D05CF3">
        <w:rPr>
          <w:rFonts w:ascii="Segoe UI" w:hAnsi="Segoe UI" w:cs="Segoe UI"/>
          <w:sz w:val="18"/>
          <w:szCs w:val="18"/>
          <w:lang w:val="de-DE"/>
        </w:rPr>
        <w:t xml:space="preserve"> Verantwortliche</w:t>
      </w:r>
      <w:r>
        <w:rPr>
          <w:rFonts w:ascii="Segoe UI" w:hAnsi="Segoe UI" w:cs="Segoe UI"/>
          <w:sz w:val="18"/>
          <w:szCs w:val="18"/>
          <w:lang w:val="de-DE"/>
        </w:rPr>
        <w:t>n</w:t>
      </w:r>
      <w:r w:rsidRPr="00D05CF3">
        <w:rPr>
          <w:rFonts w:ascii="Segoe UI" w:hAnsi="Segoe UI" w:cs="Segoe UI"/>
          <w:sz w:val="18"/>
          <w:szCs w:val="18"/>
          <w:lang w:val="de-DE"/>
        </w:rPr>
        <w:t xml:space="preserve"> </w:t>
      </w:r>
      <w:proofErr w:type="gramStart"/>
      <w:r>
        <w:rPr>
          <w:rFonts w:ascii="Segoe UI" w:hAnsi="Segoe UI" w:cs="Segoe UI"/>
          <w:sz w:val="18"/>
          <w:szCs w:val="18"/>
          <w:lang w:val="de-DE"/>
        </w:rPr>
        <w:t>zum</w:t>
      </w:r>
      <w:r w:rsidRPr="00D05CF3">
        <w:rPr>
          <w:rFonts w:ascii="Segoe UI" w:hAnsi="Segoe UI" w:cs="Segoe UI"/>
          <w:sz w:val="18"/>
          <w:szCs w:val="18"/>
          <w:lang w:val="de-DE"/>
        </w:rPr>
        <w:t xml:space="preserve">  Auftragsverarbeiter</w:t>
      </w:r>
      <w:proofErr w:type="gramEnd"/>
      <w:r w:rsidRPr="00D05CF3">
        <w:rPr>
          <w:rFonts w:ascii="Segoe UI" w:hAnsi="Segoe UI" w:cs="Segoe UI"/>
          <w:sz w:val="18"/>
          <w:szCs w:val="18"/>
          <w:lang w:val="de-DE"/>
        </w:rPr>
        <w:t>, wobei der Kunde als Verantwortlicher der übermittelten Daten fungiert) und von Modul Drei (Übermittlung vo</w:t>
      </w:r>
      <w:r>
        <w:rPr>
          <w:rFonts w:ascii="Segoe UI" w:hAnsi="Segoe UI" w:cs="Segoe UI"/>
          <w:sz w:val="18"/>
          <w:szCs w:val="18"/>
          <w:lang w:val="de-DE"/>
        </w:rPr>
        <w:t>n</w:t>
      </w:r>
      <w:r w:rsidRPr="00D05CF3">
        <w:rPr>
          <w:rFonts w:ascii="Segoe UI" w:hAnsi="Segoe UI" w:cs="Segoe UI"/>
          <w:sz w:val="18"/>
          <w:szCs w:val="18"/>
          <w:lang w:val="de-DE"/>
        </w:rPr>
        <w:t xml:space="preserve"> Auftragsverarbeiter </w:t>
      </w:r>
      <w:r>
        <w:rPr>
          <w:rFonts w:ascii="Segoe UI" w:hAnsi="Segoe UI" w:cs="Segoe UI"/>
          <w:sz w:val="18"/>
          <w:szCs w:val="18"/>
          <w:lang w:val="de-DE"/>
        </w:rPr>
        <w:t xml:space="preserve">zu </w:t>
      </w:r>
      <w:r w:rsidRPr="00D05CF3">
        <w:rPr>
          <w:rFonts w:ascii="Segoe UI" w:hAnsi="Segoe UI" w:cs="Segoe UI"/>
          <w:sz w:val="18"/>
          <w:szCs w:val="18"/>
          <w:lang w:val="de-DE"/>
        </w:rPr>
        <w:t>Auftragsverarbeiter</w:t>
      </w:r>
      <w:r>
        <w:rPr>
          <w:rFonts w:ascii="Segoe UI" w:hAnsi="Segoe UI" w:cs="Segoe UI"/>
          <w:sz w:val="18"/>
          <w:szCs w:val="18"/>
          <w:lang w:val="de-DE"/>
        </w:rPr>
        <w:t>, wobei der Kunde als Auftragsverarbeiter der übermittelten Daten fungiert</w:t>
      </w:r>
      <w:r w:rsidRPr="00D05CF3">
        <w:rPr>
          <w:rFonts w:ascii="Segoe UI" w:hAnsi="Segoe UI" w:cs="Segoe UI"/>
          <w:sz w:val="18"/>
          <w:szCs w:val="18"/>
          <w:lang w:val="de-DE"/>
        </w:rPr>
        <w:t xml:space="preserve">) </w:t>
      </w:r>
      <w:r>
        <w:rPr>
          <w:rFonts w:ascii="Segoe UI" w:hAnsi="Segoe UI" w:cs="Segoe UI"/>
          <w:sz w:val="18"/>
          <w:szCs w:val="18"/>
          <w:lang w:val="de-DE"/>
        </w:rPr>
        <w:t>mittels Verweis, wodurch die EU-SVK, wie folgt, ergänzt werden</w:t>
      </w:r>
      <w:r w:rsidRPr="00D05CF3">
        <w:rPr>
          <w:rFonts w:ascii="Segoe UI" w:hAnsi="Segoe UI" w:cs="Segoe UI"/>
          <w:sz w:val="18"/>
          <w:szCs w:val="18"/>
          <w:lang w:val="de-DE"/>
        </w:rPr>
        <w:t xml:space="preserve">: </w:t>
      </w:r>
    </w:p>
    <w:p w14:paraId="6AD2995C" w14:textId="77777777" w:rsidR="00B17F4C" w:rsidRPr="00F35690" w:rsidRDefault="00B17F4C" w:rsidP="00B17F4C">
      <w:pPr>
        <w:ind w:left="-851" w:right="-852"/>
        <w:jc w:val="both"/>
        <w:rPr>
          <w:rFonts w:ascii="Segoe UI" w:hAnsi="Segoe UI" w:cs="Segoe UI"/>
          <w:sz w:val="18"/>
          <w:szCs w:val="18"/>
          <w:lang w:val="de-DE"/>
        </w:rPr>
      </w:pPr>
      <w:r w:rsidRPr="00F35690">
        <w:rPr>
          <w:rFonts w:ascii="Segoe UI" w:hAnsi="Segoe UI" w:cs="Segoe UI"/>
          <w:sz w:val="18"/>
          <w:szCs w:val="18"/>
          <w:lang w:val="de-DE"/>
        </w:rPr>
        <w:t xml:space="preserve">1.1. </w:t>
      </w:r>
      <w:r w:rsidRPr="00F35690">
        <w:rPr>
          <w:rFonts w:ascii="Segoe UI" w:hAnsi="Segoe UI" w:cs="Segoe UI"/>
          <w:sz w:val="18"/>
          <w:szCs w:val="18"/>
          <w:u w:val="single"/>
          <w:lang w:val="de-DE"/>
        </w:rPr>
        <w:t>Kopplungsklause</w:t>
      </w:r>
      <w:r>
        <w:rPr>
          <w:rFonts w:ascii="Segoe UI" w:hAnsi="Segoe UI" w:cs="Segoe UI"/>
          <w:sz w:val="18"/>
          <w:szCs w:val="18"/>
          <w:u w:val="single"/>
          <w:lang w:val="de-DE"/>
        </w:rPr>
        <w:t>l</w:t>
      </w:r>
      <w:r w:rsidRPr="00F35690">
        <w:rPr>
          <w:rFonts w:ascii="Segoe UI" w:hAnsi="Segoe UI" w:cs="Segoe UI"/>
          <w:sz w:val="18"/>
          <w:szCs w:val="18"/>
          <w:lang w:val="de-DE"/>
        </w:rPr>
        <w:t xml:space="preserve">. Die in Ziffer 7 bezeichnete Option findet keine Anwendung. </w:t>
      </w:r>
    </w:p>
    <w:p w14:paraId="2C5250C4" w14:textId="77777777" w:rsidR="00B17F4C" w:rsidRPr="00F35690" w:rsidRDefault="00B17F4C" w:rsidP="00B17F4C">
      <w:pPr>
        <w:ind w:left="-851" w:right="-852"/>
        <w:jc w:val="both"/>
        <w:rPr>
          <w:rFonts w:ascii="Segoe UI" w:hAnsi="Segoe UI" w:cs="Segoe UI"/>
          <w:sz w:val="18"/>
          <w:szCs w:val="18"/>
          <w:lang w:val="de-DE"/>
        </w:rPr>
      </w:pPr>
      <w:r w:rsidRPr="00B17F4C">
        <w:rPr>
          <w:rFonts w:ascii="Segoe UI" w:hAnsi="Segoe UI" w:cs="Segoe UI"/>
          <w:sz w:val="18"/>
          <w:szCs w:val="18"/>
          <w:lang w:val="de-DE"/>
        </w:rPr>
        <w:t xml:space="preserve">1.2. </w:t>
      </w:r>
      <w:r w:rsidRPr="00B17F4C">
        <w:rPr>
          <w:rFonts w:ascii="Segoe UI" w:hAnsi="Segoe UI" w:cs="Segoe UI"/>
          <w:sz w:val="18"/>
          <w:szCs w:val="18"/>
          <w:u w:val="single"/>
          <w:lang w:val="de-DE"/>
        </w:rPr>
        <w:t>Anweisungen</w:t>
      </w:r>
      <w:r w:rsidRPr="00B17F4C">
        <w:rPr>
          <w:rFonts w:ascii="Segoe UI" w:hAnsi="Segoe UI" w:cs="Segoe UI"/>
          <w:sz w:val="18"/>
          <w:szCs w:val="18"/>
          <w:lang w:val="de-DE"/>
        </w:rPr>
        <w:t xml:space="preserve">. </w:t>
      </w:r>
      <w:r w:rsidRPr="00F35690">
        <w:rPr>
          <w:rFonts w:ascii="Segoe UI" w:hAnsi="Segoe UI" w:cs="Segoe UI"/>
          <w:sz w:val="18"/>
          <w:szCs w:val="18"/>
          <w:lang w:val="de-DE"/>
        </w:rPr>
        <w:t xml:space="preserve">Für die Zwecke </w:t>
      </w:r>
      <w:proofErr w:type="gramStart"/>
      <w:r w:rsidRPr="00F35690">
        <w:rPr>
          <w:rFonts w:ascii="Segoe UI" w:hAnsi="Segoe UI" w:cs="Segoe UI"/>
          <w:sz w:val="18"/>
          <w:szCs w:val="18"/>
          <w:lang w:val="de-DE"/>
        </w:rPr>
        <w:t>von  Ziffer</w:t>
      </w:r>
      <w:proofErr w:type="gramEnd"/>
      <w:r w:rsidRPr="00F35690">
        <w:rPr>
          <w:rFonts w:ascii="Segoe UI" w:hAnsi="Segoe UI" w:cs="Segoe UI"/>
          <w:sz w:val="18"/>
          <w:szCs w:val="18"/>
          <w:lang w:val="de-DE"/>
        </w:rPr>
        <w:t xml:space="preserve"> 8.1(b) kommen die Parteien überein, dass die dokumentierten Anweisungen des Kunden, einschließlich der im Namen des Verantwortlichen erteilten Anweisungen, in der Vereinbarung über Datenvereinbarung geregelt sind, auch was die </w:t>
      </w:r>
      <w:r>
        <w:rPr>
          <w:rFonts w:ascii="Segoe UI" w:hAnsi="Segoe UI" w:cs="Segoe UI"/>
          <w:sz w:val="18"/>
          <w:szCs w:val="18"/>
          <w:lang w:val="de-DE"/>
        </w:rPr>
        <w:t>internationale Übermittlung von Daten anbelangt</w:t>
      </w:r>
      <w:r w:rsidRPr="00F35690">
        <w:rPr>
          <w:rFonts w:ascii="Segoe UI" w:hAnsi="Segoe UI" w:cs="Segoe UI"/>
          <w:sz w:val="18"/>
          <w:szCs w:val="18"/>
          <w:lang w:val="de-DE"/>
        </w:rPr>
        <w:t xml:space="preserve">. </w:t>
      </w:r>
    </w:p>
    <w:p w14:paraId="6CF129DF" w14:textId="77777777" w:rsidR="00B17F4C" w:rsidRPr="000A4D71" w:rsidRDefault="00B17F4C" w:rsidP="00B17F4C">
      <w:pPr>
        <w:ind w:left="-851" w:right="-852"/>
        <w:jc w:val="both"/>
        <w:rPr>
          <w:rFonts w:ascii="Segoe UI" w:hAnsi="Segoe UI" w:cs="Segoe UI"/>
          <w:sz w:val="18"/>
          <w:szCs w:val="18"/>
          <w:lang w:val="de-DE"/>
        </w:rPr>
      </w:pPr>
      <w:r w:rsidRPr="00B17F4C">
        <w:rPr>
          <w:rFonts w:ascii="Segoe UI" w:hAnsi="Segoe UI" w:cs="Segoe UI"/>
          <w:sz w:val="18"/>
          <w:szCs w:val="18"/>
          <w:lang w:val="de-DE"/>
        </w:rPr>
        <w:t xml:space="preserve">1.3. </w:t>
      </w:r>
      <w:r w:rsidRPr="00B17F4C">
        <w:rPr>
          <w:rFonts w:ascii="Segoe UI" w:hAnsi="Segoe UI" w:cs="Segoe UI"/>
          <w:sz w:val="18"/>
          <w:szCs w:val="18"/>
          <w:u w:val="single"/>
          <w:lang w:val="de-DE"/>
        </w:rPr>
        <w:t>Bestätigung der Löschung</w:t>
      </w:r>
      <w:r w:rsidRPr="00B17F4C">
        <w:rPr>
          <w:rFonts w:ascii="Segoe UI" w:hAnsi="Segoe UI" w:cs="Segoe UI"/>
          <w:sz w:val="18"/>
          <w:szCs w:val="18"/>
          <w:lang w:val="de-DE"/>
        </w:rPr>
        <w:t xml:space="preserve">. </w:t>
      </w:r>
      <w:r w:rsidRPr="000A4D71">
        <w:rPr>
          <w:rFonts w:ascii="Segoe UI" w:hAnsi="Segoe UI" w:cs="Segoe UI"/>
          <w:sz w:val="18"/>
          <w:szCs w:val="18"/>
          <w:lang w:val="de-DE"/>
        </w:rPr>
        <w:t xml:space="preserve">Gemäß Ziffer 8.5 haben die Parteien vereinbart, dass der Kunde </w:t>
      </w:r>
      <w:proofErr w:type="spellStart"/>
      <w:r w:rsidRPr="000A4D71">
        <w:rPr>
          <w:rFonts w:ascii="Segoe UI" w:hAnsi="Segoe UI" w:cs="Segoe UI"/>
          <w:sz w:val="18"/>
          <w:szCs w:val="18"/>
          <w:lang w:val="de-DE"/>
        </w:rPr>
        <w:t>Hydrafacial</w:t>
      </w:r>
      <w:proofErr w:type="spellEnd"/>
      <w:r w:rsidRPr="000A4D71">
        <w:rPr>
          <w:rFonts w:ascii="Segoe UI" w:hAnsi="Segoe UI" w:cs="Segoe UI"/>
          <w:sz w:val="18"/>
          <w:szCs w:val="18"/>
          <w:lang w:val="de-DE"/>
        </w:rPr>
        <w:t xml:space="preserve"> auf schriftliches Verlangen die Löschung personenbezogener Daten zu be</w:t>
      </w:r>
      <w:r>
        <w:rPr>
          <w:rFonts w:ascii="Segoe UI" w:hAnsi="Segoe UI" w:cs="Segoe UI"/>
          <w:sz w:val="18"/>
          <w:szCs w:val="18"/>
          <w:lang w:val="de-DE"/>
        </w:rPr>
        <w:t>s</w:t>
      </w:r>
      <w:r w:rsidRPr="000A4D71">
        <w:rPr>
          <w:rFonts w:ascii="Segoe UI" w:hAnsi="Segoe UI" w:cs="Segoe UI"/>
          <w:sz w:val="18"/>
          <w:szCs w:val="18"/>
          <w:lang w:val="de-DE"/>
        </w:rPr>
        <w:t xml:space="preserve">tätigen hat. </w:t>
      </w:r>
    </w:p>
    <w:p w14:paraId="7AE03277" w14:textId="77777777" w:rsidR="00B17F4C" w:rsidRPr="001B4032" w:rsidRDefault="00B17F4C" w:rsidP="00B17F4C">
      <w:pPr>
        <w:ind w:left="-851" w:right="-852"/>
        <w:jc w:val="both"/>
        <w:rPr>
          <w:rFonts w:ascii="Segoe UI" w:hAnsi="Segoe UI" w:cs="Segoe UI"/>
          <w:sz w:val="18"/>
          <w:szCs w:val="18"/>
          <w:lang w:val="de-DE"/>
        </w:rPr>
      </w:pPr>
      <w:r w:rsidRPr="001B4032">
        <w:rPr>
          <w:rFonts w:ascii="Segoe UI" w:hAnsi="Segoe UI" w:cs="Segoe UI"/>
          <w:sz w:val="18"/>
          <w:szCs w:val="18"/>
          <w:lang w:val="de-DE"/>
        </w:rPr>
        <w:lastRenderedPageBreak/>
        <w:t xml:space="preserve">1.4. </w:t>
      </w:r>
      <w:r>
        <w:rPr>
          <w:rFonts w:ascii="Segoe UI" w:hAnsi="Segoe UI" w:cs="Segoe UI"/>
          <w:sz w:val="18"/>
          <w:szCs w:val="18"/>
          <w:u w:val="single"/>
          <w:lang w:val="de-DE"/>
        </w:rPr>
        <w:t>Pr</w:t>
      </w:r>
      <w:r w:rsidRPr="001B4032">
        <w:rPr>
          <w:rFonts w:ascii="Segoe UI" w:hAnsi="Segoe UI" w:cs="Segoe UI"/>
          <w:sz w:val="18"/>
          <w:szCs w:val="18"/>
          <w:u w:val="single"/>
          <w:lang w:val="de-DE"/>
        </w:rPr>
        <w:t>üfung</w:t>
      </w:r>
      <w:r>
        <w:rPr>
          <w:rFonts w:ascii="Segoe UI" w:hAnsi="Segoe UI" w:cs="Segoe UI"/>
          <w:sz w:val="18"/>
          <w:szCs w:val="18"/>
          <w:u w:val="single"/>
          <w:lang w:val="de-DE"/>
        </w:rPr>
        <w:t xml:space="preserve"> der Einhaltung von Vorgaben</w:t>
      </w:r>
      <w:r w:rsidRPr="001B4032">
        <w:rPr>
          <w:rFonts w:ascii="Segoe UI" w:hAnsi="Segoe UI" w:cs="Segoe UI"/>
          <w:sz w:val="18"/>
          <w:szCs w:val="18"/>
          <w:lang w:val="de-DE"/>
        </w:rPr>
        <w:t xml:space="preserve">. Die Parteien sind sich einig, dass die in Ziffer 8.9 bezeichneten Prüfungsrechte nach Maßgabe der Bestimmungen der Vereinbarung über Datenverarbeitung auszuüben sind, welche Prüfungen regeln. </w:t>
      </w:r>
    </w:p>
    <w:p w14:paraId="05FCF326" w14:textId="77777777" w:rsidR="00B17F4C" w:rsidRPr="000A4D71" w:rsidRDefault="00B17F4C" w:rsidP="00B17F4C">
      <w:pPr>
        <w:ind w:left="-851" w:right="-852"/>
        <w:jc w:val="both"/>
        <w:rPr>
          <w:rFonts w:ascii="Segoe UI" w:hAnsi="Segoe UI" w:cs="Segoe UI"/>
          <w:sz w:val="18"/>
          <w:szCs w:val="18"/>
          <w:lang w:val="de-DE"/>
        </w:rPr>
      </w:pPr>
      <w:r w:rsidRPr="00B17F4C">
        <w:rPr>
          <w:rFonts w:ascii="Segoe UI" w:hAnsi="Segoe UI" w:cs="Segoe UI"/>
          <w:sz w:val="18"/>
          <w:szCs w:val="18"/>
          <w:lang w:val="de-DE"/>
        </w:rPr>
        <w:t xml:space="preserve">1.5. </w:t>
      </w:r>
      <w:r w:rsidRPr="00B17F4C">
        <w:rPr>
          <w:rFonts w:ascii="Segoe UI" w:hAnsi="Segoe UI" w:cs="Segoe UI"/>
          <w:sz w:val="18"/>
          <w:szCs w:val="18"/>
          <w:u w:val="single"/>
          <w:lang w:val="de-DE"/>
        </w:rPr>
        <w:t>Unterauftragsverarbeiter</w:t>
      </w:r>
      <w:r w:rsidRPr="00B17F4C">
        <w:rPr>
          <w:rFonts w:ascii="Segoe UI" w:hAnsi="Segoe UI" w:cs="Segoe UI"/>
          <w:sz w:val="18"/>
          <w:szCs w:val="18"/>
          <w:lang w:val="de-DE"/>
        </w:rPr>
        <w:t xml:space="preserve">. </w:t>
      </w:r>
      <w:r w:rsidRPr="000A4D71">
        <w:rPr>
          <w:rFonts w:ascii="Segoe UI" w:hAnsi="Segoe UI" w:cs="Segoe UI"/>
          <w:sz w:val="18"/>
          <w:szCs w:val="18"/>
          <w:lang w:val="de-DE"/>
        </w:rPr>
        <w:t>Option 2 von Ziffer 9(a) findet Anwendung und der Kunde hat den Kunden dreißig (30) Tage vor</w:t>
      </w:r>
      <w:r>
        <w:rPr>
          <w:rFonts w:ascii="Segoe UI" w:hAnsi="Segoe UI" w:cs="Segoe UI"/>
          <w:sz w:val="18"/>
          <w:szCs w:val="18"/>
          <w:lang w:val="de-DE"/>
        </w:rPr>
        <w:t>her</w:t>
      </w:r>
      <w:r w:rsidRPr="000A4D71">
        <w:rPr>
          <w:rFonts w:ascii="Segoe UI" w:hAnsi="Segoe UI" w:cs="Segoe UI"/>
          <w:sz w:val="18"/>
          <w:szCs w:val="18"/>
          <w:lang w:val="de-DE"/>
        </w:rPr>
        <w:t xml:space="preserve"> </w:t>
      </w:r>
      <w:r>
        <w:rPr>
          <w:rFonts w:ascii="Segoe UI" w:hAnsi="Segoe UI" w:cs="Segoe UI"/>
          <w:sz w:val="18"/>
          <w:szCs w:val="18"/>
          <w:lang w:val="de-DE"/>
        </w:rPr>
        <w:t xml:space="preserve">gemäß den Bedingungen des Vertrags oder des Zusatzes zu der Vereinbarung über Datenverarbeitung </w:t>
      </w:r>
      <w:r w:rsidRPr="000A4D71">
        <w:rPr>
          <w:rFonts w:ascii="Segoe UI" w:hAnsi="Segoe UI" w:cs="Segoe UI"/>
          <w:sz w:val="18"/>
          <w:szCs w:val="18"/>
          <w:lang w:val="de-DE"/>
        </w:rPr>
        <w:t xml:space="preserve">über Änderungen bei den </w:t>
      </w:r>
      <w:proofErr w:type="gramStart"/>
      <w:r w:rsidRPr="000A4D71">
        <w:rPr>
          <w:rFonts w:ascii="Segoe UI" w:hAnsi="Segoe UI" w:cs="Segoe UI"/>
          <w:sz w:val="18"/>
          <w:szCs w:val="18"/>
          <w:lang w:val="de-DE"/>
        </w:rPr>
        <w:t>Unterauftragsverarbeitern</w:t>
      </w:r>
      <w:r>
        <w:rPr>
          <w:rFonts w:ascii="Segoe UI" w:hAnsi="Segoe UI" w:cs="Segoe UI"/>
          <w:sz w:val="18"/>
          <w:szCs w:val="18"/>
          <w:lang w:val="de-DE"/>
        </w:rPr>
        <w:t xml:space="preserve">  zu</w:t>
      </w:r>
      <w:proofErr w:type="gramEnd"/>
      <w:r>
        <w:rPr>
          <w:rFonts w:ascii="Segoe UI" w:hAnsi="Segoe UI" w:cs="Segoe UI"/>
          <w:sz w:val="18"/>
          <w:szCs w:val="18"/>
          <w:lang w:val="de-DE"/>
        </w:rPr>
        <w:t xml:space="preserve"> informieren</w:t>
      </w:r>
      <w:r w:rsidRPr="000A4D71">
        <w:rPr>
          <w:rFonts w:ascii="Segoe UI" w:hAnsi="Segoe UI" w:cs="Segoe UI"/>
          <w:sz w:val="18"/>
          <w:szCs w:val="18"/>
          <w:lang w:val="de-DE"/>
        </w:rPr>
        <w:t xml:space="preserve">. </w:t>
      </w:r>
    </w:p>
    <w:p w14:paraId="5408AC48" w14:textId="77777777" w:rsidR="00B17F4C" w:rsidRPr="000A4D71" w:rsidRDefault="00B17F4C" w:rsidP="00B17F4C">
      <w:pPr>
        <w:ind w:left="-851" w:right="-852"/>
        <w:jc w:val="both"/>
        <w:rPr>
          <w:rFonts w:ascii="Segoe UI" w:hAnsi="Segoe UI" w:cs="Segoe UI"/>
          <w:sz w:val="18"/>
          <w:szCs w:val="18"/>
          <w:lang w:val="de-DE"/>
        </w:rPr>
      </w:pPr>
      <w:r w:rsidRPr="000A4D71">
        <w:rPr>
          <w:rFonts w:ascii="Segoe UI" w:hAnsi="Segoe UI" w:cs="Segoe UI"/>
          <w:sz w:val="18"/>
          <w:szCs w:val="18"/>
          <w:lang w:val="de-DE"/>
        </w:rPr>
        <w:t xml:space="preserve">1.6. </w:t>
      </w:r>
      <w:r w:rsidRPr="000A4D71">
        <w:rPr>
          <w:rFonts w:ascii="Segoe UI" w:hAnsi="Segoe UI" w:cs="Segoe UI"/>
          <w:sz w:val="18"/>
          <w:szCs w:val="18"/>
          <w:u w:val="single"/>
          <w:lang w:val="de-DE"/>
        </w:rPr>
        <w:t>Regress</w:t>
      </w:r>
      <w:r w:rsidRPr="000A4D71">
        <w:rPr>
          <w:rFonts w:ascii="Segoe UI" w:hAnsi="Segoe UI" w:cs="Segoe UI"/>
          <w:sz w:val="18"/>
          <w:szCs w:val="18"/>
          <w:lang w:val="de-DE"/>
        </w:rPr>
        <w:t xml:space="preserve">. Die Optionsregelung von Ziffer 11 findet keine Anwendung. </w:t>
      </w:r>
    </w:p>
    <w:p w14:paraId="6BC617D3" w14:textId="77777777" w:rsidR="00B17F4C" w:rsidRPr="000A4D71" w:rsidRDefault="00B17F4C" w:rsidP="00B17F4C">
      <w:pPr>
        <w:ind w:left="-851" w:right="-852"/>
        <w:jc w:val="both"/>
        <w:rPr>
          <w:rFonts w:ascii="Segoe UI" w:hAnsi="Segoe UI" w:cs="Segoe UI"/>
          <w:sz w:val="18"/>
          <w:szCs w:val="18"/>
          <w:lang w:val="de-DE"/>
        </w:rPr>
      </w:pPr>
      <w:r w:rsidRPr="000A4D71">
        <w:rPr>
          <w:rFonts w:ascii="Segoe UI" w:hAnsi="Segoe UI" w:cs="Segoe UI"/>
          <w:sz w:val="18"/>
          <w:szCs w:val="18"/>
          <w:lang w:val="de-DE"/>
        </w:rPr>
        <w:t xml:space="preserve">1.7. </w:t>
      </w:r>
      <w:r w:rsidRPr="000A4D71">
        <w:rPr>
          <w:rFonts w:ascii="Segoe UI" w:hAnsi="Segoe UI" w:cs="Segoe UI"/>
          <w:sz w:val="18"/>
          <w:szCs w:val="18"/>
          <w:u w:val="single"/>
          <w:lang w:val="de-DE"/>
        </w:rPr>
        <w:t>Haftung</w:t>
      </w:r>
      <w:r w:rsidRPr="000A4D71">
        <w:rPr>
          <w:rFonts w:ascii="Segoe UI" w:hAnsi="Segoe UI" w:cs="Segoe UI"/>
          <w:sz w:val="18"/>
          <w:szCs w:val="18"/>
          <w:lang w:val="de-DE"/>
        </w:rPr>
        <w:t>. Die Parteien</w:t>
      </w:r>
      <w:r>
        <w:rPr>
          <w:rFonts w:ascii="Segoe UI" w:hAnsi="Segoe UI" w:cs="Segoe UI"/>
          <w:sz w:val="18"/>
          <w:szCs w:val="18"/>
          <w:lang w:val="de-DE"/>
        </w:rPr>
        <w:t xml:space="preserve"> vereinbaren</w:t>
      </w:r>
      <w:r w:rsidRPr="000A4D71">
        <w:rPr>
          <w:rFonts w:ascii="Segoe UI" w:hAnsi="Segoe UI" w:cs="Segoe UI"/>
          <w:sz w:val="18"/>
          <w:szCs w:val="18"/>
          <w:lang w:val="de-DE"/>
        </w:rPr>
        <w:t xml:space="preserve">, dass die Haftung des Kunden gegenüber </w:t>
      </w:r>
      <w:proofErr w:type="spellStart"/>
      <w:r w:rsidRPr="000A4D71">
        <w:rPr>
          <w:rFonts w:ascii="Segoe UI" w:hAnsi="Segoe UI" w:cs="Segoe UI"/>
          <w:sz w:val="18"/>
          <w:szCs w:val="18"/>
          <w:lang w:val="de-DE"/>
        </w:rPr>
        <w:t>Hydrafacial</w:t>
      </w:r>
      <w:proofErr w:type="spellEnd"/>
      <w:r w:rsidRPr="000A4D71">
        <w:rPr>
          <w:rFonts w:ascii="Segoe UI" w:hAnsi="Segoe UI" w:cs="Segoe UI"/>
          <w:sz w:val="18"/>
          <w:szCs w:val="18"/>
          <w:lang w:val="de-DE"/>
        </w:rPr>
        <w:t xml:space="preserve"> gemäß Ziffer 12 den </w:t>
      </w:r>
      <w:r>
        <w:rPr>
          <w:rFonts w:ascii="Segoe UI" w:hAnsi="Segoe UI" w:cs="Segoe UI"/>
          <w:sz w:val="18"/>
          <w:szCs w:val="18"/>
          <w:lang w:val="de-DE"/>
        </w:rPr>
        <w:t xml:space="preserve">in der Vereinbarung über Datenverarbeitung enthaltenen </w:t>
      </w:r>
      <w:r w:rsidRPr="000A4D71">
        <w:rPr>
          <w:rFonts w:ascii="Segoe UI" w:hAnsi="Segoe UI" w:cs="Segoe UI"/>
          <w:sz w:val="18"/>
          <w:szCs w:val="18"/>
          <w:lang w:val="de-DE"/>
        </w:rPr>
        <w:t>Haftungsbeschränkungen und Aus</w:t>
      </w:r>
      <w:r>
        <w:rPr>
          <w:rFonts w:ascii="Segoe UI" w:hAnsi="Segoe UI" w:cs="Segoe UI"/>
          <w:sz w:val="18"/>
          <w:szCs w:val="18"/>
          <w:lang w:val="de-DE"/>
        </w:rPr>
        <w:t>nahmen unterliegt</w:t>
      </w:r>
      <w:r w:rsidRPr="000A4D71">
        <w:rPr>
          <w:rFonts w:ascii="Segoe UI" w:hAnsi="Segoe UI" w:cs="Segoe UI"/>
          <w:sz w:val="18"/>
          <w:szCs w:val="18"/>
          <w:lang w:val="de-DE"/>
        </w:rPr>
        <w:t xml:space="preserve">. </w:t>
      </w:r>
    </w:p>
    <w:p w14:paraId="298CF968" w14:textId="77777777" w:rsidR="00B17F4C" w:rsidRPr="000A4D71" w:rsidRDefault="00B17F4C" w:rsidP="00B17F4C">
      <w:pPr>
        <w:ind w:left="-851" w:right="-852"/>
        <w:jc w:val="both"/>
        <w:rPr>
          <w:rFonts w:ascii="Segoe UI" w:hAnsi="Segoe UI" w:cs="Segoe UI"/>
          <w:sz w:val="18"/>
          <w:szCs w:val="18"/>
          <w:lang w:val="de-DE"/>
        </w:rPr>
      </w:pPr>
      <w:r w:rsidRPr="000A4D71">
        <w:rPr>
          <w:rFonts w:ascii="Segoe UI" w:hAnsi="Segoe UI" w:cs="Segoe UI"/>
          <w:sz w:val="18"/>
          <w:szCs w:val="18"/>
          <w:lang w:val="de-DE"/>
        </w:rPr>
        <w:t xml:space="preserve">1.8. </w:t>
      </w:r>
      <w:r w:rsidRPr="000A4D71">
        <w:rPr>
          <w:rFonts w:ascii="Segoe UI" w:hAnsi="Segoe UI" w:cs="Segoe UI"/>
          <w:sz w:val="18"/>
          <w:szCs w:val="18"/>
          <w:u w:val="single"/>
          <w:lang w:val="de-DE"/>
        </w:rPr>
        <w:t>Anwendbares Recht</w:t>
      </w:r>
      <w:r w:rsidRPr="000A4D71">
        <w:rPr>
          <w:rFonts w:ascii="Segoe UI" w:hAnsi="Segoe UI" w:cs="Segoe UI"/>
          <w:sz w:val="18"/>
          <w:szCs w:val="18"/>
          <w:lang w:val="de-DE"/>
        </w:rPr>
        <w:t>. Für die Zwecke von Ziffer 17 (Option 1) vereinbaren die Parteien die Anwendung von spanischem Recht auf die EU-</w:t>
      </w:r>
      <w:r>
        <w:rPr>
          <w:rFonts w:ascii="Segoe UI" w:hAnsi="Segoe UI" w:cs="Segoe UI"/>
          <w:sz w:val="18"/>
          <w:szCs w:val="18"/>
          <w:lang w:val="de-DE"/>
        </w:rPr>
        <w:t>SVK</w:t>
      </w:r>
      <w:r w:rsidRPr="000A4D71">
        <w:rPr>
          <w:rFonts w:ascii="Segoe UI" w:hAnsi="Segoe UI" w:cs="Segoe UI"/>
          <w:sz w:val="18"/>
          <w:szCs w:val="18"/>
          <w:lang w:val="de-DE"/>
        </w:rPr>
        <w:t xml:space="preserve">. </w:t>
      </w:r>
    </w:p>
    <w:p w14:paraId="2048D915" w14:textId="77777777" w:rsidR="00B17F4C" w:rsidRPr="0072730B" w:rsidRDefault="00B17F4C" w:rsidP="00B17F4C">
      <w:pPr>
        <w:ind w:left="-851" w:right="-852"/>
        <w:jc w:val="both"/>
        <w:rPr>
          <w:rFonts w:ascii="Segoe UI" w:hAnsi="Segoe UI" w:cs="Segoe UI"/>
          <w:sz w:val="18"/>
          <w:szCs w:val="18"/>
          <w:lang w:val="de-DE"/>
        </w:rPr>
      </w:pPr>
      <w:r w:rsidRPr="00B17F4C">
        <w:rPr>
          <w:rFonts w:ascii="Segoe UI" w:hAnsi="Segoe UI" w:cs="Segoe UI"/>
          <w:sz w:val="18"/>
          <w:szCs w:val="18"/>
          <w:lang w:val="de-DE"/>
        </w:rPr>
        <w:t xml:space="preserve">1.9. </w:t>
      </w:r>
      <w:r w:rsidRPr="00973E80">
        <w:rPr>
          <w:rFonts w:ascii="Segoe UI" w:hAnsi="Segoe UI" w:cs="Segoe UI"/>
          <w:sz w:val="18"/>
          <w:szCs w:val="18"/>
          <w:u w:val="single"/>
          <w:lang w:val="de-DE"/>
        </w:rPr>
        <w:t>Gerichtsstand und gerichtliche Zuständigkeit</w:t>
      </w:r>
      <w:r w:rsidRPr="00973E80">
        <w:rPr>
          <w:rFonts w:ascii="Segoe UI" w:hAnsi="Segoe UI" w:cs="Segoe UI"/>
          <w:sz w:val="18"/>
          <w:szCs w:val="18"/>
          <w:lang w:val="de-DE"/>
        </w:rPr>
        <w:t>.</w:t>
      </w:r>
      <w:r w:rsidRPr="00B17F4C">
        <w:rPr>
          <w:rFonts w:ascii="Segoe UI" w:hAnsi="Segoe UI" w:cs="Segoe UI"/>
          <w:sz w:val="18"/>
          <w:szCs w:val="18"/>
          <w:lang w:val="de-DE"/>
        </w:rPr>
        <w:t xml:space="preserve"> </w:t>
      </w:r>
      <w:r w:rsidRPr="0072730B">
        <w:rPr>
          <w:rFonts w:ascii="Segoe UI" w:hAnsi="Segoe UI" w:cs="Segoe UI"/>
          <w:sz w:val="18"/>
          <w:szCs w:val="18"/>
          <w:lang w:val="de-DE"/>
        </w:rPr>
        <w:t>Für die Zwecke von Ziffer 18(a) und (b) vereinbaren die Parteien, dass Streitigkeiten, die sich aus diesen EU-</w:t>
      </w:r>
      <w:r>
        <w:rPr>
          <w:rFonts w:ascii="Segoe UI" w:hAnsi="Segoe UI" w:cs="Segoe UI"/>
          <w:sz w:val="18"/>
          <w:szCs w:val="18"/>
          <w:lang w:val="de-DE"/>
        </w:rPr>
        <w:t>SVK</w:t>
      </w:r>
      <w:r w:rsidRPr="0072730B">
        <w:rPr>
          <w:rFonts w:ascii="Segoe UI" w:hAnsi="Segoe UI" w:cs="Segoe UI"/>
          <w:sz w:val="18"/>
          <w:szCs w:val="18"/>
          <w:lang w:val="de-DE"/>
        </w:rPr>
        <w:t xml:space="preserve"> ergeben, vo</w:t>
      </w:r>
      <w:r>
        <w:rPr>
          <w:rFonts w:ascii="Segoe UI" w:hAnsi="Segoe UI" w:cs="Segoe UI"/>
          <w:sz w:val="18"/>
          <w:szCs w:val="18"/>
          <w:lang w:val="de-DE"/>
        </w:rPr>
        <w:t>n</w:t>
      </w:r>
      <w:r w:rsidRPr="0072730B">
        <w:rPr>
          <w:rFonts w:ascii="Segoe UI" w:hAnsi="Segoe UI" w:cs="Segoe UI"/>
          <w:sz w:val="18"/>
          <w:szCs w:val="18"/>
          <w:lang w:val="de-DE"/>
        </w:rPr>
        <w:t xml:space="preserve"> den</w:t>
      </w:r>
      <w:r>
        <w:rPr>
          <w:rFonts w:ascii="Segoe UI" w:hAnsi="Segoe UI" w:cs="Segoe UI"/>
          <w:sz w:val="18"/>
          <w:szCs w:val="18"/>
          <w:lang w:val="de-DE"/>
        </w:rPr>
        <w:t xml:space="preserve"> </w:t>
      </w:r>
      <w:proofErr w:type="gramStart"/>
      <w:r>
        <w:rPr>
          <w:rFonts w:ascii="Segoe UI" w:hAnsi="Segoe UI" w:cs="Segoe UI"/>
          <w:sz w:val="18"/>
          <w:szCs w:val="18"/>
          <w:lang w:val="de-DE"/>
        </w:rPr>
        <w:t xml:space="preserve">spanischen </w:t>
      </w:r>
      <w:r w:rsidRPr="0072730B">
        <w:rPr>
          <w:rFonts w:ascii="Segoe UI" w:hAnsi="Segoe UI" w:cs="Segoe UI"/>
          <w:sz w:val="18"/>
          <w:szCs w:val="18"/>
          <w:lang w:val="de-DE"/>
        </w:rPr>
        <w:t xml:space="preserve"> Gerichten</w:t>
      </w:r>
      <w:proofErr w:type="gramEnd"/>
      <w:r>
        <w:rPr>
          <w:rFonts w:ascii="Segoe UI" w:hAnsi="Segoe UI" w:cs="Segoe UI"/>
          <w:sz w:val="18"/>
          <w:szCs w:val="18"/>
          <w:lang w:val="de-DE"/>
        </w:rPr>
        <w:t xml:space="preserve"> beizulegen sind</w:t>
      </w:r>
      <w:r w:rsidRPr="0072730B">
        <w:rPr>
          <w:rFonts w:ascii="Segoe UI" w:hAnsi="Segoe UI" w:cs="Segoe UI"/>
          <w:sz w:val="18"/>
          <w:szCs w:val="18"/>
          <w:lang w:val="de-DE"/>
        </w:rPr>
        <w:t xml:space="preserve">. </w:t>
      </w:r>
    </w:p>
    <w:p w14:paraId="25BCCD5A" w14:textId="77777777" w:rsidR="00B17F4C" w:rsidRPr="00973E80" w:rsidRDefault="00B17F4C" w:rsidP="00B17F4C">
      <w:pPr>
        <w:ind w:left="-851" w:right="-852"/>
        <w:jc w:val="both"/>
        <w:rPr>
          <w:rFonts w:ascii="Segoe UI" w:hAnsi="Segoe UI" w:cs="Segoe UI"/>
          <w:sz w:val="18"/>
          <w:szCs w:val="18"/>
          <w:lang w:val="de-DE"/>
        </w:rPr>
      </w:pPr>
      <w:r w:rsidRPr="00B17F4C">
        <w:rPr>
          <w:rFonts w:ascii="Segoe UI" w:hAnsi="Segoe UI" w:cs="Segoe UI"/>
          <w:sz w:val="18"/>
          <w:szCs w:val="18"/>
          <w:lang w:val="de-DE"/>
        </w:rPr>
        <w:t xml:space="preserve">1.10. </w:t>
      </w:r>
      <w:r w:rsidRPr="00025861">
        <w:rPr>
          <w:rFonts w:ascii="Segoe UI" w:hAnsi="Segoe UI" w:cs="Segoe UI"/>
          <w:sz w:val="18"/>
          <w:szCs w:val="18"/>
          <w:u w:val="single"/>
          <w:lang w:val="de-DE"/>
        </w:rPr>
        <w:t>Anhänge</w:t>
      </w:r>
      <w:r w:rsidRPr="00025861">
        <w:rPr>
          <w:rFonts w:ascii="Segoe UI" w:hAnsi="Segoe UI" w:cs="Segoe UI"/>
          <w:sz w:val="18"/>
          <w:szCs w:val="18"/>
          <w:lang w:val="de-DE"/>
        </w:rPr>
        <w:t xml:space="preserve">. </w:t>
      </w:r>
      <w:r w:rsidRPr="00973E80">
        <w:rPr>
          <w:rFonts w:ascii="Segoe UI" w:hAnsi="Segoe UI" w:cs="Segoe UI"/>
          <w:sz w:val="18"/>
          <w:szCs w:val="18"/>
          <w:lang w:val="de-DE"/>
        </w:rPr>
        <w:t>Die An</w:t>
      </w:r>
      <w:r>
        <w:rPr>
          <w:rFonts w:ascii="Segoe UI" w:hAnsi="Segoe UI" w:cs="Segoe UI"/>
          <w:sz w:val="18"/>
          <w:szCs w:val="18"/>
          <w:lang w:val="de-DE"/>
        </w:rPr>
        <w:t>hänge</w:t>
      </w:r>
      <w:r w:rsidRPr="00973E80">
        <w:rPr>
          <w:rFonts w:ascii="Segoe UI" w:hAnsi="Segoe UI" w:cs="Segoe UI"/>
          <w:sz w:val="18"/>
          <w:szCs w:val="18"/>
          <w:lang w:val="de-DE"/>
        </w:rPr>
        <w:t xml:space="preserve"> I, II und III zu den EU-</w:t>
      </w:r>
      <w:r>
        <w:rPr>
          <w:rFonts w:ascii="Segoe UI" w:hAnsi="Segoe UI" w:cs="Segoe UI"/>
          <w:sz w:val="18"/>
          <w:szCs w:val="18"/>
          <w:lang w:val="de-DE"/>
        </w:rPr>
        <w:t>SVK</w:t>
      </w:r>
      <w:r w:rsidRPr="00973E80">
        <w:rPr>
          <w:rFonts w:ascii="Segoe UI" w:hAnsi="Segoe UI" w:cs="Segoe UI"/>
          <w:sz w:val="18"/>
          <w:szCs w:val="18"/>
          <w:lang w:val="de-DE"/>
        </w:rPr>
        <w:t xml:space="preserve"> gelten als durch die in An</w:t>
      </w:r>
      <w:r>
        <w:rPr>
          <w:rFonts w:ascii="Segoe UI" w:hAnsi="Segoe UI" w:cs="Segoe UI"/>
          <w:sz w:val="18"/>
          <w:szCs w:val="18"/>
          <w:lang w:val="de-DE"/>
        </w:rPr>
        <w:t>lage 1 zu diesen HF-SVK enthaltenen Informationen ver</w:t>
      </w:r>
      <w:r w:rsidRPr="00973E80">
        <w:rPr>
          <w:rFonts w:ascii="Segoe UI" w:hAnsi="Segoe UI" w:cs="Segoe UI"/>
          <w:sz w:val="18"/>
          <w:szCs w:val="18"/>
          <w:lang w:val="de-DE"/>
        </w:rPr>
        <w:t>vollständig</w:t>
      </w:r>
      <w:r>
        <w:rPr>
          <w:rFonts w:ascii="Segoe UI" w:hAnsi="Segoe UI" w:cs="Segoe UI"/>
          <w:sz w:val="18"/>
          <w:szCs w:val="18"/>
          <w:lang w:val="de-DE"/>
        </w:rPr>
        <w:t>t</w:t>
      </w:r>
      <w:r w:rsidRPr="00973E80">
        <w:rPr>
          <w:rFonts w:ascii="Segoe UI" w:hAnsi="Segoe UI" w:cs="Segoe UI"/>
          <w:sz w:val="18"/>
          <w:szCs w:val="18"/>
          <w:lang w:val="de-DE"/>
        </w:rPr>
        <w:t xml:space="preserve">. </w:t>
      </w:r>
    </w:p>
    <w:p w14:paraId="571EBD8D" w14:textId="77777777" w:rsidR="00B17F4C" w:rsidRPr="00973E80" w:rsidRDefault="00B17F4C" w:rsidP="00B17F4C">
      <w:pPr>
        <w:ind w:left="-851" w:right="-852"/>
        <w:jc w:val="both"/>
        <w:rPr>
          <w:rFonts w:ascii="Segoe UI" w:hAnsi="Segoe UI" w:cs="Segoe UI"/>
          <w:sz w:val="18"/>
          <w:szCs w:val="18"/>
          <w:lang w:val="de-DE"/>
        </w:rPr>
      </w:pPr>
      <w:r w:rsidRPr="00B17F4C">
        <w:rPr>
          <w:rFonts w:ascii="Segoe UI" w:hAnsi="Segoe UI" w:cs="Segoe UI"/>
          <w:sz w:val="18"/>
          <w:szCs w:val="18"/>
          <w:lang w:val="de-DE"/>
        </w:rPr>
        <w:t xml:space="preserve">1.11. </w:t>
      </w:r>
      <w:r w:rsidRPr="00B17F4C">
        <w:rPr>
          <w:rFonts w:ascii="Segoe UI" w:hAnsi="Segoe UI" w:cs="Segoe UI"/>
          <w:sz w:val="18"/>
          <w:szCs w:val="18"/>
          <w:u w:val="single"/>
          <w:lang w:val="de-DE"/>
        </w:rPr>
        <w:t>Unvereinbarkeit</w:t>
      </w:r>
      <w:r w:rsidRPr="00B17F4C">
        <w:rPr>
          <w:rFonts w:ascii="Segoe UI" w:hAnsi="Segoe UI" w:cs="Segoe UI"/>
          <w:sz w:val="18"/>
          <w:szCs w:val="18"/>
          <w:lang w:val="de-DE"/>
        </w:rPr>
        <w:t xml:space="preserve">. </w:t>
      </w:r>
      <w:r w:rsidRPr="00973E80">
        <w:rPr>
          <w:rFonts w:ascii="Segoe UI" w:hAnsi="Segoe UI" w:cs="Segoe UI"/>
          <w:sz w:val="18"/>
          <w:szCs w:val="18"/>
          <w:lang w:val="de-DE"/>
        </w:rPr>
        <w:t>Im Fall von Unvereinbarkeiten oder Widersprüchlichkeiten zwischen dem Inhalt dieser HF-</w:t>
      </w:r>
      <w:r>
        <w:rPr>
          <w:rFonts w:ascii="Segoe UI" w:hAnsi="Segoe UI" w:cs="Segoe UI"/>
          <w:sz w:val="18"/>
          <w:szCs w:val="18"/>
          <w:lang w:val="de-DE"/>
        </w:rPr>
        <w:t>SVK</w:t>
      </w:r>
      <w:r w:rsidRPr="00973E80">
        <w:rPr>
          <w:rFonts w:ascii="Segoe UI" w:hAnsi="Segoe UI" w:cs="Segoe UI"/>
          <w:sz w:val="18"/>
          <w:szCs w:val="18"/>
          <w:lang w:val="de-DE"/>
        </w:rPr>
        <w:t xml:space="preserve"> oder der Vereinbarung über Datenverarbeitung und den </w:t>
      </w:r>
      <w:r>
        <w:rPr>
          <w:rFonts w:ascii="Segoe UI" w:hAnsi="Segoe UI" w:cs="Segoe UI"/>
          <w:sz w:val="18"/>
          <w:szCs w:val="18"/>
          <w:lang w:val="de-DE"/>
        </w:rPr>
        <w:t>SVK</w:t>
      </w:r>
      <w:r w:rsidRPr="00973E80">
        <w:rPr>
          <w:rFonts w:ascii="Segoe UI" w:hAnsi="Segoe UI" w:cs="Segoe UI"/>
          <w:sz w:val="18"/>
          <w:szCs w:val="18"/>
          <w:lang w:val="de-DE"/>
        </w:rPr>
        <w:t xml:space="preserve"> haben die </w:t>
      </w:r>
      <w:proofErr w:type="gramStart"/>
      <w:r>
        <w:rPr>
          <w:rFonts w:ascii="Segoe UI" w:hAnsi="Segoe UI" w:cs="Segoe UI"/>
          <w:sz w:val="18"/>
          <w:szCs w:val="18"/>
          <w:lang w:val="de-DE"/>
        </w:rPr>
        <w:t>SVK</w:t>
      </w:r>
      <w:r w:rsidRPr="00973E80">
        <w:rPr>
          <w:rFonts w:ascii="Segoe UI" w:hAnsi="Segoe UI" w:cs="Segoe UI"/>
          <w:sz w:val="18"/>
          <w:szCs w:val="18"/>
          <w:lang w:val="de-DE"/>
        </w:rPr>
        <w:t xml:space="preserve"> Vorrang</w:t>
      </w:r>
      <w:proofErr w:type="gramEnd"/>
      <w:r w:rsidRPr="00973E80">
        <w:rPr>
          <w:rFonts w:ascii="Segoe UI" w:hAnsi="Segoe UI" w:cs="Segoe UI"/>
          <w:sz w:val="18"/>
          <w:szCs w:val="18"/>
          <w:lang w:val="de-DE"/>
        </w:rPr>
        <w:t xml:space="preserve">. </w:t>
      </w:r>
    </w:p>
    <w:p w14:paraId="515AAB7B" w14:textId="77777777" w:rsidR="00B17F4C" w:rsidRPr="00011431" w:rsidRDefault="00B17F4C" w:rsidP="00B17F4C">
      <w:pPr>
        <w:pStyle w:val="Prrafodelista"/>
        <w:numPr>
          <w:ilvl w:val="0"/>
          <w:numId w:val="1"/>
        </w:numPr>
        <w:ind w:left="-851" w:right="-852" w:hanging="283"/>
        <w:jc w:val="both"/>
        <w:rPr>
          <w:rFonts w:ascii="Segoe UI" w:hAnsi="Segoe UI" w:cs="Segoe UI"/>
          <w:b/>
          <w:bCs/>
          <w:sz w:val="20"/>
          <w:szCs w:val="20"/>
          <w:lang w:val="en-US"/>
        </w:rPr>
      </w:pPr>
      <w:r w:rsidRPr="00011431">
        <w:rPr>
          <w:rFonts w:ascii="Segoe UI" w:hAnsi="Segoe UI" w:cs="Segoe UI"/>
          <w:b/>
          <w:bCs/>
          <w:sz w:val="20"/>
          <w:szCs w:val="20"/>
          <w:lang w:val="en-US"/>
        </w:rPr>
        <w:t>UK</w:t>
      </w:r>
      <w:r>
        <w:rPr>
          <w:rFonts w:ascii="Segoe UI" w:hAnsi="Segoe UI" w:cs="Segoe UI"/>
          <w:b/>
          <w:bCs/>
          <w:sz w:val="20"/>
          <w:szCs w:val="20"/>
          <w:lang w:val="en-US"/>
        </w:rPr>
        <w:t>-SVK</w:t>
      </w:r>
      <w:r w:rsidRPr="00011431">
        <w:rPr>
          <w:rFonts w:ascii="Segoe UI" w:hAnsi="Segoe UI" w:cs="Segoe UI"/>
          <w:b/>
          <w:bCs/>
          <w:sz w:val="20"/>
          <w:szCs w:val="20"/>
          <w:lang w:val="en-US"/>
        </w:rPr>
        <w:t xml:space="preserve"> </w:t>
      </w:r>
    </w:p>
    <w:p w14:paraId="1E715EAF" w14:textId="77777777" w:rsidR="00B17F4C" w:rsidRPr="00982B21" w:rsidRDefault="00B17F4C" w:rsidP="00B17F4C">
      <w:pPr>
        <w:ind w:left="-1134" w:right="-852"/>
        <w:jc w:val="both"/>
        <w:rPr>
          <w:rFonts w:ascii="Segoe UI" w:hAnsi="Segoe UI" w:cs="Segoe UI"/>
          <w:sz w:val="18"/>
          <w:szCs w:val="18"/>
          <w:lang w:val="de-DE"/>
        </w:rPr>
      </w:pPr>
      <w:r w:rsidRPr="00982B21">
        <w:rPr>
          <w:rFonts w:ascii="Segoe UI" w:hAnsi="Segoe UI" w:cs="Segoe UI"/>
          <w:sz w:val="18"/>
          <w:szCs w:val="18"/>
          <w:lang w:val="de-DE"/>
        </w:rPr>
        <w:t xml:space="preserve">Soweit personenbezogene Daten, die gemäß der Vereinbarung über Datenverarbeitung an </w:t>
      </w:r>
      <w:proofErr w:type="spellStart"/>
      <w:r w:rsidRPr="00982B21">
        <w:rPr>
          <w:rFonts w:ascii="Segoe UI" w:hAnsi="Segoe UI" w:cs="Segoe UI"/>
          <w:sz w:val="18"/>
          <w:szCs w:val="18"/>
          <w:lang w:val="de-DE"/>
        </w:rPr>
        <w:t>Hydrafacial</w:t>
      </w:r>
      <w:proofErr w:type="spellEnd"/>
      <w:r w:rsidRPr="00982B21">
        <w:rPr>
          <w:rFonts w:ascii="Segoe UI" w:hAnsi="Segoe UI" w:cs="Segoe UI"/>
          <w:sz w:val="18"/>
          <w:szCs w:val="18"/>
          <w:lang w:val="de-DE"/>
        </w:rPr>
        <w:t xml:space="preserve"> übermittelt w</w:t>
      </w:r>
      <w:r>
        <w:rPr>
          <w:rFonts w:ascii="Segoe UI" w:hAnsi="Segoe UI" w:cs="Segoe UI"/>
          <w:sz w:val="18"/>
          <w:szCs w:val="18"/>
          <w:lang w:val="de-DE"/>
        </w:rPr>
        <w:t>e</w:t>
      </w:r>
      <w:r w:rsidRPr="00982B21">
        <w:rPr>
          <w:rFonts w:ascii="Segoe UI" w:hAnsi="Segoe UI" w:cs="Segoe UI"/>
          <w:sz w:val="18"/>
          <w:szCs w:val="18"/>
          <w:lang w:val="de-DE"/>
        </w:rPr>
        <w:t>rden, dem UK-Datenschutzrecht unterliegen und aus dem Vereinigten Königreich stammen, g</w:t>
      </w:r>
      <w:r>
        <w:rPr>
          <w:rFonts w:ascii="Segoe UI" w:hAnsi="Segoe UI" w:cs="Segoe UI"/>
          <w:sz w:val="18"/>
          <w:szCs w:val="18"/>
          <w:lang w:val="de-DE"/>
        </w:rPr>
        <w:t>elten</w:t>
      </w:r>
      <w:r w:rsidRPr="00982B21">
        <w:rPr>
          <w:rFonts w:ascii="Segoe UI" w:hAnsi="Segoe UI" w:cs="Segoe UI"/>
          <w:sz w:val="18"/>
          <w:szCs w:val="18"/>
          <w:lang w:val="de-DE"/>
        </w:rPr>
        <w:t xml:space="preserve"> die IDTA als erf</w:t>
      </w:r>
      <w:r>
        <w:rPr>
          <w:rFonts w:ascii="Segoe UI" w:hAnsi="Segoe UI" w:cs="Segoe UI"/>
          <w:sz w:val="18"/>
          <w:szCs w:val="18"/>
          <w:lang w:val="de-DE"/>
        </w:rPr>
        <w:t>üllt</w:t>
      </w:r>
      <w:r w:rsidRPr="00982B21">
        <w:rPr>
          <w:rFonts w:ascii="Segoe UI" w:hAnsi="Segoe UI" w:cs="Segoe UI"/>
          <w:sz w:val="18"/>
          <w:szCs w:val="18"/>
          <w:lang w:val="de-DE"/>
        </w:rPr>
        <w:t xml:space="preserve"> und die Integration </w:t>
      </w:r>
      <w:r>
        <w:rPr>
          <w:rFonts w:ascii="Segoe UI" w:hAnsi="Segoe UI" w:cs="Segoe UI"/>
          <w:sz w:val="18"/>
          <w:szCs w:val="18"/>
          <w:lang w:val="de-DE"/>
        </w:rPr>
        <w:t xml:space="preserve">als </w:t>
      </w:r>
      <w:r w:rsidRPr="00982B21">
        <w:rPr>
          <w:rFonts w:ascii="Segoe UI" w:hAnsi="Segoe UI" w:cs="Segoe UI"/>
          <w:sz w:val="18"/>
          <w:szCs w:val="18"/>
          <w:lang w:val="de-DE"/>
        </w:rPr>
        <w:t xml:space="preserve">abgeschlossen. </w:t>
      </w:r>
      <w:r>
        <w:rPr>
          <w:rFonts w:ascii="Segoe UI" w:hAnsi="Segoe UI" w:cs="Segoe UI"/>
          <w:sz w:val="18"/>
          <w:szCs w:val="18"/>
          <w:lang w:val="de-DE"/>
        </w:rPr>
        <w:t>Die</w:t>
      </w:r>
      <w:r w:rsidRPr="00982B21">
        <w:rPr>
          <w:rFonts w:ascii="Segoe UI" w:hAnsi="Segoe UI" w:cs="Segoe UI"/>
          <w:sz w:val="18"/>
          <w:szCs w:val="18"/>
          <w:lang w:val="de-DE"/>
        </w:rPr>
        <w:t xml:space="preserve"> EU-</w:t>
      </w:r>
      <w:r>
        <w:rPr>
          <w:rFonts w:ascii="Segoe UI" w:hAnsi="Segoe UI" w:cs="Segoe UI"/>
          <w:sz w:val="18"/>
          <w:szCs w:val="18"/>
          <w:lang w:val="de-DE"/>
        </w:rPr>
        <w:t>SVK</w:t>
      </w:r>
      <w:r w:rsidRPr="00982B21">
        <w:rPr>
          <w:rFonts w:ascii="Segoe UI" w:hAnsi="Segoe UI" w:cs="Segoe UI"/>
          <w:sz w:val="18"/>
          <w:szCs w:val="18"/>
          <w:lang w:val="de-DE"/>
        </w:rPr>
        <w:t xml:space="preserve"> </w:t>
      </w:r>
      <w:r>
        <w:rPr>
          <w:rFonts w:ascii="Segoe UI" w:hAnsi="Segoe UI" w:cs="Segoe UI"/>
          <w:sz w:val="18"/>
          <w:szCs w:val="18"/>
          <w:lang w:val="de-DE"/>
        </w:rPr>
        <w:t xml:space="preserve">werden, wie folgt, </w:t>
      </w:r>
      <w:r w:rsidRPr="00982B21">
        <w:rPr>
          <w:rFonts w:ascii="Segoe UI" w:hAnsi="Segoe UI" w:cs="Segoe UI"/>
          <w:sz w:val="18"/>
          <w:szCs w:val="18"/>
          <w:lang w:val="de-DE"/>
        </w:rPr>
        <w:t xml:space="preserve">ergänzt: </w:t>
      </w:r>
    </w:p>
    <w:p w14:paraId="7E4A209C" w14:textId="77777777" w:rsidR="00B17F4C" w:rsidRPr="00982B21" w:rsidRDefault="00B17F4C" w:rsidP="00B17F4C">
      <w:pPr>
        <w:ind w:left="-851" w:right="-852"/>
        <w:jc w:val="both"/>
        <w:rPr>
          <w:rFonts w:ascii="Segoe UI" w:hAnsi="Segoe UI" w:cs="Segoe UI"/>
          <w:sz w:val="18"/>
          <w:szCs w:val="18"/>
          <w:lang w:val="de-DE"/>
        </w:rPr>
      </w:pPr>
      <w:r w:rsidRPr="00982B21">
        <w:rPr>
          <w:rFonts w:ascii="Segoe UI" w:hAnsi="Segoe UI" w:cs="Segoe UI"/>
          <w:sz w:val="18"/>
          <w:szCs w:val="18"/>
          <w:lang w:val="de-DE"/>
        </w:rPr>
        <w:t xml:space="preserve">2.1. </w:t>
      </w:r>
      <w:r w:rsidRPr="00982B21">
        <w:rPr>
          <w:rFonts w:ascii="Segoe UI" w:hAnsi="Segoe UI" w:cs="Segoe UI"/>
          <w:sz w:val="18"/>
          <w:szCs w:val="18"/>
          <w:u w:val="single"/>
          <w:lang w:val="de-DE"/>
        </w:rPr>
        <w:t>Parteien</w:t>
      </w:r>
      <w:r w:rsidRPr="00982B21">
        <w:rPr>
          <w:rFonts w:ascii="Segoe UI" w:hAnsi="Segoe UI" w:cs="Segoe UI"/>
          <w:sz w:val="18"/>
          <w:szCs w:val="18"/>
          <w:lang w:val="de-DE"/>
        </w:rPr>
        <w:t>. Teil 1, Tabelle 1</w:t>
      </w:r>
      <w:r>
        <w:rPr>
          <w:rFonts w:ascii="Segoe UI" w:hAnsi="Segoe UI" w:cs="Segoe UI"/>
          <w:sz w:val="18"/>
          <w:szCs w:val="18"/>
          <w:lang w:val="de-DE"/>
        </w:rPr>
        <w:t>,</w:t>
      </w:r>
      <w:r w:rsidRPr="00982B21">
        <w:rPr>
          <w:rFonts w:ascii="Segoe UI" w:hAnsi="Segoe UI" w:cs="Segoe UI"/>
          <w:sz w:val="18"/>
          <w:szCs w:val="18"/>
          <w:lang w:val="de-DE"/>
        </w:rPr>
        <w:t xml:space="preserve"> wird erfüllt durch die Angaben in Anlage 1 zu diesen HF-</w:t>
      </w:r>
      <w:r>
        <w:rPr>
          <w:rFonts w:ascii="Segoe UI" w:hAnsi="Segoe UI" w:cs="Segoe UI"/>
          <w:sz w:val="18"/>
          <w:szCs w:val="18"/>
          <w:lang w:val="de-DE"/>
        </w:rPr>
        <w:t>SVK</w:t>
      </w:r>
      <w:r w:rsidRPr="00982B21">
        <w:rPr>
          <w:rFonts w:ascii="Segoe UI" w:hAnsi="Segoe UI" w:cs="Segoe UI"/>
          <w:sz w:val="18"/>
          <w:szCs w:val="18"/>
          <w:lang w:val="de-DE"/>
        </w:rPr>
        <w:t xml:space="preserve">. </w:t>
      </w:r>
    </w:p>
    <w:p w14:paraId="7CD1F3FC" w14:textId="77777777" w:rsidR="00B17F4C" w:rsidRPr="006100CF" w:rsidRDefault="00B17F4C" w:rsidP="00B17F4C">
      <w:pPr>
        <w:ind w:left="-851" w:right="-852"/>
        <w:jc w:val="both"/>
        <w:rPr>
          <w:rFonts w:ascii="Segoe UI" w:hAnsi="Segoe UI" w:cs="Segoe UI"/>
          <w:sz w:val="18"/>
          <w:szCs w:val="18"/>
          <w:lang w:val="de-DE"/>
        </w:rPr>
      </w:pPr>
      <w:r w:rsidRPr="00FD3B3B">
        <w:rPr>
          <w:rFonts w:ascii="Segoe UI" w:hAnsi="Segoe UI" w:cs="Segoe UI"/>
          <w:sz w:val="18"/>
          <w:szCs w:val="18"/>
          <w:lang w:val="en-US"/>
        </w:rPr>
        <w:t xml:space="preserve">2.2. </w:t>
      </w:r>
      <w:r w:rsidRPr="0063338E">
        <w:rPr>
          <w:rFonts w:ascii="Segoe UI" w:hAnsi="Segoe UI" w:cs="Segoe UI"/>
          <w:sz w:val="18"/>
          <w:szCs w:val="18"/>
          <w:u w:val="single"/>
          <w:lang w:val="en-US"/>
        </w:rPr>
        <w:t>S</w:t>
      </w:r>
      <w:r>
        <w:rPr>
          <w:rFonts w:ascii="Segoe UI" w:hAnsi="Segoe UI" w:cs="Segoe UI"/>
          <w:sz w:val="18"/>
          <w:szCs w:val="18"/>
          <w:u w:val="single"/>
          <w:lang w:val="en-US"/>
        </w:rPr>
        <w:t>VK</w:t>
      </w:r>
      <w:r w:rsidRPr="006100CF">
        <w:rPr>
          <w:rFonts w:ascii="Segoe UI" w:hAnsi="Segoe UI" w:cs="Segoe UI"/>
          <w:sz w:val="18"/>
          <w:szCs w:val="18"/>
          <w:u w:val="single"/>
          <w:lang w:val="en-US"/>
        </w:rPr>
        <w:t xml:space="preserve">, Module und </w:t>
      </w:r>
      <w:proofErr w:type="spellStart"/>
      <w:r w:rsidRPr="006100CF">
        <w:rPr>
          <w:rFonts w:ascii="Segoe UI" w:hAnsi="Segoe UI" w:cs="Segoe UI"/>
          <w:sz w:val="18"/>
          <w:szCs w:val="18"/>
          <w:u w:val="single"/>
          <w:lang w:val="en-US"/>
        </w:rPr>
        <w:t>Klauseln</w:t>
      </w:r>
      <w:proofErr w:type="spellEnd"/>
      <w:r w:rsidRPr="00FD3B3B">
        <w:rPr>
          <w:rFonts w:ascii="Segoe UI" w:hAnsi="Segoe UI" w:cs="Segoe UI"/>
          <w:sz w:val="18"/>
          <w:szCs w:val="18"/>
          <w:lang w:val="en-US"/>
        </w:rPr>
        <w:t xml:space="preserve">. </w:t>
      </w:r>
      <w:r w:rsidRPr="006100CF">
        <w:rPr>
          <w:rFonts w:ascii="Segoe UI" w:hAnsi="Segoe UI" w:cs="Segoe UI"/>
          <w:sz w:val="18"/>
          <w:szCs w:val="18"/>
          <w:lang w:val="de-DE"/>
        </w:rPr>
        <w:t>Teil 1, Tabelle 2</w:t>
      </w:r>
      <w:r>
        <w:rPr>
          <w:rFonts w:ascii="Segoe UI" w:hAnsi="Segoe UI" w:cs="Segoe UI"/>
          <w:sz w:val="18"/>
          <w:szCs w:val="18"/>
          <w:lang w:val="de-DE"/>
        </w:rPr>
        <w:t>,</w:t>
      </w:r>
      <w:r w:rsidRPr="006100CF">
        <w:rPr>
          <w:rFonts w:ascii="Segoe UI" w:hAnsi="Segoe UI" w:cs="Segoe UI"/>
          <w:sz w:val="18"/>
          <w:szCs w:val="18"/>
          <w:lang w:val="de-DE"/>
        </w:rPr>
        <w:t xml:space="preserve"> wird erfüllt durch die obigen Angaben in Ziffer 1. </w:t>
      </w:r>
    </w:p>
    <w:p w14:paraId="1D89F95E" w14:textId="77777777" w:rsidR="00B17F4C" w:rsidRPr="006100CF" w:rsidRDefault="00B17F4C" w:rsidP="00B17F4C">
      <w:pPr>
        <w:ind w:left="-851" w:right="-852"/>
        <w:jc w:val="both"/>
        <w:rPr>
          <w:rFonts w:ascii="Segoe UI" w:hAnsi="Segoe UI" w:cs="Segoe UI"/>
          <w:sz w:val="18"/>
          <w:szCs w:val="18"/>
          <w:lang w:val="de-DE"/>
        </w:rPr>
      </w:pPr>
      <w:r w:rsidRPr="00B17F4C">
        <w:rPr>
          <w:rFonts w:ascii="Segoe UI" w:hAnsi="Segoe UI" w:cs="Segoe UI"/>
          <w:sz w:val="18"/>
          <w:szCs w:val="18"/>
          <w:lang w:val="de-DE"/>
        </w:rPr>
        <w:t xml:space="preserve">2.3. </w:t>
      </w:r>
      <w:r w:rsidRPr="00B17F4C">
        <w:rPr>
          <w:rFonts w:ascii="Segoe UI" w:hAnsi="Segoe UI" w:cs="Segoe UI"/>
          <w:sz w:val="18"/>
          <w:szCs w:val="18"/>
          <w:u w:val="single"/>
          <w:lang w:val="de-DE"/>
        </w:rPr>
        <w:t>Anhänge</w:t>
      </w:r>
      <w:r w:rsidRPr="00B17F4C">
        <w:rPr>
          <w:rFonts w:ascii="Segoe UI" w:hAnsi="Segoe UI" w:cs="Segoe UI"/>
          <w:sz w:val="18"/>
          <w:szCs w:val="18"/>
          <w:lang w:val="de-DE"/>
        </w:rPr>
        <w:t xml:space="preserve">. </w:t>
      </w:r>
      <w:r w:rsidRPr="006100CF">
        <w:rPr>
          <w:rFonts w:ascii="Segoe UI" w:hAnsi="Segoe UI" w:cs="Segoe UI"/>
          <w:sz w:val="18"/>
          <w:szCs w:val="18"/>
          <w:lang w:val="de-DE"/>
        </w:rPr>
        <w:t>Die in Teil 1, Tabelle 3</w:t>
      </w:r>
      <w:r>
        <w:rPr>
          <w:rFonts w:ascii="Segoe UI" w:hAnsi="Segoe UI" w:cs="Segoe UI"/>
          <w:sz w:val="18"/>
          <w:szCs w:val="18"/>
          <w:lang w:val="de-DE"/>
        </w:rPr>
        <w:t>,</w:t>
      </w:r>
      <w:r w:rsidRPr="006100CF">
        <w:rPr>
          <w:rFonts w:ascii="Segoe UI" w:hAnsi="Segoe UI" w:cs="Segoe UI"/>
          <w:sz w:val="18"/>
          <w:szCs w:val="18"/>
          <w:lang w:val="de-DE"/>
        </w:rPr>
        <w:t xml:space="preserve"> </w:t>
      </w:r>
      <w:proofErr w:type="gramStart"/>
      <w:r w:rsidRPr="006100CF">
        <w:rPr>
          <w:rFonts w:ascii="Segoe UI" w:hAnsi="Segoe UI" w:cs="Segoe UI"/>
          <w:sz w:val="18"/>
          <w:szCs w:val="18"/>
          <w:lang w:val="de-DE"/>
        </w:rPr>
        <w:t xml:space="preserve">erwähnten  </w:t>
      </w:r>
      <w:r>
        <w:rPr>
          <w:rFonts w:ascii="Segoe UI" w:hAnsi="Segoe UI" w:cs="Segoe UI"/>
          <w:sz w:val="18"/>
          <w:szCs w:val="18"/>
          <w:lang w:val="de-DE"/>
        </w:rPr>
        <w:t>„</w:t>
      </w:r>
      <w:proofErr w:type="spellStart"/>
      <w:proofErr w:type="gramEnd"/>
      <w:r w:rsidRPr="006100CF">
        <w:rPr>
          <w:rFonts w:ascii="Segoe UI" w:hAnsi="Segoe UI" w:cs="Segoe UI"/>
          <w:sz w:val="18"/>
          <w:szCs w:val="18"/>
          <w:lang w:val="de-DE"/>
        </w:rPr>
        <w:t>Anhanginformationen</w:t>
      </w:r>
      <w:proofErr w:type="spellEnd"/>
      <w:r w:rsidRPr="006100CF">
        <w:rPr>
          <w:rFonts w:ascii="Segoe UI" w:hAnsi="Segoe UI" w:cs="Segoe UI"/>
          <w:sz w:val="18"/>
          <w:szCs w:val="18"/>
          <w:lang w:val="de-DE"/>
        </w:rPr>
        <w:t xml:space="preserve">” werden </w:t>
      </w:r>
      <w:r w:rsidRPr="00982B21">
        <w:rPr>
          <w:rFonts w:ascii="Segoe UI" w:hAnsi="Segoe UI" w:cs="Segoe UI"/>
          <w:sz w:val="18"/>
          <w:szCs w:val="18"/>
          <w:lang w:val="de-DE"/>
        </w:rPr>
        <w:t>erfüllt durch die Angaben in Anlage 1 zu diesen HF-</w:t>
      </w:r>
      <w:r>
        <w:rPr>
          <w:rFonts w:ascii="Segoe UI" w:hAnsi="Segoe UI" w:cs="Segoe UI"/>
          <w:sz w:val="18"/>
          <w:szCs w:val="18"/>
          <w:lang w:val="de-DE"/>
        </w:rPr>
        <w:t>SVK</w:t>
      </w:r>
      <w:r w:rsidRPr="006100CF">
        <w:rPr>
          <w:rFonts w:ascii="Segoe UI" w:hAnsi="Segoe UI" w:cs="Segoe UI"/>
          <w:sz w:val="18"/>
          <w:szCs w:val="18"/>
          <w:lang w:val="de-DE"/>
        </w:rPr>
        <w:t xml:space="preserve">. </w:t>
      </w:r>
    </w:p>
    <w:p w14:paraId="51305780" w14:textId="77777777" w:rsidR="00B17F4C" w:rsidRPr="006100CF" w:rsidRDefault="00B17F4C" w:rsidP="00B17F4C">
      <w:pPr>
        <w:ind w:left="-851" w:right="-852"/>
        <w:jc w:val="both"/>
        <w:rPr>
          <w:rFonts w:ascii="Segoe UI" w:hAnsi="Segoe UI" w:cs="Segoe UI"/>
          <w:sz w:val="18"/>
          <w:szCs w:val="18"/>
          <w:lang w:val="de-DE"/>
        </w:rPr>
      </w:pPr>
      <w:r w:rsidRPr="006100CF">
        <w:rPr>
          <w:rFonts w:ascii="Segoe UI" w:hAnsi="Segoe UI" w:cs="Segoe UI"/>
          <w:sz w:val="18"/>
          <w:szCs w:val="18"/>
          <w:lang w:val="de-DE"/>
        </w:rPr>
        <w:t xml:space="preserve">2.4. </w:t>
      </w:r>
      <w:r w:rsidRPr="006100CF">
        <w:rPr>
          <w:rFonts w:ascii="Segoe UI" w:hAnsi="Segoe UI" w:cs="Segoe UI"/>
          <w:sz w:val="18"/>
          <w:szCs w:val="18"/>
          <w:u w:val="single"/>
          <w:lang w:val="de-DE"/>
        </w:rPr>
        <w:t>Beendigung</w:t>
      </w:r>
      <w:r w:rsidRPr="006100CF">
        <w:rPr>
          <w:rFonts w:ascii="Segoe UI" w:hAnsi="Segoe UI" w:cs="Segoe UI"/>
          <w:sz w:val="18"/>
          <w:szCs w:val="18"/>
          <w:lang w:val="de-DE"/>
        </w:rPr>
        <w:t>. Der Kunde kann als Importeur diese IDTA nach Maßgabe von Ziffer 19 der IDTA</w:t>
      </w:r>
      <w:r>
        <w:rPr>
          <w:rFonts w:ascii="Segoe UI" w:hAnsi="Segoe UI" w:cs="Segoe UI"/>
          <w:sz w:val="18"/>
          <w:szCs w:val="18"/>
          <w:lang w:val="de-DE"/>
        </w:rPr>
        <w:t xml:space="preserve"> beenden</w:t>
      </w:r>
      <w:r w:rsidRPr="006100CF">
        <w:rPr>
          <w:rFonts w:ascii="Segoe UI" w:hAnsi="Segoe UI" w:cs="Segoe UI"/>
          <w:sz w:val="18"/>
          <w:szCs w:val="18"/>
          <w:lang w:val="de-DE"/>
        </w:rPr>
        <w:t xml:space="preserve">. </w:t>
      </w:r>
    </w:p>
    <w:p w14:paraId="4699A6DC" w14:textId="77777777" w:rsidR="00B17F4C" w:rsidRPr="00011431" w:rsidRDefault="00B17F4C" w:rsidP="00B17F4C">
      <w:pPr>
        <w:pStyle w:val="Prrafodelista"/>
        <w:numPr>
          <w:ilvl w:val="0"/>
          <w:numId w:val="1"/>
        </w:numPr>
        <w:ind w:left="-851" w:right="-852" w:hanging="283"/>
        <w:jc w:val="both"/>
        <w:rPr>
          <w:rFonts w:ascii="Segoe UI" w:hAnsi="Segoe UI" w:cs="Segoe UI"/>
          <w:b/>
          <w:bCs/>
          <w:sz w:val="20"/>
          <w:szCs w:val="20"/>
          <w:lang w:val="en-US"/>
        </w:rPr>
      </w:pPr>
      <w:proofErr w:type="spellStart"/>
      <w:r w:rsidRPr="00011431">
        <w:rPr>
          <w:rFonts w:ascii="Segoe UI" w:hAnsi="Segoe UI" w:cs="Segoe UI"/>
          <w:b/>
          <w:bCs/>
          <w:sz w:val="20"/>
          <w:szCs w:val="20"/>
          <w:lang w:val="en-US"/>
        </w:rPr>
        <w:t>S</w:t>
      </w:r>
      <w:r>
        <w:rPr>
          <w:rFonts w:ascii="Segoe UI" w:hAnsi="Segoe UI" w:cs="Segoe UI"/>
          <w:b/>
          <w:bCs/>
          <w:sz w:val="20"/>
          <w:szCs w:val="20"/>
          <w:lang w:val="en-US"/>
        </w:rPr>
        <w:t>chweizerische</w:t>
      </w:r>
      <w:proofErr w:type="spellEnd"/>
      <w:r>
        <w:rPr>
          <w:rFonts w:ascii="Segoe UI" w:hAnsi="Segoe UI" w:cs="Segoe UI"/>
          <w:b/>
          <w:bCs/>
          <w:sz w:val="20"/>
          <w:szCs w:val="20"/>
          <w:lang w:val="en-US"/>
        </w:rPr>
        <w:t xml:space="preserve"> SVK</w:t>
      </w:r>
      <w:r w:rsidRPr="00011431">
        <w:rPr>
          <w:rFonts w:ascii="Segoe UI" w:hAnsi="Segoe UI" w:cs="Segoe UI"/>
          <w:b/>
          <w:bCs/>
          <w:sz w:val="20"/>
          <w:szCs w:val="20"/>
          <w:lang w:val="en-US"/>
        </w:rPr>
        <w:t xml:space="preserve">. </w:t>
      </w:r>
    </w:p>
    <w:p w14:paraId="0FA32C34" w14:textId="77777777" w:rsidR="00B17F4C" w:rsidRPr="00770A74" w:rsidRDefault="00B17F4C" w:rsidP="00B17F4C">
      <w:pPr>
        <w:ind w:left="-1134" w:right="-852"/>
        <w:jc w:val="both"/>
        <w:rPr>
          <w:rFonts w:ascii="Segoe UI" w:hAnsi="Segoe UI" w:cs="Segoe UI"/>
          <w:sz w:val="18"/>
          <w:szCs w:val="18"/>
          <w:lang w:val="de-DE"/>
        </w:rPr>
      </w:pPr>
      <w:r w:rsidRPr="00770A74">
        <w:rPr>
          <w:rFonts w:ascii="Segoe UI" w:hAnsi="Segoe UI" w:cs="Segoe UI"/>
          <w:sz w:val="18"/>
          <w:szCs w:val="18"/>
          <w:lang w:val="de-DE"/>
        </w:rPr>
        <w:t xml:space="preserve">Soweit personenbezogene Daten, die gemäß der Vereinbarung über Datenverarbeitung an </w:t>
      </w:r>
      <w:proofErr w:type="spellStart"/>
      <w:r w:rsidRPr="00770A74">
        <w:rPr>
          <w:rFonts w:ascii="Segoe UI" w:hAnsi="Segoe UI" w:cs="Segoe UI"/>
          <w:sz w:val="18"/>
          <w:szCs w:val="18"/>
          <w:lang w:val="de-DE"/>
        </w:rPr>
        <w:t>Hydrafacial</w:t>
      </w:r>
      <w:proofErr w:type="spellEnd"/>
      <w:r w:rsidRPr="00770A74">
        <w:rPr>
          <w:rFonts w:ascii="Segoe UI" w:hAnsi="Segoe UI" w:cs="Segoe UI"/>
          <w:sz w:val="18"/>
          <w:szCs w:val="18"/>
          <w:lang w:val="de-DE"/>
        </w:rPr>
        <w:t xml:space="preserve"> übermittelt we</w:t>
      </w:r>
      <w:r>
        <w:rPr>
          <w:rFonts w:ascii="Segoe UI" w:hAnsi="Segoe UI" w:cs="Segoe UI"/>
          <w:sz w:val="18"/>
          <w:szCs w:val="18"/>
          <w:lang w:val="de-DE"/>
        </w:rPr>
        <w:t>r</w:t>
      </w:r>
      <w:r w:rsidRPr="00770A74">
        <w:rPr>
          <w:rFonts w:ascii="Segoe UI" w:hAnsi="Segoe UI" w:cs="Segoe UI"/>
          <w:sz w:val="18"/>
          <w:szCs w:val="18"/>
          <w:lang w:val="de-DE"/>
        </w:rPr>
        <w:t xml:space="preserve">den, dem schweizerischen Datenschutzrecht unterliegen und aus der Schweiz stammen, gelten die EU-SVK </w:t>
      </w:r>
      <w:r>
        <w:rPr>
          <w:rFonts w:ascii="Segoe UI" w:hAnsi="Segoe UI" w:cs="Segoe UI"/>
          <w:sz w:val="18"/>
          <w:szCs w:val="18"/>
          <w:lang w:val="de-DE"/>
        </w:rPr>
        <w:t>mit folgenden Anpassungen</w:t>
      </w:r>
      <w:r w:rsidRPr="00770A74">
        <w:rPr>
          <w:rFonts w:ascii="Segoe UI" w:hAnsi="Segoe UI" w:cs="Segoe UI"/>
          <w:sz w:val="18"/>
          <w:szCs w:val="18"/>
          <w:lang w:val="de-DE"/>
        </w:rPr>
        <w:t xml:space="preserve">: </w:t>
      </w:r>
    </w:p>
    <w:p w14:paraId="01E3780C" w14:textId="77777777" w:rsidR="00B17F4C" w:rsidRPr="002D2E77" w:rsidRDefault="00B17F4C" w:rsidP="00B17F4C">
      <w:pPr>
        <w:ind w:left="-851" w:right="-852"/>
        <w:jc w:val="both"/>
        <w:rPr>
          <w:rFonts w:ascii="Segoe UI" w:hAnsi="Segoe UI" w:cs="Segoe UI"/>
          <w:sz w:val="18"/>
          <w:szCs w:val="18"/>
          <w:lang w:val="de-DE"/>
        </w:rPr>
      </w:pPr>
      <w:r w:rsidRPr="00B17F4C">
        <w:rPr>
          <w:rFonts w:ascii="Segoe UI" w:hAnsi="Segoe UI" w:cs="Segoe UI"/>
          <w:sz w:val="18"/>
          <w:szCs w:val="18"/>
          <w:lang w:val="de-DE"/>
        </w:rPr>
        <w:t xml:space="preserve">3.1. </w:t>
      </w:r>
      <w:r w:rsidRPr="00B17F4C">
        <w:rPr>
          <w:rFonts w:ascii="Segoe UI" w:hAnsi="Segoe UI" w:cs="Segoe UI"/>
          <w:sz w:val="18"/>
          <w:szCs w:val="18"/>
          <w:u w:val="single"/>
          <w:lang w:val="de-DE"/>
        </w:rPr>
        <w:t>Gerichtsstand</w:t>
      </w:r>
      <w:r w:rsidRPr="00B17F4C">
        <w:rPr>
          <w:rFonts w:ascii="Segoe UI" w:hAnsi="Segoe UI" w:cs="Segoe UI"/>
          <w:sz w:val="18"/>
          <w:szCs w:val="18"/>
          <w:lang w:val="de-DE"/>
        </w:rPr>
        <w:t xml:space="preserve">. </w:t>
      </w:r>
      <w:r w:rsidRPr="002D2E77">
        <w:rPr>
          <w:rFonts w:ascii="Segoe UI" w:hAnsi="Segoe UI" w:cs="Segoe UI"/>
          <w:sz w:val="18"/>
          <w:szCs w:val="18"/>
          <w:lang w:val="de-DE"/>
        </w:rPr>
        <w:t xml:space="preserve">Der </w:t>
      </w:r>
      <w:proofErr w:type="gramStart"/>
      <w:r w:rsidRPr="002D2E77">
        <w:rPr>
          <w:rFonts w:ascii="Segoe UI" w:hAnsi="Segoe UI" w:cs="Segoe UI"/>
          <w:sz w:val="18"/>
          <w:szCs w:val="18"/>
          <w:lang w:val="de-DE"/>
        </w:rPr>
        <w:t xml:space="preserve">Begriff  </w:t>
      </w:r>
      <w:r>
        <w:rPr>
          <w:rFonts w:ascii="Segoe UI" w:hAnsi="Segoe UI" w:cs="Segoe UI"/>
          <w:sz w:val="18"/>
          <w:szCs w:val="18"/>
          <w:lang w:val="de-DE"/>
        </w:rPr>
        <w:t>„</w:t>
      </w:r>
      <w:proofErr w:type="gramEnd"/>
      <w:r w:rsidRPr="002D2E77">
        <w:rPr>
          <w:rFonts w:ascii="Segoe UI" w:hAnsi="Segoe UI" w:cs="Segoe UI"/>
          <w:sz w:val="18"/>
          <w:szCs w:val="18"/>
          <w:lang w:val="de-DE"/>
        </w:rPr>
        <w:t xml:space="preserve">Mitgliedstaat” darf nicht so ausgelegt werden, dass Betroffenen in der Schweiz die Möglichkeit verwehrt würde, ihre Rechte gemäß Ziffer 18(c) der EU-SVK in der Schweiz zu verfolgen. </w:t>
      </w:r>
    </w:p>
    <w:p w14:paraId="0E811DD5" w14:textId="77777777" w:rsidR="00B17F4C" w:rsidRPr="002D2E77" w:rsidRDefault="00B17F4C" w:rsidP="00B17F4C">
      <w:pPr>
        <w:ind w:left="-851" w:right="-852"/>
        <w:jc w:val="both"/>
        <w:rPr>
          <w:rFonts w:ascii="Segoe UI" w:hAnsi="Segoe UI" w:cs="Segoe UI"/>
          <w:sz w:val="18"/>
          <w:szCs w:val="18"/>
          <w:lang w:val="de-DE"/>
        </w:rPr>
      </w:pPr>
      <w:r w:rsidRPr="00B17F4C">
        <w:rPr>
          <w:rFonts w:ascii="Segoe UI" w:hAnsi="Segoe UI" w:cs="Segoe UI"/>
          <w:sz w:val="18"/>
          <w:szCs w:val="18"/>
          <w:lang w:val="de-DE"/>
        </w:rPr>
        <w:t xml:space="preserve">3.2. </w:t>
      </w:r>
      <w:r w:rsidRPr="00B17F4C">
        <w:rPr>
          <w:rFonts w:ascii="Segoe UI" w:hAnsi="Segoe UI" w:cs="Segoe UI"/>
          <w:sz w:val="18"/>
          <w:szCs w:val="18"/>
          <w:u w:val="single"/>
          <w:lang w:val="de-DE"/>
        </w:rPr>
        <w:t>Aufsichtsbehörde</w:t>
      </w:r>
      <w:r w:rsidRPr="00B17F4C">
        <w:rPr>
          <w:rFonts w:ascii="Segoe UI" w:hAnsi="Segoe UI" w:cs="Segoe UI"/>
          <w:sz w:val="18"/>
          <w:szCs w:val="18"/>
          <w:lang w:val="de-DE"/>
        </w:rPr>
        <w:t xml:space="preserve">. </w:t>
      </w:r>
      <w:r w:rsidRPr="002D2E77">
        <w:rPr>
          <w:rFonts w:ascii="Segoe UI" w:hAnsi="Segoe UI" w:cs="Segoe UI"/>
          <w:sz w:val="18"/>
          <w:szCs w:val="18"/>
          <w:lang w:val="de-DE"/>
        </w:rPr>
        <w:t>Im Sinne von Ziffer 13 der EU-SVK ist der Bundesbeauftragte für Datenschutz und Informationssicherheit der Schweiz zuständig, soweit die Übermittlung personenbezogener D</w:t>
      </w:r>
      <w:r>
        <w:rPr>
          <w:rFonts w:ascii="Segoe UI" w:hAnsi="Segoe UI" w:cs="Segoe UI"/>
          <w:sz w:val="18"/>
          <w:szCs w:val="18"/>
          <w:lang w:val="de-DE"/>
        </w:rPr>
        <w:t>a</w:t>
      </w:r>
      <w:r w:rsidRPr="002D2E77">
        <w:rPr>
          <w:rFonts w:ascii="Segoe UI" w:hAnsi="Segoe UI" w:cs="Segoe UI"/>
          <w:sz w:val="18"/>
          <w:szCs w:val="18"/>
          <w:lang w:val="de-DE"/>
        </w:rPr>
        <w:t>ten</w:t>
      </w:r>
      <w:r>
        <w:rPr>
          <w:rFonts w:ascii="Segoe UI" w:hAnsi="Segoe UI" w:cs="Segoe UI"/>
          <w:sz w:val="18"/>
          <w:szCs w:val="18"/>
          <w:lang w:val="de-DE"/>
        </w:rPr>
        <w:t xml:space="preserve"> dem schweizerischen Datenschutzrecht unterliegt</w:t>
      </w:r>
      <w:r w:rsidRPr="002D2E77">
        <w:rPr>
          <w:rFonts w:ascii="Segoe UI" w:hAnsi="Segoe UI" w:cs="Segoe UI"/>
          <w:sz w:val="18"/>
          <w:szCs w:val="18"/>
          <w:lang w:val="de-DE"/>
        </w:rPr>
        <w:t xml:space="preserve">. </w:t>
      </w:r>
    </w:p>
    <w:p w14:paraId="0A623413" w14:textId="77777777" w:rsidR="00B17F4C" w:rsidRPr="001952A9" w:rsidRDefault="00B17F4C" w:rsidP="00B17F4C">
      <w:pPr>
        <w:pStyle w:val="Prrafodelista"/>
        <w:numPr>
          <w:ilvl w:val="0"/>
          <w:numId w:val="1"/>
        </w:numPr>
        <w:ind w:left="-851" w:right="-852" w:hanging="283"/>
        <w:jc w:val="both"/>
        <w:rPr>
          <w:rFonts w:ascii="Segoe UI" w:hAnsi="Segoe UI" w:cs="Segoe UI"/>
          <w:sz w:val="18"/>
          <w:szCs w:val="18"/>
          <w:lang w:val="de-DE"/>
        </w:rPr>
      </w:pPr>
      <w:r w:rsidRPr="001952A9">
        <w:rPr>
          <w:rFonts w:ascii="Segoe UI" w:hAnsi="Segoe UI" w:cs="Segoe UI"/>
          <w:sz w:val="18"/>
          <w:szCs w:val="18"/>
          <w:lang w:val="de-DE"/>
        </w:rPr>
        <w:t xml:space="preserve">Diese HF-SVK </w:t>
      </w:r>
      <w:r>
        <w:rPr>
          <w:rFonts w:ascii="Segoe UI" w:hAnsi="Segoe UI" w:cs="Segoe UI"/>
          <w:sz w:val="18"/>
          <w:szCs w:val="18"/>
          <w:lang w:val="de-DE"/>
        </w:rPr>
        <w:t>heben</w:t>
      </w:r>
      <w:r w:rsidRPr="001952A9">
        <w:rPr>
          <w:rFonts w:ascii="Segoe UI" w:hAnsi="Segoe UI" w:cs="Segoe UI"/>
          <w:sz w:val="18"/>
          <w:szCs w:val="18"/>
          <w:lang w:val="de-DE"/>
        </w:rPr>
        <w:t xml:space="preserve"> alle früheren Versionen von Standardvertragsklauseln</w:t>
      </w:r>
      <w:r>
        <w:rPr>
          <w:rFonts w:ascii="Segoe UI" w:hAnsi="Segoe UI" w:cs="Segoe UI"/>
          <w:sz w:val="18"/>
          <w:szCs w:val="18"/>
          <w:lang w:val="de-DE"/>
        </w:rPr>
        <w:t xml:space="preserve"> auf</w:t>
      </w:r>
      <w:r w:rsidRPr="001952A9">
        <w:rPr>
          <w:rFonts w:ascii="Segoe UI" w:hAnsi="Segoe UI" w:cs="Segoe UI"/>
          <w:sz w:val="18"/>
          <w:szCs w:val="18"/>
          <w:lang w:val="de-DE"/>
        </w:rPr>
        <w:t xml:space="preserve">, die unmittelbar vor dem Wirksamwerden dieser HF-SVK Bestandteil der Datenschutzvereinbarung waren, und treten an deren Stelle. </w:t>
      </w:r>
    </w:p>
    <w:p w14:paraId="74747027" w14:textId="77777777" w:rsidR="00B17F4C" w:rsidRPr="001952A9" w:rsidRDefault="00B17F4C" w:rsidP="00B17F4C">
      <w:pPr>
        <w:pStyle w:val="Prrafodelista"/>
        <w:ind w:left="-851" w:right="-852"/>
        <w:jc w:val="both"/>
        <w:rPr>
          <w:rFonts w:ascii="Segoe UI" w:hAnsi="Segoe UI" w:cs="Segoe UI"/>
          <w:sz w:val="18"/>
          <w:szCs w:val="18"/>
          <w:lang w:val="de-DE"/>
        </w:rPr>
      </w:pPr>
    </w:p>
    <w:p w14:paraId="31FF6B4D" w14:textId="77777777" w:rsidR="00B17F4C" w:rsidRPr="00FA3809" w:rsidRDefault="00B17F4C" w:rsidP="00B17F4C">
      <w:pPr>
        <w:pStyle w:val="Prrafodelista"/>
        <w:numPr>
          <w:ilvl w:val="0"/>
          <w:numId w:val="1"/>
        </w:numPr>
        <w:ind w:left="-851" w:right="-852" w:hanging="283"/>
        <w:jc w:val="both"/>
        <w:rPr>
          <w:rFonts w:ascii="Segoe UI" w:hAnsi="Segoe UI" w:cs="Segoe UI"/>
          <w:sz w:val="18"/>
          <w:szCs w:val="18"/>
          <w:lang w:val="de-DE"/>
        </w:rPr>
      </w:pPr>
      <w:r w:rsidRPr="00FA3809">
        <w:rPr>
          <w:rFonts w:ascii="Segoe UI" w:hAnsi="Segoe UI" w:cs="Segoe UI"/>
          <w:sz w:val="18"/>
          <w:szCs w:val="18"/>
          <w:lang w:val="de-DE"/>
        </w:rPr>
        <w:t>Soweit in diesen HF-SVK nicht etwas anders bestimmt ist, wird der Datenschutzvertrag nicht berührt und bleibt</w:t>
      </w:r>
      <w:r>
        <w:rPr>
          <w:rFonts w:ascii="Segoe UI" w:hAnsi="Segoe UI" w:cs="Segoe UI"/>
          <w:sz w:val="18"/>
          <w:szCs w:val="18"/>
          <w:lang w:val="de-DE"/>
        </w:rPr>
        <w:t xml:space="preserve"> den Vertragsbedingungen gemäß</w:t>
      </w:r>
      <w:r w:rsidRPr="00FA3809">
        <w:rPr>
          <w:rFonts w:ascii="Segoe UI" w:hAnsi="Segoe UI" w:cs="Segoe UI"/>
          <w:sz w:val="18"/>
          <w:szCs w:val="18"/>
          <w:lang w:val="de-DE"/>
        </w:rPr>
        <w:t xml:space="preserve"> weiterhin vollumfänglich wirksam und in Kraft</w:t>
      </w:r>
      <w:r>
        <w:rPr>
          <w:rFonts w:ascii="Segoe UI" w:hAnsi="Segoe UI" w:cs="Segoe UI"/>
          <w:sz w:val="18"/>
          <w:szCs w:val="18"/>
          <w:lang w:val="de-DE"/>
        </w:rPr>
        <w:t>. Die</w:t>
      </w:r>
      <w:r w:rsidRPr="00FA3809">
        <w:rPr>
          <w:rFonts w:ascii="Segoe UI" w:hAnsi="Segoe UI" w:cs="Segoe UI"/>
          <w:sz w:val="18"/>
          <w:szCs w:val="18"/>
          <w:lang w:val="de-DE"/>
        </w:rPr>
        <w:t xml:space="preserve"> HF-SVK</w:t>
      </w:r>
      <w:r>
        <w:rPr>
          <w:rFonts w:ascii="Segoe UI" w:hAnsi="Segoe UI" w:cs="Segoe UI"/>
          <w:sz w:val="18"/>
          <w:szCs w:val="18"/>
          <w:lang w:val="de-DE"/>
        </w:rPr>
        <w:t xml:space="preserve"> unterliegen ihrerseits den Vertragsbedingungen des Kaufvertrags</w:t>
      </w:r>
      <w:r w:rsidRPr="00FA3809">
        <w:rPr>
          <w:rFonts w:ascii="Segoe UI" w:hAnsi="Segoe UI" w:cs="Segoe UI"/>
          <w:sz w:val="18"/>
          <w:szCs w:val="18"/>
          <w:lang w:val="de-DE"/>
        </w:rPr>
        <w:t xml:space="preserve">. </w:t>
      </w:r>
      <w:r>
        <w:rPr>
          <w:rFonts w:ascii="Segoe UI" w:hAnsi="Segoe UI" w:cs="Segoe UI"/>
          <w:sz w:val="18"/>
          <w:szCs w:val="18"/>
          <w:lang w:val="de-DE"/>
        </w:rPr>
        <w:t xml:space="preserve">Im Falle von Widersprüchlichkeiten zwischen diesen </w:t>
      </w:r>
      <w:r w:rsidRPr="00FA3809">
        <w:rPr>
          <w:rFonts w:ascii="Segoe UI" w:hAnsi="Segoe UI" w:cs="Segoe UI"/>
          <w:sz w:val="18"/>
          <w:szCs w:val="18"/>
          <w:lang w:val="de-DE"/>
        </w:rPr>
        <w:t xml:space="preserve">HF-SVK und der Vereinbarung über Datenverarbeitung oder einer früheren Änderung derselben, haben die Regelungen dieser HF-SVK </w:t>
      </w:r>
      <w:r>
        <w:rPr>
          <w:rFonts w:ascii="Segoe UI" w:hAnsi="Segoe UI" w:cs="Segoe UI"/>
          <w:sz w:val="18"/>
          <w:szCs w:val="18"/>
          <w:lang w:val="de-DE"/>
        </w:rPr>
        <w:t>Vorrang</w:t>
      </w:r>
      <w:r w:rsidRPr="00FA3809">
        <w:rPr>
          <w:rFonts w:ascii="Segoe UI" w:hAnsi="Segoe UI" w:cs="Segoe UI"/>
          <w:sz w:val="18"/>
          <w:szCs w:val="18"/>
          <w:lang w:val="de-DE"/>
        </w:rPr>
        <w:t xml:space="preserve">. </w:t>
      </w:r>
    </w:p>
    <w:p w14:paraId="2EC42870" w14:textId="77777777" w:rsidR="00B17F4C" w:rsidRPr="00FA3809" w:rsidRDefault="00B17F4C" w:rsidP="00B17F4C">
      <w:pPr>
        <w:pStyle w:val="Prrafodelista"/>
        <w:rPr>
          <w:rFonts w:ascii="Segoe UI" w:hAnsi="Segoe UI" w:cs="Segoe UI"/>
          <w:sz w:val="18"/>
          <w:szCs w:val="18"/>
          <w:lang w:val="de-DE"/>
        </w:rPr>
      </w:pPr>
    </w:p>
    <w:p w14:paraId="365024C2" w14:textId="77777777" w:rsidR="00B17F4C" w:rsidRPr="001952A9" w:rsidRDefault="00B17F4C" w:rsidP="00B17F4C">
      <w:pPr>
        <w:pStyle w:val="Prrafodelista"/>
        <w:numPr>
          <w:ilvl w:val="0"/>
          <w:numId w:val="1"/>
        </w:numPr>
        <w:ind w:left="-851" w:right="-852" w:hanging="283"/>
        <w:jc w:val="both"/>
        <w:rPr>
          <w:rFonts w:ascii="Segoe UI" w:hAnsi="Segoe UI" w:cs="Segoe UI"/>
          <w:sz w:val="18"/>
          <w:szCs w:val="18"/>
          <w:lang w:val="de-DE"/>
        </w:rPr>
      </w:pPr>
      <w:r w:rsidRPr="001952A9">
        <w:rPr>
          <w:rFonts w:ascii="Segoe UI" w:hAnsi="Segoe UI" w:cs="Segoe UI"/>
          <w:sz w:val="18"/>
          <w:szCs w:val="18"/>
          <w:lang w:val="de-DE"/>
        </w:rPr>
        <w:t xml:space="preserve">Diese HF-SVK gelten nur dann, wenn der Vertragspartner des Kunden in dem bereits bestehenden Vertrag </w:t>
      </w:r>
      <w:proofErr w:type="spellStart"/>
      <w:r w:rsidRPr="001952A9">
        <w:rPr>
          <w:rFonts w:ascii="Segoe UI" w:hAnsi="Segoe UI" w:cs="Segoe UI"/>
          <w:sz w:val="18"/>
          <w:szCs w:val="18"/>
          <w:lang w:val="de-DE"/>
        </w:rPr>
        <w:t>Hydrafacial</w:t>
      </w:r>
      <w:proofErr w:type="spellEnd"/>
      <w:r w:rsidRPr="001952A9">
        <w:rPr>
          <w:rFonts w:ascii="Segoe UI" w:hAnsi="Segoe UI" w:cs="Segoe UI"/>
          <w:sz w:val="18"/>
          <w:szCs w:val="18"/>
          <w:lang w:val="de-DE"/>
        </w:rPr>
        <w:t xml:space="preserve"> LLC</w:t>
      </w:r>
      <w:r>
        <w:rPr>
          <w:rFonts w:ascii="Segoe UI" w:hAnsi="Segoe UI" w:cs="Segoe UI"/>
          <w:sz w:val="18"/>
          <w:szCs w:val="18"/>
          <w:lang w:val="de-DE"/>
        </w:rPr>
        <w:t>,</w:t>
      </w:r>
      <w:r w:rsidRPr="001952A9">
        <w:rPr>
          <w:rFonts w:ascii="Segoe UI" w:hAnsi="Segoe UI" w:cs="Segoe UI"/>
          <w:sz w:val="18"/>
          <w:szCs w:val="18"/>
          <w:lang w:val="de-DE"/>
        </w:rPr>
        <w:t xml:space="preserve"> </w:t>
      </w:r>
      <w:r>
        <w:rPr>
          <w:rFonts w:ascii="Segoe UI" w:hAnsi="Segoe UI" w:cs="Segoe UI"/>
          <w:sz w:val="18"/>
          <w:szCs w:val="18"/>
          <w:lang w:val="de-DE"/>
        </w:rPr>
        <w:t xml:space="preserve">ein </w:t>
      </w:r>
      <w:r w:rsidRPr="001952A9">
        <w:rPr>
          <w:rFonts w:ascii="Segoe UI" w:hAnsi="Segoe UI" w:cs="Segoe UI"/>
          <w:sz w:val="18"/>
          <w:szCs w:val="18"/>
          <w:lang w:val="de-DE"/>
        </w:rPr>
        <w:t xml:space="preserve">mit </w:t>
      </w:r>
      <w:proofErr w:type="spellStart"/>
      <w:r w:rsidRPr="001952A9">
        <w:rPr>
          <w:rFonts w:ascii="Segoe UI" w:hAnsi="Segoe UI" w:cs="Segoe UI"/>
          <w:sz w:val="18"/>
          <w:szCs w:val="18"/>
          <w:lang w:val="de-DE"/>
        </w:rPr>
        <w:t>Hydrafacial</w:t>
      </w:r>
      <w:proofErr w:type="spellEnd"/>
      <w:r w:rsidRPr="001952A9">
        <w:rPr>
          <w:rFonts w:ascii="Segoe UI" w:hAnsi="Segoe UI" w:cs="Segoe UI"/>
          <w:sz w:val="18"/>
          <w:szCs w:val="18"/>
          <w:lang w:val="de-DE"/>
        </w:rPr>
        <w:t xml:space="preserve"> LLC </w:t>
      </w:r>
      <w:r>
        <w:rPr>
          <w:rFonts w:ascii="Segoe UI" w:hAnsi="Segoe UI" w:cs="Segoe UI"/>
          <w:sz w:val="18"/>
          <w:szCs w:val="18"/>
          <w:lang w:val="de-DE"/>
        </w:rPr>
        <w:t>verbundenes Unternehmen oder eine Tochtergesellschaft ist</w:t>
      </w:r>
      <w:r w:rsidRPr="001952A9">
        <w:rPr>
          <w:rFonts w:ascii="Segoe UI" w:hAnsi="Segoe UI" w:cs="Segoe UI"/>
          <w:sz w:val="18"/>
          <w:szCs w:val="18"/>
          <w:lang w:val="de-DE"/>
        </w:rPr>
        <w:t xml:space="preserve">. </w:t>
      </w:r>
    </w:p>
    <w:p w14:paraId="3B9EF8AC" w14:textId="77777777" w:rsidR="00B17F4C" w:rsidRPr="001952A9" w:rsidRDefault="00B17F4C" w:rsidP="00B17F4C">
      <w:pPr>
        <w:pStyle w:val="Prrafodelista"/>
        <w:rPr>
          <w:rFonts w:ascii="Segoe UI" w:hAnsi="Segoe UI" w:cs="Segoe UI"/>
          <w:sz w:val="18"/>
          <w:szCs w:val="18"/>
          <w:lang w:val="de-DE"/>
        </w:rPr>
      </w:pPr>
    </w:p>
    <w:p w14:paraId="5CB6C24A" w14:textId="77777777" w:rsidR="00B17F4C" w:rsidRPr="00FA3809" w:rsidRDefault="00B17F4C" w:rsidP="00B17F4C">
      <w:pPr>
        <w:pStyle w:val="Prrafodelista"/>
        <w:numPr>
          <w:ilvl w:val="0"/>
          <w:numId w:val="1"/>
        </w:numPr>
        <w:ind w:left="-851" w:right="-852" w:hanging="283"/>
        <w:jc w:val="both"/>
        <w:rPr>
          <w:rFonts w:ascii="Segoe UI" w:hAnsi="Segoe UI" w:cs="Segoe UI"/>
          <w:sz w:val="18"/>
          <w:szCs w:val="18"/>
          <w:lang w:val="de-DE"/>
        </w:rPr>
      </w:pPr>
      <w:r w:rsidRPr="00FA3809">
        <w:rPr>
          <w:rFonts w:ascii="Segoe UI" w:hAnsi="Segoe UI" w:cs="Segoe UI"/>
          <w:sz w:val="18"/>
          <w:szCs w:val="18"/>
          <w:lang w:val="de-DE"/>
        </w:rPr>
        <w:t xml:space="preserve">Diese HF-SVK werden wirksam (i) bei Übersendung einer vollständigen unterzeichneten Kopie an dpo@hydrafacial.com und der Empfangsbestätigung von </w:t>
      </w:r>
      <w:proofErr w:type="spellStart"/>
      <w:r w:rsidRPr="00FA3809">
        <w:rPr>
          <w:rFonts w:ascii="Segoe UI" w:hAnsi="Segoe UI" w:cs="Segoe UI"/>
          <w:sz w:val="18"/>
          <w:szCs w:val="18"/>
          <w:lang w:val="de-DE"/>
        </w:rPr>
        <w:t>Hydrafacial</w:t>
      </w:r>
      <w:proofErr w:type="spellEnd"/>
      <w:r w:rsidRPr="00FA3809">
        <w:rPr>
          <w:rFonts w:ascii="Segoe UI" w:hAnsi="Segoe UI" w:cs="Segoe UI"/>
          <w:sz w:val="18"/>
          <w:szCs w:val="18"/>
          <w:lang w:val="de-DE"/>
        </w:rPr>
        <w:t xml:space="preserve"> oder (ii) sofern die HF-SVK als automatisch in den Vertrag einbezogen gelten, zum Datum </w:t>
      </w:r>
      <w:r>
        <w:rPr>
          <w:rFonts w:ascii="Segoe UI" w:hAnsi="Segoe UI" w:cs="Segoe UI"/>
          <w:sz w:val="18"/>
          <w:szCs w:val="18"/>
          <w:lang w:val="de-DE"/>
        </w:rPr>
        <w:t xml:space="preserve">der </w:t>
      </w:r>
      <w:r w:rsidRPr="00FA3809">
        <w:rPr>
          <w:rFonts w:ascii="Segoe UI" w:hAnsi="Segoe UI" w:cs="Segoe UI"/>
          <w:sz w:val="18"/>
          <w:szCs w:val="18"/>
          <w:lang w:val="de-DE"/>
        </w:rPr>
        <w:t>ersten Übermittlung von Daten in ein Land außerhalb des EWR, des Vereinigten Königreichs, der Schweiz oder eine</w:t>
      </w:r>
      <w:r>
        <w:rPr>
          <w:rFonts w:ascii="Segoe UI" w:hAnsi="Segoe UI" w:cs="Segoe UI"/>
          <w:sz w:val="18"/>
          <w:szCs w:val="18"/>
          <w:lang w:val="de-DE"/>
        </w:rPr>
        <w:t>s</w:t>
      </w:r>
      <w:r w:rsidRPr="00FA3809">
        <w:rPr>
          <w:rFonts w:ascii="Segoe UI" w:hAnsi="Segoe UI" w:cs="Segoe UI"/>
          <w:sz w:val="18"/>
          <w:szCs w:val="18"/>
          <w:lang w:val="de-DE"/>
        </w:rPr>
        <w:t xml:space="preserve"> angemessenen Land</w:t>
      </w:r>
      <w:r>
        <w:rPr>
          <w:rFonts w:ascii="Segoe UI" w:hAnsi="Segoe UI" w:cs="Segoe UI"/>
          <w:sz w:val="18"/>
          <w:szCs w:val="18"/>
          <w:lang w:val="de-DE"/>
        </w:rPr>
        <w:t>es</w:t>
      </w:r>
      <w:r w:rsidRPr="00FA3809">
        <w:rPr>
          <w:rFonts w:ascii="Segoe UI" w:hAnsi="Segoe UI" w:cs="Segoe UI"/>
          <w:sz w:val="18"/>
          <w:szCs w:val="18"/>
          <w:lang w:val="de-DE"/>
        </w:rPr>
        <w:t xml:space="preserve">. </w:t>
      </w:r>
    </w:p>
    <w:p w14:paraId="6A48689F" w14:textId="77777777" w:rsidR="00B17F4C" w:rsidRDefault="00B17F4C" w:rsidP="00B17F4C">
      <w:pPr>
        <w:ind w:left="-1134" w:right="-852"/>
        <w:jc w:val="both"/>
        <w:rPr>
          <w:rFonts w:ascii="Segoe UI" w:hAnsi="Segoe UI" w:cs="Segoe UI"/>
          <w:sz w:val="18"/>
          <w:szCs w:val="18"/>
          <w:lang w:val="de-DE"/>
        </w:rPr>
      </w:pPr>
      <w:r w:rsidRPr="00982B21">
        <w:rPr>
          <w:rFonts w:ascii="Segoe UI" w:hAnsi="Segoe UI" w:cs="Segoe UI"/>
          <w:sz w:val="18"/>
          <w:szCs w:val="18"/>
          <w:lang w:val="de-DE"/>
        </w:rPr>
        <w:t>ZUM ZEUGNIS DESSEN haben die Vertragsparteien diese HF-</w:t>
      </w:r>
      <w:r>
        <w:rPr>
          <w:rFonts w:ascii="Segoe UI" w:hAnsi="Segoe UI" w:cs="Segoe UI"/>
          <w:sz w:val="18"/>
          <w:szCs w:val="18"/>
          <w:lang w:val="de-DE"/>
        </w:rPr>
        <w:t>SVK</w:t>
      </w:r>
      <w:r w:rsidRPr="00982B21">
        <w:rPr>
          <w:rFonts w:ascii="Segoe UI" w:hAnsi="Segoe UI" w:cs="Segoe UI"/>
          <w:sz w:val="18"/>
          <w:szCs w:val="18"/>
          <w:lang w:val="de-DE"/>
        </w:rPr>
        <w:t xml:space="preserve"> zum Zeitpunkt der </w:t>
      </w:r>
      <w:r>
        <w:rPr>
          <w:rFonts w:ascii="Segoe UI" w:hAnsi="Segoe UI" w:cs="Segoe UI"/>
          <w:sz w:val="18"/>
          <w:szCs w:val="18"/>
          <w:lang w:val="de-DE"/>
        </w:rPr>
        <w:t>zul</w:t>
      </w:r>
      <w:r w:rsidRPr="00982B21">
        <w:rPr>
          <w:rFonts w:ascii="Segoe UI" w:hAnsi="Segoe UI" w:cs="Segoe UI"/>
          <w:sz w:val="18"/>
          <w:szCs w:val="18"/>
          <w:lang w:val="de-DE"/>
        </w:rPr>
        <w:t>etzt</w:t>
      </w:r>
      <w:r>
        <w:rPr>
          <w:rFonts w:ascii="Segoe UI" w:hAnsi="Segoe UI" w:cs="Segoe UI"/>
          <w:sz w:val="18"/>
          <w:szCs w:val="18"/>
          <w:lang w:val="de-DE"/>
        </w:rPr>
        <w:t xml:space="preserve"> erfolgten</w:t>
      </w:r>
      <w:r w:rsidRPr="00982B21">
        <w:rPr>
          <w:rFonts w:ascii="Segoe UI" w:hAnsi="Segoe UI" w:cs="Segoe UI"/>
          <w:sz w:val="18"/>
          <w:szCs w:val="18"/>
          <w:lang w:val="de-DE"/>
        </w:rPr>
        <w:t xml:space="preserve"> Unterschrift</w:t>
      </w:r>
      <w:r>
        <w:rPr>
          <w:rFonts w:ascii="Segoe UI" w:hAnsi="Segoe UI" w:cs="Segoe UI"/>
          <w:sz w:val="18"/>
          <w:szCs w:val="18"/>
          <w:lang w:val="de-DE"/>
        </w:rPr>
        <w:t xml:space="preserve"> vereinbart</w:t>
      </w:r>
      <w:r w:rsidRPr="00982B21">
        <w:rPr>
          <w:rFonts w:ascii="Segoe UI" w:hAnsi="Segoe UI" w:cs="Segoe UI"/>
          <w:sz w:val="18"/>
          <w:szCs w:val="18"/>
          <w:lang w:val="de-DE"/>
        </w:rPr>
        <w:t>. Die Unterschriften unter diesen HF-</w:t>
      </w:r>
      <w:r>
        <w:rPr>
          <w:rFonts w:ascii="Segoe UI" w:hAnsi="Segoe UI" w:cs="Segoe UI"/>
          <w:sz w:val="18"/>
          <w:szCs w:val="18"/>
          <w:lang w:val="de-DE"/>
        </w:rPr>
        <w:t>SVK</w:t>
      </w:r>
      <w:r w:rsidRPr="00982B21">
        <w:rPr>
          <w:rFonts w:ascii="Segoe UI" w:hAnsi="Segoe UI" w:cs="Segoe UI"/>
          <w:sz w:val="18"/>
          <w:szCs w:val="18"/>
          <w:lang w:val="de-DE"/>
        </w:rPr>
        <w:t xml:space="preserve"> stellen eine Annahme und Unterzeichnung der </w:t>
      </w:r>
      <w:r>
        <w:rPr>
          <w:rFonts w:ascii="Segoe UI" w:hAnsi="Segoe UI" w:cs="Segoe UI"/>
          <w:sz w:val="18"/>
          <w:szCs w:val="18"/>
          <w:lang w:val="de-DE"/>
        </w:rPr>
        <w:t>SVK und gegebenenfalls der IDTA und der schweizerischen Änderungen d</w:t>
      </w:r>
      <w:r w:rsidRPr="00982B21">
        <w:rPr>
          <w:rFonts w:ascii="Segoe UI" w:hAnsi="Segoe UI" w:cs="Segoe UI"/>
          <w:sz w:val="18"/>
          <w:szCs w:val="18"/>
          <w:lang w:val="de-DE"/>
        </w:rPr>
        <w:t>ar.</w:t>
      </w:r>
    </w:p>
    <w:p w14:paraId="431A139C" w14:textId="769BB8F0" w:rsidR="00B17F4C" w:rsidRPr="00B17F4C" w:rsidRDefault="00B17F4C" w:rsidP="00B17F4C">
      <w:pPr>
        <w:ind w:left="-993"/>
        <w:rPr>
          <w:rFonts w:ascii="Segoe UI" w:hAnsi="Segoe UI" w:cs="Segoe UI"/>
          <w:sz w:val="18"/>
          <w:szCs w:val="18"/>
          <w:lang w:val="de-DE"/>
        </w:rPr>
      </w:pPr>
      <w:r>
        <w:rPr>
          <w:rFonts w:ascii="Segoe UI" w:hAnsi="Segoe UI" w:cs="Segoe UI"/>
          <w:sz w:val="18"/>
          <w:szCs w:val="18"/>
          <w:lang w:val="de-DE"/>
        </w:rPr>
        <w:br w:type="page"/>
      </w:r>
      <w:r w:rsidRPr="00885C20">
        <w:rPr>
          <w:rFonts w:ascii="Segoe UI" w:hAnsi="Segoe UI" w:cs="Segoe UI"/>
          <w:sz w:val="28"/>
          <w:szCs w:val="28"/>
          <w:lang w:val="en-US"/>
        </w:rPr>
        <w:lastRenderedPageBreak/>
        <w:t>A</w:t>
      </w:r>
      <w:r>
        <w:rPr>
          <w:rFonts w:ascii="Segoe UI" w:hAnsi="Segoe UI" w:cs="Segoe UI"/>
          <w:sz w:val="28"/>
          <w:szCs w:val="28"/>
          <w:lang w:val="en-US"/>
        </w:rPr>
        <w:t>nlage</w:t>
      </w:r>
      <w:r w:rsidRPr="00885C20">
        <w:rPr>
          <w:rFonts w:ascii="Segoe UI" w:hAnsi="Segoe UI" w:cs="Segoe UI"/>
          <w:sz w:val="28"/>
          <w:szCs w:val="28"/>
          <w:lang w:val="en-US"/>
        </w:rPr>
        <w:t xml:space="preserve"> 1</w:t>
      </w:r>
    </w:p>
    <w:p w14:paraId="5A6F3058" w14:textId="77777777" w:rsidR="00B17F4C" w:rsidRPr="00885C20" w:rsidRDefault="00B17F4C" w:rsidP="00B17F4C">
      <w:pPr>
        <w:pStyle w:val="Prrafodelista"/>
        <w:numPr>
          <w:ilvl w:val="0"/>
          <w:numId w:val="4"/>
        </w:numPr>
        <w:ind w:left="-567" w:right="-852"/>
        <w:jc w:val="both"/>
        <w:rPr>
          <w:rFonts w:ascii="Segoe UI" w:hAnsi="Segoe UI" w:cs="Segoe UI"/>
          <w:sz w:val="20"/>
          <w:szCs w:val="20"/>
          <w:lang w:val="en-US"/>
        </w:rPr>
      </w:pPr>
      <w:proofErr w:type="spellStart"/>
      <w:r>
        <w:rPr>
          <w:rFonts w:ascii="Segoe UI" w:hAnsi="Segoe UI" w:cs="Segoe UI"/>
          <w:sz w:val="20"/>
          <w:szCs w:val="20"/>
          <w:lang w:val="en-US"/>
        </w:rPr>
        <w:t>Nähere</w:t>
      </w:r>
      <w:proofErr w:type="spellEnd"/>
      <w:r>
        <w:rPr>
          <w:rFonts w:ascii="Segoe UI" w:hAnsi="Segoe UI" w:cs="Segoe UI"/>
          <w:sz w:val="20"/>
          <w:szCs w:val="20"/>
          <w:lang w:val="en-US"/>
        </w:rPr>
        <w:t xml:space="preserve"> </w:t>
      </w:r>
      <w:proofErr w:type="spellStart"/>
      <w:r>
        <w:rPr>
          <w:rFonts w:ascii="Segoe UI" w:hAnsi="Segoe UI" w:cs="Segoe UI"/>
          <w:sz w:val="20"/>
          <w:szCs w:val="20"/>
          <w:lang w:val="en-US"/>
        </w:rPr>
        <w:t>Angaben</w:t>
      </w:r>
      <w:proofErr w:type="spellEnd"/>
      <w:r>
        <w:rPr>
          <w:rFonts w:ascii="Segoe UI" w:hAnsi="Segoe UI" w:cs="Segoe UI"/>
          <w:sz w:val="20"/>
          <w:szCs w:val="20"/>
          <w:lang w:val="en-US"/>
        </w:rPr>
        <w:t xml:space="preserve"> </w:t>
      </w:r>
      <w:proofErr w:type="spellStart"/>
      <w:r>
        <w:rPr>
          <w:rFonts w:ascii="Segoe UI" w:hAnsi="Segoe UI" w:cs="Segoe UI"/>
          <w:sz w:val="20"/>
          <w:szCs w:val="20"/>
          <w:lang w:val="en-US"/>
        </w:rPr>
        <w:t>zur</w:t>
      </w:r>
      <w:proofErr w:type="spellEnd"/>
      <w:r>
        <w:rPr>
          <w:rFonts w:ascii="Segoe UI" w:hAnsi="Segoe UI" w:cs="Segoe UI"/>
          <w:sz w:val="20"/>
          <w:szCs w:val="20"/>
          <w:lang w:val="en-US"/>
        </w:rPr>
        <w:t xml:space="preserve"> </w:t>
      </w:r>
      <w:proofErr w:type="spellStart"/>
      <w:r>
        <w:rPr>
          <w:rFonts w:ascii="Segoe UI" w:hAnsi="Segoe UI" w:cs="Segoe UI"/>
          <w:sz w:val="20"/>
          <w:szCs w:val="20"/>
          <w:lang w:val="en-US"/>
        </w:rPr>
        <w:t>Verarbeitung</w:t>
      </w:r>
      <w:proofErr w:type="spellEnd"/>
    </w:p>
    <w:p w14:paraId="769E96A7" w14:textId="77777777" w:rsidR="00B17F4C" w:rsidRPr="00885C20" w:rsidRDefault="00B17F4C" w:rsidP="00B17F4C">
      <w:pPr>
        <w:pStyle w:val="Prrafodelista"/>
        <w:ind w:left="-273" w:right="-852"/>
        <w:jc w:val="both"/>
        <w:rPr>
          <w:rFonts w:ascii="Segoe UI" w:hAnsi="Segoe UI" w:cs="Segoe UI"/>
          <w:sz w:val="18"/>
          <w:szCs w:val="18"/>
          <w:lang w:val="en-US"/>
        </w:rPr>
      </w:pPr>
    </w:p>
    <w:p w14:paraId="3D067A15" w14:textId="77777777" w:rsidR="00B17F4C" w:rsidRDefault="00B17F4C" w:rsidP="00B17F4C">
      <w:pPr>
        <w:pStyle w:val="Prrafodelista"/>
        <w:numPr>
          <w:ilvl w:val="0"/>
          <w:numId w:val="5"/>
        </w:numPr>
        <w:ind w:left="-426" w:right="-852"/>
        <w:jc w:val="both"/>
        <w:rPr>
          <w:rFonts w:ascii="Segoe UI" w:hAnsi="Segoe UI" w:cs="Segoe UI"/>
          <w:sz w:val="20"/>
          <w:szCs w:val="20"/>
          <w:lang w:val="en-US"/>
        </w:rPr>
      </w:pPr>
      <w:r w:rsidRPr="00885C20">
        <w:rPr>
          <w:rFonts w:ascii="Segoe UI" w:hAnsi="Segoe UI" w:cs="Segoe UI"/>
          <w:sz w:val="20"/>
          <w:szCs w:val="20"/>
          <w:lang w:val="en-US"/>
        </w:rPr>
        <w:t xml:space="preserve"> </w:t>
      </w:r>
      <w:proofErr w:type="spellStart"/>
      <w:r w:rsidRPr="00885C20">
        <w:rPr>
          <w:rFonts w:ascii="Segoe UI" w:hAnsi="Segoe UI" w:cs="Segoe UI"/>
          <w:sz w:val="20"/>
          <w:szCs w:val="20"/>
          <w:lang w:val="en-US"/>
        </w:rPr>
        <w:t>List</w:t>
      </w:r>
      <w:r>
        <w:rPr>
          <w:rFonts w:ascii="Segoe UI" w:hAnsi="Segoe UI" w:cs="Segoe UI"/>
          <w:sz w:val="20"/>
          <w:szCs w:val="20"/>
          <w:lang w:val="en-US"/>
        </w:rPr>
        <w:t>e</w:t>
      </w:r>
      <w:proofErr w:type="spellEnd"/>
      <w:r>
        <w:rPr>
          <w:rFonts w:ascii="Segoe UI" w:hAnsi="Segoe UI" w:cs="Segoe UI"/>
          <w:sz w:val="20"/>
          <w:szCs w:val="20"/>
          <w:lang w:val="en-US"/>
        </w:rPr>
        <w:t xml:space="preserve"> der </w:t>
      </w:r>
      <w:proofErr w:type="spellStart"/>
      <w:r>
        <w:rPr>
          <w:rFonts w:ascii="Segoe UI" w:hAnsi="Segoe UI" w:cs="Segoe UI"/>
          <w:sz w:val="20"/>
          <w:szCs w:val="20"/>
          <w:lang w:val="en-US"/>
        </w:rPr>
        <w:t>Parteien</w:t>
      </w:r>
      <w:proofErr w:type="spellEnd"/>
    </w:p>
    <w:tbl>
      <w:tblPr>
        <w:tblpPr w:leftFromText="141" w:rightFromText="141" w:vertAnchor="page" w:horzAnchor="margin" w:tblpXSpec="center" w:tblpY="2964"/>
        <w:tblW w:w="10773" w:type="dxa"/>
        <w:tblCellMar>
          <w:left w:w="70" w:type="dxa"/>
          <w:right w:w="70" w:type="dxa"/>
        </w:tblCellMar>
        <w:tblLook w:val="04A0" w:firstRow="1" w:lastRow="0" w:firstColumn="1" w:lastColumn="0" w:noHBand="0" w:noVBand="1"/>
      </w:tblPr>
      <w:tblGrid>
        <w:gridCol w:w="3544"/>
        <w:gridCol w:w="3544"/>
        <w:gridCol w:w="3685"/>
      </w:tblGrid>
      <w:tr w:rsidR="00B17F4C" w14:paraId="4E4FACD3" w14:textId="77777777" w:rsidTr="007C19F7">
        <w:trPr>
          <w:trHeight w:val="290"/>
        </w:trPr>
        <w:tc>
          <w:tcPr>
            <w:tcW w:w="3544" w:type="dxa"/>
            <w:tcBorders>
              <w:top w:val="nil"/>
              <w:left w:val="nil"/>
              <w:bottom w:val="nil"/>
              <w:right w:val="nil"/>
            </w:tcBorders>
            <w:shd w:val="clear" w:color="auto" w:fill="auto"/>
            <w:noWrap/>
            <w:vAlign w:val="bottom"/>
            <w:hideMark/>
          </w:tcPr>
          <w:p w14:paraId="3C864362" w14:textId="77777777" w:rsidR="00B17F4C" w:rsidRPr="00E60FF1" w:rsidRDefault="00B17F4C" w:rsidP="007C19F7">
            <w:pPr>
              <w:spacing w:after="0" w:line="240" w:lineRule="auto"/>
              <w:rPr>
                <w:rFonts w:ascii="Times New Roman" w:eastAsia="Times New Roman" w:hAnsi="Times New Roman" w:cs="Times New Roman"/>
                <w:lang w:val="en-US" w:eastAsia="es-ES"/>
              </w:rPr>
            </w:pPr>
          </w:p>
        </w:tc>
        <w:tc>
          <w:tcPr>
            <w:tcW w:w="3544"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5D3D295" w14:textId="77777777" w:rsidR="00B17F4C" w:rsidRPr="00E60FF1" w:rsidRDefault="00B17F4C" w:rsidP="007C19F7">
            <w:pPr>
              <w:spacing w:after="0" w:line="240" w:lineRule="auto"/>
              <w:jc w:val="center"/>
              <w:rPr>
                <w:rFonts w:ascii="Calibri" w:eastAsia="Times New Roman" w:hAnsi="Calibri" w:cs="Calibri"/>
                <w:b/>
                <w:bCs/>
                <w:color w:val="FFFFFF"/>
                <w:sz w:val="20"/>
                <w:szCs w:val="20"/>
                <w:lang w:eastAsia="es-ES"/>
              </w:rPr>
            </w:pPr>
            <w:proofErr w:type="spellStart"/>
            <w:r w:rsidRPr="00E60FF1">
              <w:rPr>
                <w:rFonts w:ascii="Calibri" w:eastAsia="Times New Roman" w:hAnsi="Calibri" w:cs="Calibri"/>
                <w:b/>
                <w:bCs/>
                <w:color w:val="FFFFFF"/>
                <w:sz w:val="20"/>
                <w:szCs w:val="20"/>
                <w:lang w:eastAsia="es-ES"/>
              </w:rPr>
              <w:t>Dat</w:t>
            </w:r>
            <w:r>
              <w:rPr>
                <w:rFonts w:ascii="Calibri" w:eastAsia="Times New Roman" w:hAnsi="Calibri" w:cs="Calibri"/>
                <w:b/>
                <w:bCs/>
                <w:color w:val="FFFFFF"/>
                <w:sz w:val="20"/>
                <w:szCs w:val="20"/>
                <w:lang w:eastAsia="es-ES"/>
              </w:rPr>
              <w:t>ene</w:t>
            </w:r>
            <w:r w:rsidRPr="00E60FF1">
              <w:rPr>
                <w:rFonts w:ascii="Calibri" w:eastAsia="Times New Roman" w:hAnsi="Calibri" w:cs="Calibri"/>
                <w:b/>
                <w:bCs/>
                <w:color w:val="FFFFFF"/>
                <w:sz w:val="20"/>
                <w:szCs w:val="20"/>
                <w:lang w:eastAsia="es-ES"/>
              </w:rPr>
              <w:t>xporte</w:t>
            </w:r>
            <w:r>
              <w:rPr>
                <w:rFonts w:ascii="Calibri" w:eastAsia="Times New Roman" w:hAnsi="Calibri" w:cs="Calibri"/>
                <w:b/>
                <w:bCs/>
                <w:color w:val="FFFFFF"/>
                <w:sz w:val="20"/>
                <w:szCs w:val="20"/>
                <w:lang w:eastAsia="es-ES"/>
              </w:rPr>
              <w:t>u</w:t>
            </w:r>
            <w:r w:rsidRPr="00E60FF1">
              <w:rPr>
                <w:rFonts w:ascii="Calibri" w:eastAsia="Times New Roman" w:hAnsi="Calibri" w:cs="Calibri"/>
                <w:b/>
                <w:bCs/>
                <w:color w:val="FFFFFF"/>
                <w:sz w:val="20"/>
                <w:szCs w:val="20"/>
                <w:lang w:eastAsia="es-ES"/>
              </w:rPr>
              <w:t>r</w:t>
            </w:r>
            <w:proofErr w:type="spellEnd"/>
          </w:p>
        </w:tc>
        <w:tc>
          <w:tcPr>
            <w:tcW w:w="3685" w:type="dxa"/>
            <w:tcBorders>
              <w:top w:val="single" w:sz="4" w:space="0" w:color="auto"/>
              <w:left w:val="nil"/>
              <w:bottom w:val="single" w:sz="4" w:space="0" w:color="auto"/>
              <w:right w:val="single" w:sz="4" w:space="0" w:color="auto"/>
            </w:tcBorders>
            <w:shd w:val="clear" w:color="000000" w:fill="000000"/>
            <w:noWrap/>
            <w:vAlign w:val="bottom"/>
            <w:hideMark/>
          </w:tcPr>
          <w:p w14:paraId="2A4258A6" w14:textId="77777777" w:rsidR="00B17F4C" w:rsidRPr="00E60FF1" w:rsidRDefault="00B17F4C" w:rsidP="007C19F7">
            <w:pPr>
              <w:spacing w:after="0" w:line="240" w:lineRule="auto"/>
              <w:jc w:val="center"/>
              <w:rPr>
                <w:rFonts w:ascii="Calibri" w:eastAsia="Times New Roman" w:hAnsi="Calibri" w:cs="Calibri"/>
                <w:b/>
                <w:bCs/>
                <w:color w:val="FFFFFF"/>
                <w:sz w:val="20"/>
                <w:szCs w:val="20"/>
                <w:lang w:eastAsia="es-ES"/>
              </w:rPr>
            </w:pPr>
            <w:proofErr w:type="spellStart"/>
            <w:r>
              <w:rPr>
                <w:rFonts w:ascii="Calibri" w:eastAsia="Times New Roman" w:hAnsi="Calibri" w:cs="Calibri"/>
                <w:b/>
                <w:bCs/>
                <w:color w:val="FFFFFF"/>
                <w:sz w:val="20"/>
                <w:szCs w:val="20"/>
                <w:lang w:eastAsia="es-ES"/>
              </w:rPr>
              <w:t>Dateni</w:t>
            </w:r>
            <w:r w:rsidRPr="00E60FF1">
              <w:rPr>
                <w:rFonts w:ascii="Calibri" w:eastAsia="Times New Roman" w:hAnsi="Calibri" w:cs="Calibri"/>
                <w:b/>
                <w:bCs/>
                <w:color w:val="FFFFFF"/>
                <w:sz w:val="20"/>
                <w:szCs w:val="20"/>
                <w:lang w:eastAsia="es-ES"/>
              </w:rPr>
              <w:t>mporte</w:t>
            </w:r>
            <w:r>
              <w:rPr>
                <w:rFonts w:ascii="Calibri" w:eastAsia="Times New Roman" w:hAnsi="Calibri" w:cs="Calibri"/>
                <w:b/>
                <w:bCs/>
                <w:color w:val="FFFFFF"/>
                <w:sz w:val="20"/>
                <w:szCs w:val="20"/>
                <w:lang w:eastAsia="es-ES"/>
              </w:rPr>
              <w:t>u</w:t>
            </w:r>
            <w:r w:rsidRPr="00E60FF1">
              <w:rPr>
                <w:rFonts w:ascii="Calibri" w:eastAsia="Times New Roman" w:hAnsi="Calibri" w:cs="Calibri"/>
                <w:b/>
                <w:bCs/>
                <w:color w:val="FFFFFF"/>
                <w:sz w:val="20"/>
                <w:szCs w:val="20"/>
                <w:lang w:eastAsia="es-ES"/>
              </w:rPr>
              <w:t>r</w:t>
            </w:r>
            <w:proofErr w:type="spellEnd"/>
          </w:p>
        </w:tc>
      </w:tr>
      <w:tr w:rsidR="00B17F4C" w14:paraId="1895E6B5" w14:textId="77777777" w:rsidTr="007C19F7">
        <w:trPr>
          <w:trHeight w:val="539"/>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61A5F04B" w14:textId="77777777" w:rsidR="00B17F4C" w:rsidRPr="00AC4D07" w:rsidRDefault="00B17F4C" w:rsidP="007C19F7">
            <w:pPr>
              <w:spacing w:after="0" w:line="240" w:lineRule="auto"/>
              <w:rPr>
                <w:rFonts w:ascii="Segoe UI" w:eastAsia="Times New Roman" w:hAnsi="Segoe UI" w:cs="Segoe UI"/>
                <w:color w:val="000000"/>
                <w:sz w:val="16"/>
                <w:szCs w:val="16"/>
                <w:lang w:val="de-DE" w:eastAsia="es-ES"/>
              </w:rPr>
            </w:pPr>
            <w:r w:rsidRPr="00AC4D07">
              <w:rPr>
                <w:rFonts w:ascii="Segoe UI" w:eastAsia="Times New Roman" w:hAnsi="Segoe UI" w:cs="Segoe UI"/>
                <w:color w:val="000000"/>
                <w:sz w:val="16"/>
                <w:szCs w:val="16"/>
                <w:lang w:val="de-DE" w:eastAsia="es-ES"/>
              </w:rPr>
              <w:t>Name und Handelsname (falls abweichend)</w:t>
            </w:r>
          </w:p>
        </w:tc>
        <w:tc>
          <w:tcPr>
            <w:tcW w:w="3544" w:type="dxa"/>
            <w:tcBorders>
              <w:top w:val="nil"/>
              <w:left w:val="nil"/>
              <w:bottom w:val="single" w:sz="4" w:space="0" w:color="auto"/>
              <w:right w:val="single" w:sz="4" w:space="0" w:color="auto"/>
            </w:tcBorders>
            <w:shd w:val="clear" w:color="auto" w:fill="auto"/>
            <w:hideMark/>
          </w:tcPr>
          <w:p w14:paraId="36005EB0" w14:textId="77777777" w:rsidR="00B17F4C" w:rsidRPr="00470240" w:rsidRDefault="00B17F4C" w:rsidP="007C19F7">
            <w:pPr>
              <w:spacing w:after="0" w:line="240" w:lineRule="auto"/>
              <w:rPr>
                <w:rFonts w:ascii="Segoe UI" w:eastAsia="Times New Roman" w:hAnsi="Segoe UI" w:cs="Segoe UI"/>
                <w:color w:val="000000"/>
                <w:sz w:val="16"/>
                <w:szCs w:val="16"/>
                <w:lang w:val="de-DE" w:eastAsia="es-ES"/>
              </w:rPr>
            </w:pPr>
            <w:r w:rsidRPr="00470240">
              <w:rPr>
                <w:rFonts w:ascii="Segoe UI" w:eastAsia="Times New Roman" w:hAnsi="Segoe UI" w:cs="Segoe UI"/>
                <w:color w:val="000000"/>
                <w:sz w:val="16"/>
                <w:szCs w:val="16"/>
                <w:lang w:val="de-DE" w:eastAsia="es-ES"/>
              </w:rPr>
              <w:t>Kundennutze</w:t>
            </w:r>
            <w:r>
              <w:rPr>
                <w:rFonts w:ascii="Segoe UI" w:eastAsia="Times New Roman" w:hAnsi="Segoe UI" w:cs="Segoe UI"/>
                <w:color w:val="000000"/>
                <w:sz w:val="16"/>
                <w:szCs w:val="16"/>
                <w:lang w:val="de-DE" w:eastAsia="es-ES"/>
              </w:rPr>
              <w:t>r</w:t>
            </w:r>
            <w:r w:rsidRPr="00470240">
              <w:rPr>
                <w:rFonts w:ascii="Segoe UI" w:eastAsia="Times New Roman" w:hAnsi="Segoe UI" w:cs="Segoe UI"/>
                <w:color w:val="000000"/>
                <w:sz w:val="16"/>
                <w:szCs w:val="16"/>
                <w:lang w:val="de-DE" w:eastAsia="es-ES"/>
              </w:rPr>
              <w:t xml:space="preserve">, den </w:t>
            </w:r>
            <w:proofErr w:type="spellStart"/>
            <w:r w:rsidRPr="00470240">
              <w:rPr>
                <w:rFonts w:ascii="Segoe UI" w:eastAsia="Times New Roman" w:hAnsi="Segoe UI" w:cs="Segoe UI"/>
                <w:color w:val="000000"/>
                <w:sz w:val="16"/>
                <w:szCs w:val="16"/>
                <w:lang w:val="de-DE" w:eastAsia="es-ES"/>
              </w:rPr>
              <w:t>Hydrafacial</w:t>
            </w:r>
            <w:proofErr w:type="spellEnd"/>
            <w:r w:rsidRPr="00470240">
              <w:rPr>
                <w:rFonts w:ascii="Segoe UI" w:eastAsia="Times New Roman" w:hAnsi="Segoe UI" w:cs="Segoe UI"/>
                <w:color w:val="000000"/>
                <w:sz w:val="16"/>
                <w:szCs w:val="16"/>
                <w:lang w:val="de-DE" w:eastAsia="es-ES"/>
              </w:rPr>
              <w:t xml:space="preserve"> in ihren Kontounterlagen oder ausweislich der Unterschrift auf dem Kaufvertrag als Anbieter</w:t>
            </w:r>
            <w:r>
              <w:rPr>
                <w:rFonts w:ascii="Segoe UI" w:eastAsia="Times New Roman" w:hAnsi="Segoe UI" w:cs="Segoe UI"/>
                <w:color w:val="000000"/>
                <w:sz w:val="16"/>
                <w:szCs w:val="16"/>
                <w:lang w:val="de-DE" w:eastAsia="es-ES"/>
              </w:rPr>
              <w:t xml:space="preserve"> (K</w:t>
            </w:r>
            <w:r w:rsidRPr="00470240">
              <w:rPr>
                <w:rFonts w:ascii="Segoe UI" w:eastAsia="Times New Roman" w:hAnsi="Segoe UI" w:cs="Segoe UI"/>
                <w:color w:val="000000"/>
                <w:sz w:val="16"/>
                <w:szCs w:val="16"/>
                <w:lang w:val="de-DE" w:eastAsia="es-ES"/>
              </w:rPr>
              <w:t>lini</w:t>
            </w:r>
            <w:r>
              <w:rPr>
                <w:rFonts w:ascii="Segoe UI" w:eastAsia="Times New Roman" w:hAnsi="Segoe UI" w:cs="Segoe UI"/>
                <w:color w:val="000000"/>
                <w:sz w:val="16"/>
                <w:szCs w:val="16"/>
                <w:lang w:val="de-DE" w:eastAsia="es-ES"/>
              </w:rPr>
              <w:t>k</w:t>
            </w:r>
            <w:r w:rsidRPr="00470240">
              <w:rPr>
                <w:rFonts w:ascii="Segoe UI" w:eastAsia="Times New Roman" w:hAnsi="Segoe UI" w:cs="Segoe UI"/>
                <w:color w:val="000000"/>
                <w:sz w:val="16"/>
                <w:szCs w:val="16"/>
                <w:lang w:val="de-DE" w:eastAsia="es-ES"/>
              </w:rPr>
              <w:t>/</w:t>
            </w:r>
            <w:r>
              <w:rPr>
                <w:rFonts w:ascii="Segoe UI" w:eastAsia="Times New Roman" w:hAnsi="Segoe UI" w:cs="Segoe UI"/>
                <w:color w:val="000000"/>
                <w:sz w:val="16"/>
                <w:szCs w:val="16"/>
                <w:lang w:val="de-DE" w:eastAsia="es-ES"/>
              </w:rPr>
              <w:t>Z</w:t>
            </w:r>
            <w:r w:rsidRPr="00470240">
              <w:rPr>
                <w:rFonts w:ascii="Segoe UI" w:eastAsia="Times New Roman" w:hAnsi="Segoe UI" w:cs="Segoe UI"/>
                <w:color w:val="000000"/>
                <w:sz w:val="16"/>
                <w:szCs w:val="16"/>
                <w:lang w:val="de-DE" w:eastAsia="es-ES"/>
              </w:rPr>
              <w:t>entr</w:t>
            </w:r>
            <w:r>
              <w:rPr>
                <w:rFonts w:ascii="Segoe UI" w:eastAsia="Times New Roman" w:hAnsi="Segoe UI" w:cs="Segoe UI"/>
                <w:color w:val="000000"/>
                <w:sz w:val="16"/>
                <w:szCs w:val="16"/>
                <w:lang w:val="de-DE" w:eastAsia="es-ES"/>
              </w:rPr>
              <w:t>um</w:t>
            </w:r>
            <w:r w:rsidRPr="00470240">
              <w:rPr>
                <w:rFonts w:ascii="Segoe UI" w:eastAsia="Times New Roman" w:hAnsi="Segoe UI" w:cs="Segoe UI"/>
                <w:color w:val="000000"/>
                <w:sz w:val="16"/>
                <w:szCs w:val="16"/>
                <w:lang w:val="de-DE" w:eastAsia="es-ES"/>
              </w:rPr>
              <w:t xml:space="preserve">) </w:t>
            </w:r>
            <w:r>
              <w:rPr>
                <w:rFonts w:ascii="Segoe UI" w:eastAsia="Times New Roman" w:hAnsi="Segoe UI" w:cs="Segoe UI"/>
                <w:color w:val="000000"/>
                <w:sz w:val="16"/>
                <w:szCs w:val="16"/>
                <w:lang w:val="de-DE" w:eastAsia="es-ES"/>
              </w:rPr>
              <w:t>ausweist</w:t>
            </w:r>
          </w:p>
        </w:tc>
        <w:tc>
          <w:tcPr>
            <w:tcW w:w="3685" w:type="dxa"/>
            <w:tcBorders>
              <w:top w:val="nil"/>
              <w:left w:val="nil"/>
              <w:bottom w:val="single" w:sz="4" w:space="0" w:color="auto"/>
              <w:right w:val="single" w:sz="4" w:space="0" w:color="auto"/>
            </w:tcBorders>
            <w:shd w:val="clear" w:color="auto" w:fill="auto"/>
            <w:hideMark/>
          </w:tcPr>
          <w:p w14:paraId="473D5FED" w14:textId="77777777" w:rsidR="00B17F4C" w:rsidRPr="00E60FF1" w:rsidRDefault="00B17F4C" w:rsidP="007C19F7">
            <w:pPr>
              <w:spacing w:after="0" w:line="240" w:lineRule="auto"/>
              <w:rPr>
                <w:rFonts w:ascii="Segoe UI" w:eastAsia="Times New Roman" w:hAnsi="Segoe UI" w:cs="Segoe UI"/>
                <w:color w:val="000000"/>
                <w:sz w:val="16"/>
                <w:szCs w:val="16"/>
                <w:lang w:val="en-US" w:eastAsia="es-ES"/>
              </w:rPr>
            </w:pPr>
            <w:proofErr w:type="spellStart"/>
            <w:r>
              <w:rPr>
                <w:rFonts w:ascii="Segoe UI" w:eastAsia="Times New Roman" w:hAnsi="Segoe UI" w:cs="Segoe UI"/>
                <w:color w:val="000000"/>
                <w:sz w:val="16"/>
                <w:szCs w:val="16"/>
                <w:lang w:val="en-US" w:eastAsia="es-ES"/>
              </w:rPr>
              <w:t>Hydrafacial</w:t>
            </w:r>
            <w:proofErr w:type="spellEnd"/>
            <w:r>
              <w:rPr>
                <w:rFonts w:ascii="Segoe UI" w:eastAsia="Times New Roman" w:hAnsi="Segoe UI" w:cs="Segoe UI"/>
                <w:color w:val="000000"/>
                <w:sz w:val="16"/>
                <w:szCs w:val="16"/>
                <w:lang w:val="en-US" w:eastAsia="es-ES"/>
              </w:rPr>
              <w:t xml:space="preserve"> LLC</w:t>
            </w:r>
            <w:r w:rsidRPr="00E60FF1">
              <w:rPr>
                <w:rFonts w:ascii="Segoe UI" w:eastAsia="Times New Roman" w:hAnsi="Segoe UI" w:cs="Segoe UI"/>
                <w:color w:val="000000"/>
                <w:sz w:val="16"/>
                <w:szCs w:val="16"/>
                <w:lang w:val="en-US" w:eastAsia="es-ES"/>
              </w:rPr>
              <w:t xml:space="preserve"> </w:t>
            </w:r>
          </w:p>
        </w:tc>
      </w:tr>
      <w:tr w:rsidR="00B17F4C" w14:paraId="14924A20" w14:textId="77777777" w:rsidTr="007C19F7">
        <w:trPr>
          <w:trHeight w:val="560"/>
        </w:trPr>
        <w:tc>
          <w:tcPr>
            <w:tcW w:w="3544" w:type="dxa"/>
            <w:tcBorders>
              <w:top w:val="nil"/>
              <w:left w:val="single" w:sz="4" w:space="0" w:color="auto"/>
              <w:bottom w:val="single" w:sz="4" w:space="0" w:color="auto"/>
              <w:right w:val="single" w:sz="4" w:space="0" w:color="auto"/>
            </w:tcBorders>
            <w:shd w:val="clear" w:color="auto" w:fill="auto"/>
            <w:hideMark/>
          </w:tcPr>
          <w:p w14:paraId="49C07EE7" w14:textId="77777777" w:rsidR="00B17F4C" w:rsidRPr="000A4D71" w:rsidRDefault="00B17F4C" w:rsidP="007C19F7">
            <w:pPr>
              <w:spacing w:after="0" w:line="240" w:lineRule="auto"/>
              <w:rPr>
                <w:rFonts w:ascii="Segoe UI" w:eastAsia="Times New Roman" w:hAnsi="Segoe UI" w:cs="Segoe UI"/>
                <w:color w:val="000000"/>
                <w:sz w:val="16"/>
                <w:szCs w:val="16"/>
                <w:lang w:val="de-DE" w:eastAsia="es-ES"/>
              </w:rPr>
            </w:pPr>
            <w:r w:rsidRPr="000A4D71">
              <w:rPr>
                <w:rFonts w:ascii="Segoe UI" w:eastAsia="Times New Roman" w:hAnsi="Segoe UI" w:cs="Segoe UI"/>
                <w:color w:val="000000"/>
                <w:sz w:val="16"/>
                <w:szCs w:val="16"/>
                <w:lang w:val="de-DE" w:eastAsia="es-ES"/>
              </w:rPr>
              <w:t xml:space="preserve">Offizielle Eintragungsnummer (falls vorhanden) </w:t>
            </w:r>
            <w:r w:rsidRPr="000A4D71">
              <w:rPr>
                <w:rFonts w:ascii="Segoe UI" w:eastAsia="Times New Roman" w:hAnsi="Segoe UI" w:cs="Segoe UI"/>
                <w:color w:val="000000"/>
                <w:sz w:val="16"/>
                <w:szCs w:val="16"/>
                <w:lang w:val="de-DE" w:eastAsia="es-ES"/>
              </w:rPr>
              <w:br/>
              <w:t>(</w:t>
            </w:r>
            <w:r>
              <w:rPr>
                <w:rFonts w:ascii="Segoe UI" w:eastAsia="Times New Roman" w:hAnsi="Segoe UI" w:cs="Segoe UI"/>
                <w:color w:val="000000"/>
                <w:sz w:val="16"/>
                <w:szCs w:val="16"/>
                <w:lang w:val="de-DE" w:eastAsia="es-ES"/>
              </w:rPr>
              <w:t>Unternehmensnummer oder ähnliche Kennung</w:t>
            </w:r>
            <w:r w:rsidRPr="000A4D71">
              <w:rPr>
                <w:rFonts w:ascii="Segoe UI" w:eastAsia="Times New Roman" w:hAnsi="Segoe UI" w:cs="Segoe UI"/>
                <w:color w:val="000000"/>
                <w:sz w:val="16"/>
                <w:szCs w:val="16"/>
                <w:lang w:val="de-DE" w:eastAsia="es-ES"/>
              </w:rPr>
              <w:t>)</w:t>
            </w:r>
          </w:p>
        </w:tc>
        <w:tc>
          <w:tcPr>
            <w:tcW w:w="3544" w:type="dxa"/>
            <w:tcBorders>
              <w:top w:val="nil"/>
              <w:left w:val="nil"/>
              <w:bottom w:val="single" w:sz="4" w:space="0" w:color="auto"/>
              <w:right w:val="single" w:sz="4" w:space="0" w:color="auto"/>
            </w:tcBorders>
            <w:shd w:val="clear" w:color="auto" w:fill="auto"/>
            <w:hideMark/>
          </w:tcPr>
          <w:p w14:paraId="78D132E4" w14:textId="77777777" w:rsidR="00B17F4C" w:rsidRPr="00470240" w:rsidRDefault="00B17F4C" w:rsidP="007C19F7">
            <w:pPr>
              <w:spacing w:after="0" w:line="240" w:lineRule="auto"/>
              <w:rPr>
                <w:rFonts w:ascii="Segoe UI" w:eastAsia="Times New Roman" w:hAnsi="Segoe UI" w:cs="Segoe UI"/>
                <w:color w:val="000000"/>
                <w:sz w:val="16"/>
                <w:szCs w:val="16"/>
                <w:lang w:val="de-DE" w:eastAsia="es-ES"/>
              </w:rPr>
            </w:pPr>
            <w:proofErr w:type="gramStart"/>
            <w:r w:rsidRPr="00470240">
              <w:rPr>
                <w:rFonts w:ascii="Segoe UI" w:eastAsia="Times New Roman" w:hAnsi="Segoe UI" w:cs="Segoe UI"/>
                <w:color w:val="000000"/>
                <w:sz w:val="16"/>
                <w:szCs w:val="16"/>
                <w:lang w:val="de-DE" w:eastAsia="es-ES"/>
              </w:rPr>
              <w:t>Wie  in</w:t>
            </w:r>
            <w:proofErr w:type="gramEnd"/>
            <w:r w:rsidRPr="00470240">
              <w:rPr>
                <w:rFonts w:ascii="Segoe UI" w:eastAsia="Times New Roman" w:hAnsi="Segoe UI" w:cs="Segoe UI"/>
                <w:color w:val="000000"/>
                <w:sz w:val="16"/>
                <w:szCs w:val="16"/>
                <w:lang w:val="de-DE" w:eastAsia="es-ES"/>
              </w:rPr>
              <w:t xml:space="preserve"> </w:t>
            </w:r>
            <w:r>
              <w:rPr>
                <w:rFonts w:ascii="Segoe UI" w:eastAsia="Times New Roman" w:hAnsi="Segoe UI" w:cs="Segoe UI"/>
                <w:color w:val="000000"/>
                <w:sz w:val="16"/>
                <w:szCs w:val="16"/>
                <w:lang w:val="de-DE" w:eastAsia="es-ES"/>
              </w:rPr>
              <w:t>den</w:t>
            </w:r>
            <w:r w:rsidRPr="00470240">
              <w:rPr>
                <w:rFonts w:ascii="Segoe UI" w:eastAsia="Times New Roman" w:hAnsi="Segoe UI" w:cs="Segoe UI"/>
                <w:color w:val="000000"/>
                <w:sz w:val="16"/>
                <w:szCs w:val="16"/>
                <w:lang w:val="de-DE" w:eastAsia="es-ES"/>
              </w:rPr>
              <w:t xml:space="preserve"> Kontounterlagen oder ausweislich der Unterschrift auf dem Kaufvertrag </w:t>
            </w:r>
            <w:r>
              <w:rPr>
                <w:rFonts w:ascii="Segoe UI" w:eastAsia="Times New Roman" w:hAnsi="Segoe UI" w:cs="Segoe UI"/>
                <w:color w:val="000000"/>
                <w:sz w:val="16"/>
                <w:szCs w:val="16"/>
                <w:lang w:val="de-DE" w:eastAsia="es-ES"/>
              </w:rPr>
              <w:t>ausgewiesen</w:t>
            </w:r>
          </w:p>
        </w:tc>
        <w:tc>
          <w:tcPr>
            <w:tcW w:w="3685" w:type="dxa"/>
            <w:tcBorders>
              <w:top w:val="nil"/>
              <w:left w:val="nil"/>
              <w:bottom w:val="single" w:sz="4" w:space="0" w:color="auto"/>
              <w:right w:val="single" w:sz="4" w:space="0" w:color="auto"/>
            </w:tcBorders>
            <w:shd w:val="clear" w:color="auto" w:fill="auto"/>
            <w:noWrap/>
            <w:hideMark/>
          </w:tcPr>
          <w:p w14:paraId="0C9A3FE7" w14:textId="77777777" w:rsidR="00B17F4C" w:rsidRPr="00E60FF1" w:rsidRDefault="00B17F4C" w:rsidP="007C19F7">
            <w:pPr>
              <w:spacing w:after="0" w:line="240" w:lineRule="auto"/>
              <w:rPr>
                <w:rFonts w:ascii="Segoe UI" w:eastAsia="Times New Roman" w:hAnsi="Segoe UI" w:cs="Segoe UI"/>
                <w:color w:val="000000"/>
                <w:sz w:val="16"/>
                <w:szCs w:val="16"/>
                <w:lang w:val="en-US" w:eastAsia="es-ES"/>
              </w:rPr>
            </w:pPr>
            <w:r>
              <w:rPr>
                <w:rFonts w:ascii="Segoe UI" w:eastAsia="Times New Roman" w:hAnsi="Segoe UI" w:cs="Segoe UI"/>
                <w:color w:val="000000"/>
                <w:sz w:val="16"/>
                <w:szCs w:val="16"/>
                <w:lang w:val="en-US" w:eastAsia="es-ES"/>
              </w:rPr>
              <w:t>201233810062</w:t>
            </w:r>
          </w:p>
        </w:tc>
      </w:tr>
      <w:tr w:rsidR="00B17F4C" w:rsidRPr="00B17F4C" w14:paraId="0CAE6D61" w14:textId="77777777" w:rsidTr="007C19F7">
        <w:trPr>
          <w:trHeight w:val="554"/>
        </w:trPr>
        <w:tc>
          <w:tcPr>
            <w:tcW w:w="3544" w:type="dxa"/>
            <w:tcBorders>
              <w:top w:val="nil"/>
              <w:left w:val="single" w:sz="4" w:space="0" w:color="auto"/>
              <w:bottom w:val="single" w:sz="4" w:space="0" w:color="auto"/>
              <w:right w:val="single" w:sz="4" w:space="0" w:color="auto"/>
            </w:tcBorders>
            <w:shd w:val="clear" w:color="auto" w:fill="auto"/>
            <w:noWrap/>
            <w:hideMark/>
          </w:tcPr>
          <w:p w14:paraId="4B3272DC" w14:textId="77777777" w:rsidR="00B17F4C" w:rsidRPr="00E60FF1" w:rsidRDefault="00B17F4C" w:rsidP="007C19F7">
            <w:pPr>
              <w:spacing w:after="0" w:line="240" w:lineRule="auto"/>
              <w:rPr>
                <w:rFonts w:ascii="Segoe UI" w:eastAsia="Times New Roman" w:hAnsi="Segoe UI" w:cs="Segoe UI"/>
                <w:color w:val="000000"/>
                <w:sz w:val="16"/>
                <w:szCs w:val="16"/>
                <w:lang w:eastAsia="es-ES"/>
              </w:rPr>
            </w:pPr>
            <w:proofErr w:type="spellStart"/>
            <w:r w:rsidRPr="00E60FF1">
              <w:rPr>
                <w:rFonts w:ascii="Segoe UI" w:eastAsia="Times New Roman" w:hAnsi="Segoe UI" w:cs="Segoe UI"/>
                <w:color w:val="000000"/>
                <w:sz w:val="16"/>
                <w:szCs w:val="16"/>
                <w:lang w:eastAsia="es-ES"/>
              </w:rPr>
              <w:t>Adress</w:t>
            </w:r>
            <w:r>
              <w:rPr>
                <w:rFonts w:ascii="Segoe UI" w:eastAsia="Times New Roman" w:hAnsi="Segoe UI" w:cs="Segoe UI"/>
                <w:color w:val="000000"/>
                <w:sz w:val="16"/>
                <w:szCs w:val="16"/>
                <w:lang w:eastAsia="es-ES"/>
              </w:rPr>
              <w:t>e</w:t>
            </w:r>
            <w:proofErr w:type="spellEnd"/>
          </w:p>
        </w:tc>
        <w:tc>
          <w:tcPr>
            <w:tcW w:w="3544" w:type="dxa"/>
            <w:tcBorders>
              <w:top w:val="nil"/>
              <w:left w:val="nil"/>
              <w:bottom w:val="single" w:sz="4" w:space="0" w:color="auto"/>
              <w:right w:val="single" w:sz="4" w:space="0" w:color="auto"/>
            </w:tcBorders>
            <w:shd w:val="clear" w:color="auto" w:fill="auto"/>
            <w:hideMark/>
          </w:tcPr>
          <w:p w14:paraId="696D3577" w14:textId="77777777" w:rsidR="00B17F4C" w:rsidRPr="00B17F4C" w:rsidRDefault="00B17F4C" w:rsidP="007C19F7">
            <w:pPr>
              <w:spacing w:after="0" w:line="240" w:lineRule="auto"/>
              <w:rPr>
                <w:rFonts w:ascii="Segoe UI" w:eastAsia="Times New Roman" w:hAnsi="Segoe UI" w:cs="Segoe UI"/>
                <w:color w:val="000000"/>
                <w:sz w:val="16"/>
                <w:szCs w:val="16"/>
                <w:lang w:eastAsia="es-ES"/>
              </w:rPr>
            </w:pPr>
            <w:proofErr w:type="gramStart"/>
            <w:r w:rsidRPr="00470240">
              <w:rPr>
                <w:rFonts w:ascii="Segoe UI" w:eastAsia="Times New Roman" w:hAnsi="Segoe UI" w:cs="Segoe UI"/>
                <w:color w:val="000000"/>
                <w:sz w:val="16"/>
                <w:szCs w:val="16"/>
                <w:lang w:val="de-DE" w:eastAsia="es-ES"/>
              </w:rPr>
              <w:t>Wie  in</w:t>
            </w:r>
            <w:proofErr w:type="gramEnd"/>
            <w:r w:rsidRPr="00470240">
              <w:rPr>
                <w:rFonts w:ascii="Segoe UI" w:eastAsia="Times New Roman" w:hAnsi="Segoe UI" w:cs="Segoe UI"/>
                <w:color w:val="000000"/>
                <w:sz w:val="16"/>
                <w:szCs w:val="16"/>
                <w:lang w:val="de-DE" w:eastAsia="es-ES"/>
              </w:rPr>
              <w:t xml:space="preserve"> </w:t>
            </w:r>
            <w:r>
              <w:rPr>
                <w:rFonts w:ascii="Segoe UI" w:eastAsia="Times New Roman" w:hAnsi="Segoe UI" w:cs="Segoe UI"/>
                <w:color w:val="000000"/>
                <w:sz w:val="16"/>
                <w:szCs w:val="16"/>
                <w:lang w:val="de-DE" w:eastAsia="es-ES"/>
              </w:rPr>
              <w:t>den</w:t>
            </w:r>
            <w:r w:rsidRPr="00470240">
              <w:rPr>
                <w:rFonts w:ascii="Segoe UI" w:eastAsia="Times New Roman" w:hAnsi="Segoe UI" w:cs="Segoe UI"/>
                <w:color w:val="000000"/>
                <w:sz w:val="16"/>
                <w:szCs w:val="16"/>
                <w:lang w:val="de-DE" w:eastAsia="es-ES"/>
              </w:rPr>
              <w:t xml:space="preserve"> Kontounterlagen oder ausweislich der Unterschrift auf dem Kaufvertrag </w:t>
            </w:r>
            <w:r>
              <w:rPr>
                <w:rFonts w:ascii="Segoe UI" w:eastAsia="Times New Roman" w:hAnsi="Segoe UI" w:cs="Segoe UI"/>
                <w:color w:val="000000"/>
                <w:sz w:val="16"/>
                <w:szCs w:val="16"/>
                <w:lang w:val="de-DE" w:eastAsia="es-ES"/>
              </w:rPr>
              <w:t>ausgewiesen</w:t>
            </w:r>
          </w:p>
        </w:tc>
        <w:tc>
          <w:tcPr>
            <w:tcW w:w="3685" w:type="dxa"/>
            <w:tcBorders>
              <w:top w:val="nil"/>
              <w:left w:val="nil"/>
              <w:bottom w:val="single" w:sz="4" w:space="0" w:color="auto"/>
              <w:right w:val="single" w:sz="4" w:space="0" w:color="auto"/>
            </w:tcBorders>
            <w:shd w:val="clear" w:color="auto" w:fill="auto"/>
            <w:noWrap/>
            <w:hideMark/>
          </w:tcPr>
          <w:p w14:paraId="1DA90461" w14:textId="77777777" w:rsidR="00B17F4C" w:rsidRDefault="00B17F4C" w:rsidP="007C19F7">
            <w:pPr>
              <w:spacing w:after="0" w:line="240" w:lineRule="auto"/>
              <w:rPr>
                <w:rFonts w:ascii="Segoe UI" w:eastAsia="Times New Roman" w:hAnsi="Segoe UI" w:cs="Segoe UI"/>
                <w:color w:val="000000"/>
                <w:sz w:val="16"/>
                <w:szCs w:val="16"/>
                <w:lang w:val="en-US" w:eastAsia="es-ES"/>
              </w:rPr>
            </w:pPr>
            <w:r>
              <w:rPr>
                <w:rFonts w:ascii="Segoe UI" w:eastAsia="Times New Roman" w:hAnsi="Segoe UI" w:cs="Segoe UI"/>
                <w:color w:val="000000"/>
                <w:sz w:val="16"/>
                <w:szCs w:val="16"/>
                <w:lang w:val="en-US" w:eastAsia="es-ES"/>
              </w:rPr>
              <w:t xml:space="preserve">2165 E. Spring Street, </w:t>
            </w:r>
          </w:p>
          <w:p w14:paraId="7819B129" w14:textId="77777777" w:rsidR="00B17F4C" w:rsidRPr="00E60FF1" w:rsidRDefault="00B17F4C" w:rsidP="007C19F7">
            <w:pPr>
              <w:spacing w:after="0" w:line="240" w:lineRule="auto"/>
              <w:rPr>
                <w:rFonts w:ascii="Segoe UI" w:eastAsia="Times New Roman" w:hAnsi="Segoe UI" w:cs="Segoe UI"/>
                <w:color w:val="000000"/>
                <w:sz w:val="16"/>
                <w:szCs w:val="16"/>
                <w:lang w:val="en-US" w:eastAsia="es-ES"/>
              </w:rPr>
            </w:pPr>
            <w:r>
              <w:rPr>
                <w:rFonts w:ascii="Segoe UI" w:eastAsia="Times New Roman" w:hAnsi="Segoe UI" w:cs="Segoe UI"/>
                <w:color w:val="000000"/>
                <w:sz w:val="16"/>
                <w:szCs w:val="16"/>
                <w:lang w:val="en-US" w:eastAsia="es-ES"/>
              </w:rPr>
              <w:t>Long Beach, CA 90806</w:t>
            </w:r>
          </w:p>
        </w:tc>
      </w:tr>
      <w:tr w:rsidR="00B17F4C" w14:paraId="4B797B0B" w14:textId="77777777" w:rsidTr="007C19F7">
        <w:trPr>
          <w:trHeight w:val="562"/>
        </w:trPr>
        <w:tc>
          <w:tcPr>
            <w:tcW w:w="3544" w:type="dxa"/>
            <w:tcBorders>
              <w:top w:val="nil"/>
              <w:left w:val="single" w:sz="4" w:space="0" w:color="auto"/>
              <w:bottom w:val="single" w:sz="4" w:space="0" w:color="auto"/>
              <w:right w:val="single" w:sz="4" w:space="0" w:color="auto"/>
            </w:tcBorders>
            <w:shd w:val="clear" w:color="auto" w:fill="auto"/>
            <w:hideMark/>
          </w:tcPr>
          <w:p w14:paraId="1AA6E2E7" w14:textId="77777777" w:rsidR="00B17F4C" w:rsidRPr="00973E80" w:rsidRDefault="00B17F4C" w:rsidP="007C19F7">
            <w:pPr>
              <w:spacing w:after="0" w:line="240" w:lineRule="auto"/>
              <w:rPr>
                <w:rFonts w:ascii="Segoe UI" w:eastAsia="Times New Roman" w:hAnsi="Segoe UI" w:cs="Segoe UI"/>
                <w:color w:val="000000"/>
                <w:sz w:val="16"/>
                <w:szCs w:val="16"/>
                <w:lang w:val="de-DE" w:eastAsia="es-ES"/>
              </w:rPr>
            </w:pPr>
            <w:r w:rsidRPr="00973E80">
              <w:rPr>
                <w:rFonts w:ascii="Segoe UI" w:eastAsia="Times New Roman" w:hAnsi="Segoe UI" w:cs="Segoe UI"/>
                <w:color w:val="000000"/>
                <w:sz w:val="16"/>
                <w:szCs w:val="16"/>
                <w:lang w:val="de-DE" w:eastAsia="es-ES"/>
              </w:rPr>
              <w:t>Name, Position und Kontaktdaten der Kontaktperson</w:t>
            </w:r>
          </w:p>
        </w:tc>
        <w:tc>
          <w:tcPr>
            <w:tcW w:w="3544" w:type="dxa"/>
            <w:tcBorders>
              <w:top w:val="nil"/>
              <w:left w:val="nil"/>
              <w:bottom w:val="single" w:sz="4" w:space="0" w:color="auto"/>
              <w:right w:val="single" w:sz="4" w:space="0" w:color="auto"/>
            </w:tcBorders>
            <w:shd w:val="clear" w:color="auto" w:fill="auto"/>
            <w:hideMark/>
          </w:tcPr>
          <w:p w14:paraId="0F5B8865" w14:textId="77777777" w:rsidR="00B17F4C" w:rsidRPr="00B17F4C" w:rsidRDefault="00B17F4C" w:rsidP="007C19F7">
            <w:pPr>
              <w:spacing w:after="0" w:line="240" w:lineRule="auto"/>
              <w:rPr>
                <w:rFonts w:ascii="Segoe UI" w:eastAsia="Times New Roman" w:hAnsi="Segoe UI" w:cs="Segoe UI"/>
                <w:color w:val="000000"/>
                <w:sz w:val="16"/>
                <w:szCs w:val="16"/>
                <w:lang w:val="de-DE" w:eastAsia="es-ES"/>
              </w:rPr>
            </w:pPr>
            <w:proofErr w:type="gramStart"/>
            <w:r w:rsidRPr="00470240">
              <w:rPr>
                <w:rFonts w:ascii="Segoe UI" w:eastAsia="Times New Roman" w:hAnsi="Segoe UI" w:cs="Segoe UI"/>
                <w:color w:val="000000"/>
                <w:sz w:val="16"/>
                <w:szCs w:val="16"/>
                <w:lang w:val="de-DE" w:eastAsia="es-ES"/>
              </w:rPr>
              <w:t>Wie  in</w:t>
            </w:r>
            <w:proofErr w:type="gramEnd"/>
            <w:r w:rsidRPr="00470240">
              <w:rPr>
                <w:rFonts w:ascii="Segoe UI" w:eastAsia="Times New Roman" w:hAnsi="Segoe UI" w:cs="Segoe UI"/>
                <w:color w:val="000000"/>
                <w:sz w:val="16"/>
                <w:szCs w:val="16"/>
                <w:lang w:val="de-DE" w:eastAsia="es-ES"/>
              </w:rPr>
              <w:t xml:space="preserve"> </w:t>
            </w:r>
            <w:r>
              <w:rPr>
                <w:rFonts w:ascii="Segoe UI" w:eastAsia="Times New Roman" w:hAnsi="Segoe UI" w:cs="Segoe UI"/>
                <w:color w:val="000000"/>
                <w:sz w:val="16"/>
                <w:szCs w:val="16"/>
                <w:lang w:val="de-DE" w:eastAsia="es-ES"/>
              </w:rPr>
              <w:t>den</w:t>
            </w:r>
            <w:r w:rsidRPr="00470240">
              <w:rPr>
                <w:rFonts w:ascii="Segoe UI" w:eastAsia="Times New Roman" w:hAnsi="Segoe UI" w:cs="Segoe UI"/>
                <w:color w:val="000000"/>
                <w:sz w:val="16"/>
                <w:szCs w:val="16"/>
                <w:lang w:val="de-DE" w:eastAsia="es-ES"/>
              </w:rPr>
              <w:t xml:space="preserve"> Kontounterlagen oder ausweislich der Unterschrift auf dem Kaufvertrag </w:t>
            </w:r>
            <w:r>
              <w:rPr>
                <w:rFonts w:ascii="Segoe UI" w:eastAsia="Times New Roman" w:hAnsi="Segoe UI" w:cs="Segoe UI"/>
                <w:color w:val="000000"/>
                <w:sz w:val="16"/>
                <w:szCs w:val="16"/>
                <w:lang w:val="de-DE" w:eastAsia="es-ES"/>
              </w:rPr>
              <w:t>ausgewiesen</w:t>
            </w:r>
          </w:p>
        </w:tc>
        <w:tc>
          <w:tcPr>
            <w:tcW w:w="3685" w:type="dxa"/>
            <w:tcBorders>
              <w:top w:val="nil"/>
              <w:left w:val="nil"/>
              <w:bottom w:val="single" w:sz="4" w:space="0" w:color="auto"/>
              <w:right w:val="single" w:sz="4" w:space="0" w:color="auto"/>
            </w:tcBorders>
            <w:shd w:val="clear" w:color="auto" w:fill="auto"/>
            <w:noWrap/>
            <w:hideMark/>
          </w:tcPr>
          <w:p w14:paraId="458C4150" w14:textId="77777777" w:rsidR="00B17F4C" w:rsidRPr="00CB2869" w:rsidRDefault="00B17F4C" w:rsidP="007C19F7">
            <w:pPr>
              <w:spacing w:after="0" w:line="240" w:lineRule="auto"/>
              <w:rPr>
                <w:rFonts w:ascii="Segoe UI" w:eastAsia="Times New Roman" w:hAnsi="Segoe UI" w:cs="Segoe UI"/>
                <w:color w:val="000000"/>
                <w:sz w:val="16"/>
                <w:szCs w:val="16"/>
                <w:lang w:val="es-ES_tradnl" w:eastAsia="es-ES"/>
              </w:rPr>
            </w:pPr>
            <w:r w:rsidRPr="00B17F4C">
              <w:rPr>
                <w:rFonts w:ascii="Segoe UI" w:eastAsia="Times New Roman" w:hAnsi="Segoe UI" w:cs="Segoe UI"/>
                <w:color w:val="000000"/>
                <w:sz w:val="16"/>
                <w:szCs w:val="16"/>
                <w:lang w:val="de-DE" w:eastAsia="es-ES"/>
              </w:rPr>
              <w:t> </w:t>
            </w:r>
            <w:r w:rsidRPr="00CB2869">
              <w:rPr>
                <w:rFonts w:ascii="Segoe UI" w:eastAsia="Times New Roman" w:hAnsi="Segoe UI" w:cs="Segoe UI"/>
                <w:color w:val="000000"/>
                <w:sz w:val="16"/>
                <w:szCs w:val="16"/>
                <w:lang w:val="es-ES_tradnl" w:eastAsia="es-ES"/>
              </w:rPr>
              <w:t>Ignacio de la Corte, DPO</w:t>
            </w:r>
          </w:p>
          <w:p w14:paraId="30B283DD" w14:textId="77777777" w:rsidR="00B17F4C" w:rsidRPr="00CB2869" w:rsidRDefault="00B17F4C" w:rsidP="007C19F7">
            <w:pPr>
              <w:spacing w:after="0" w:line="240" w:lineRule="auto"/>
              <w:rPr>
                <w:rFonts w:ascii="Segoe UI" w:eastAsia="Times New Roman" w:hAnsi="Segoe UI" w:cs="Segoe UI"/>
                <w:color w:val="000000"/>
                <w:sz w:val="16"/>
                <w:szCs w:val="16"/>
                <w:lang w:val="es-ES_tradnl" w:eastAsia="es-ES"/>
              </w:rPr>
            </w:pPr>
            <w:r w:rsidRPr="00CB2869">
              <w:rPr>
                <w:rFonts w:ascii="Segoe UI" w:eastAsia="Times New Roman" w:hAnsi="Segoe UI" w:cs="Segoe UI"/>
                <w:color w:val="000000"/>
                <w:sz w:val="16"/>
                <w:szCs w:val="16"/>
                <w:lang w:val="es-ES_tradnl" w:eastAsia="es-ES"/>
              </w:rPr>
              <w:t>dpo@hydrafacial.com</w:t>
            </w:r>
          </w:p>
        </w:tc>
      </w:tr>
      <w:tr w:rsidR="00B17F4C" w:rsidRPr="00B17F4C" w14:paraId="2AC690EF" w14:textId="77777777" w:rsidTr="007C19F7">
        <w:trPr>
          <w:trHeight w:val="223"/>
        </w:trPr>
        <w:tc>
          <w:tcPr>
            <w:tcW w:w="3544" w:type="dxa"/>
            <w:tcBorders>
              <w:top w:val="nil"/>
              <w:left w:val="single" w:sz="4" w:space="0" w:color="auto"/>
              <w:bottom w:val="single" w:sz="4" w:space="0" w:color="auto"/>
              <w:right w:val="single" w:sz="4" w:space="0" w:color="auto"/>
            </w:tcBorders>
            <w:shd w:val="clear" w:color="auto" w:fill="auto"/>
            <w:hideMark/>
          </w:tcPr>
          <w:p w14:paraId="0E7232F6" w14:textId="77777777" w:rsidR="00B17F4C" w:rsidRPr="00973E80" w:rsidRDefault="00B17F4C" w:rsidP="007C19F7">
            <w:pPr>
              <w:spacing w:after="0" w:line="240" w:lineRule="auto"/>
              <w:rPr>
                <w:rFonts w:ascii="Segoe UI" w:eastAsia="Times New Roman" w:hAnsi="Segoe UI" w:cs="Segoe UI"/>
                <w:color w:val="000000"/>
                <w:sz w:val="16"/>
                <w:szCs w:val="16"/>
                <w:lang w:val="de-DE" w:eastAsia="es-ES"/>
              </w:rPr>
            </w:pPr>
            <w:r w:rsidRPr="00973E80">
              <w:rPr>
                <w:rFonts w:ascii="Segoe UI" w:eastAsia="Times New Roman" w:hAnsi="Segoe UI" w:cs="Segoe UI"/>
                <w:color w:val="000000"/>
                <w:sz w:val="16"/>
                <w:szCs w:val="16"/>
                <w:lang w:val="de-DE" w:eastAsia="es-ES"/>
              </w:rPr>
              <w:t xml:space="preserve">Relevante Aktivitäten </w:t>
            </w:r>
            <w:r>
              <w:rPr>
                <w:rFonts w:ascii="Segoe UI" w:eastAsia="Times New Roman" w:hAnsi="Segoe UI" w:cs="Segoe UI"/>
                <w:color w:val="000000"/>
                <w:sz w:val="16"/>
                <w:szCs w:val="16"/>
                <w:lang w:val="de-DE" w:eastAsia="es-ES"/>
              </w:rPr>
              <w:t>i</w:t>
            </w:r>
            <w:r w:rsidRPr="00973E80">
              <w:rPr>
                <w:rFonts w:ascii="Segoe UI" w:eastAsia="Times New Roman" w:hAnsi="Segoe UI" w:cs="Segoe UI"/>
                <w:color w:val="000000"/>
                <w:sz w:val="16"/>
                <w:szCs w:val="16"/>
                <w:lang w:val="de-DE" w:eastAsia="es-ES"/>
              </w:rPr>
              <w:t>n Bezug auf die gemäß EU-</w:t>
            </w:r>
            <w:r>
              <w:rPr>
                <w:rFonts w:ascii="Segoe UI" w:eastAsia="Times New Roman" w:hAnsi="Segoe UI" w:cs="Segoe UI"/>
                <w:color w:val="000000"/>
                <w:sz w:val="16"/>
                <w:szCs w:val="16"/>
                <w:lang w:val="de-DE" w:eastAsia="es-ES"/>
              </w:rPr>
              <w:t>SVK</w:t>
            </w:r>
            <w:r w:rsidRPr="00973E80">
              <w:rPr>
                <w:rFonts w:ascii="Segoe UI" w:eastAsia="Times New Roman" w:hAnsi="Segoe UI" w:cs="Segoe UI"/>
                <w:color w:val="000000"/>
                <w:sz w:val="16"/>
                <w:szCs w:val="16"/>
                <w:lang w:val="de-DE" w:eastAsia="es-ES"/>
              </w:rPr>
              <w:t xml:space="preserve"> übermittelten Daten </w:t>
            </w:r>
          </w:p>
        </w:tc>
        <w:tc>
          <w:tcPr>
            <w:tcW w:w="3544" w:type="dxa"/>
            <w:tcBorders>
              <w:top w:val="nil"/>
              <w:left w:val="nil"/>
              <w:bottom w:val="single" w:sz="4" w:space="0" w:color="auto"/>
              <w:right w:val="single" w:sz="4" w:space="0" w:color="auto"/>
            </w:tcBorders>
            <w:shd w:val="clear" w:color="auto" w:fill="auto"/>
            <w:hideMark/>
          </w:tcPr>
          <w:p w14:paraId="4E19B24D" w14:textId="77777777" w:rsidR="00B17F4C" w:rsidRPr="00470240" w:rsidRDefault="00B17F4C" w:rsidP="007C19F7">
            <w:pPr>
              <w:spacing w:after="0" w:line="240" w:lineRule="auto"/>
              <w:rPr>
                <w:rFonts w:ascii="Segoe UI" w:eastAsia="Times New Roman" w:hAnsi="Segoe UI" w:cs="Segoe UI"/>
                <w:color w:val="000000"/>
                <w:sz w:val="16"/>
                <w:szCs w:val="16"/>
                <w:lang w:val="de-DE" w:eastAsia="es-ES"/>
              </w:rPr>
            </w:pPr>
            <w:r w:rsidRPr="00470240">
              <w:rPr>
                <w:rFonts w:ascii="Segoe UI" w:eastAsia="Times New Roman" w:hAnsi="Segoe UI" w:cs="Segoe UI"/>
                <w:color w:val="000000"/>
                <w:sz w:val="16"/>
                <w:szCs w:val="16"/>
                <w:lang w:val="de-DE" w:eastAsia="es-ES"/>
              </w:rPr>
              <w:t>Wie in der Vereinbarung über Datenverarbeitung geregelt</w:t>
            </w:r>
          </w:p>
        </w:tc>
        <w:tc>
          <w:tcPr>
            <w:tcW w:w="3685" w:type="dxa"/>
            <w:tcBorders>
              <w:top w:val="nil"/>
              <w:left w:val="nil"/>
              <w:bottom w:val="single" w:sz="4" w:space="0" w:color="auto"/>
              <w:right w:val="single" w:sz="4" w:space="0" w:color="auto"/>
            </w:tcBorders>
            <w:shd w:val="clear" w:color="auto" w:fill="auto"/>
            <w:hideMark/>
          </w:tcPr>
          <w:p w14:paraId="4ADA10E2" w14:textId="77777777" w:rsidR="00B17F4C" w:rsidRPr="00470240" w:rsidRDefault="00B17F4C" w:rsidP="007C19F7">
            <w:pPr>
              <w:spacing w:after="0" w:line="240" w:lineRule="auto"/>
              <w:rPr>
                <w:rFonts w:ascii="Segoe UI" w:eastAsia="Times New Roman" w:hAnsi="Segoe UI" w:cs="Segoe UI"/>
                <w:color w:val="000000"/>
                <w:sz w:val="16"/>
                <w:szCs w:val="16"/>
                <w:lang w:val="de-DE" w:eastAsia="es-ES"/>
              </w:rPr>
            </w:pPr>
            <w:r w:rsidRPr="00470240">
              <w:rPr>
                <w:rFonts w:ascii="Segoe UI" w:eastAsia="Times New Roman" w:hAnsi="Segoe UI" w:cs="Segoe UI"/>
                <w:color w:val="000000"/>
                <w:sz w:val="16"/>
                <w:szCs w:val="16"/>
                <w:lang w:val="de-DE" w:eastAsia="es-ES"/>
              </w:rPr>
              <w:t xml:space="preserve">Wie in der Vereinbarung über Datenverarbeitung geregelt </w:t>
            </w:r>
          </w:p>
        </w:tc>
      </w:tr>
      <w:tr w:rsidR="00B17F4C" w14:paraId="172035BC" w14:textId="77777777" w:rsidTr="007C19F7">
        <w:trPr>
          <w:trHeight w:val="548"/>
        </w:trPr>
        <w:tc>
          <w:tcPr>
            <w:tcW w:w="3544" w:type="dxa"/>
            <w:tcBorders>
              <w:top w:val="nil"/>
              <w:left w:val="single" w:sz="4" w:space="0" w:color="auto"/>
              <w:bottom w:val="single" w:sz="4" w:space="0" w:color="auto"/>
              <w:right w:val="single" w:sz="4" w:space="0" w:color="auto"/>
            </w:tcBorders>
            <w:shd w:val="clear" w:color="auto" w:fill="auto"/>
            <w:hideMark/>
          </w:tcPr>
          <w:p w14:paraId="1EB2EAB5" w14:textId="77777777" w:rsidR="00B17F4C" w:rsidRPr="00E60FF1" w:rsidRDefault="00B17F4C" w:rsidP="007C19F7">
            <w:pPr>
              <w:spacing w:after="0" w:line="240" w:lineRule="auto"/>
              <w:rPr>
                <w:rFonts w:ascii="Segoe UI" w:eastAsia="Times New Roman" w:hAnsi="Segoe UI" w:cs="Segoe UI"/>
                <w:color w:val="000000"/>
                <w:sz w:val="16"/>
                <w:szCs w:val="16"/>
                <w:lang w:eastAsia="es-ES"/>
              </w:rPr>
            </w:pPr>
            <w:proofErr w:type="spellStart"/>
            <w:r>
              <w:rPr>
                <w:rFonts w:ascii="Segoe UI" w:eastAsia="Times New Roman" w:hAnsi="Segoe UI" w:cs="Segoe UI"/>
                <w:color w:val="000000"/>
                <w:sz w:val="16"/>
                <w:szCs w:val="16"/>
                <w:lang w:eastAsia="es-ES"/>
              </w:rPr>
              <w:t>Unterschrift</w:t>
            </w:r>
            <w:proofErr w:type="spellEnd"/>
            <w:r>
              <w:rPr>
                <w:rFonts w:ascii="Segoe UI" w:eastAsia="Times New Roman" w:hAnsi="Segoe UI" w:cs="Segoe UI"/>
                <w:color w:val="000000"/>
                <w:sz w:val="16"/>
                <w:szCs w:val="16"/>
                <w:lang w:eastAsia="es-ES"/>
              </w:rPr>
              <w:t xml:space="preserve"> </w:t>
            </w:r>
            <w:proofErr w:type="spellStart"/>
            <w:r>
              <w:rPr>
                <w:rFonts w:ascii="Segoe UI" w:eastAsia="Times New Roman" w:hAnsi="Segoe UI" w:cs="Segoe UI"/>
                <w:color w:val="000000"/>
                <w:sz w:val="16"/>
                <w:szCs w:val="16"/>
                <w:lang w:eastAsia="es-ES"/>
              </w:rPr>
              <w:t>und</w:t>
            </w:r>
            <w:proofErr w:type="spellEnd"/>
            <w:r>
              <w:rPr>
                <w:rFonts w:ascii="Segoe UI" w:eastAsia="Times New Roman" w:hAnsi="Segoe UI" w:cs="Segoe UI"/>
                <w:color w:val="000000"/>
                <w:sz w:val="16"/>
                <w:szCs w:val="16"/>
                <w:lang w:eastAsia="es-ES"/>
              </w:rPr>
              <w:t xml:space="preserve"> Datum</w:t>
            </w:r>
          </w:p>
        </w:tc>
        <w:tc>
          <w:tcPr>
            <w:tcW w:w="3544" w:type="dxa"/>
            <w:tcBorders>
              <w:top w:val="nil"/>
              <w:left w:val="nil"/>
              <w:bottom w:val="single" w:sz="4" w:space="0" w:color="auto"/>
              <w:right w:val="single" w:sz="4" w:space="0" w:color="auto"/>
            </w:tcBorders>
            <w:shd w:val="clear" w:color="auto" w:fill="auto"/>
            <w:hideMark/>
          </w:tcPr>
          <w:p w14:paraId="50E2D8FA" w14:textId="77777777" w:rsidR="00B17F4C" w:rsidRPr="00470240" w:rsidRDefault="00B17F4C" w:rsidP="007C19F7">
            <w:pPr>
              <w:spacing w:after="0" w:line="240" w:lineRule="auto"/>
              <w:rPr>
                <w:rFonts w:ascii="Segoe UI" w:eastAsia="Times New Roman" w:hAnsi="Segoe UI" w:cs="Segoe UI"/>
                <w:color w:val="000000"/>
                <w:sz w:val="16"/>
                <w:szCs w:val="16"/>
                <w:lang w:val="de-DE" w:eastAsia="es-ES"/>
              </w:rPr>
            </w:pPr>
            <w:r w:rsidRPr="00470240">
              <w:rPr>
                <w:rFonts w:ascii="Segoe UI" w:eastAsia="Times New Roman" w:hAnsi="Segoe UI" w:cs="Segoe UI"/>
                <w:color w:val="000000"/>
                <w:sz w:val="16"/>
                <w:szCs w:val="16"/>
                <w:lang w:val="de-DE" w:eastAsia="es-ES"/>
              </w:rPr>
              <w:t xml:space="preserve">Die EU-SVK gelten als mit der Vereinbarung der </w:t>
            </w:r>
            <w:r w:rsidRPr="00470240">
              <w:rPr>
                <w:rFonts w:ascii="Segoe UI" w:eastAsia="Times New Roman" w:hAnsi="Segoe UI" w:cs="Segoe UI"/>
                <w:color w:val="000000"/>
                <w:sz w:val="16"/>
                <w:szCs w:val="16"/>
                <w:lang w:val="de-DE" w:eastAsia="es-ES"/>
              </w:rPr>
              <w:br/>
              <w:t>HF-SVK</w:t>
            </w:r>
            <w:r>
              <w:rPr>
                <w:rFonts w:ascii="Segoe UI" w:eastAsia="Times New Roman" w:hAnsi="Segoe UI" w:cs="Segoe UI"/>
                <w:color w:val="000000"/>
                <w:sz w:val="16"/>
                <w:szCs w:val="16"/>
                <w:lang w:val="de-DE" w:eastAsia="es-ES"/>
              </w:rPr>
              <w:t xml:space="preserve"> vereinbart</w:t>
            </w:r>
          </w:p>
        </w:tc>
        <w:tc>
          <w:tcPr>
            <w:tcW w:w="3685" w:type="dxa"/>
            <w:tcBorders>
              <w:top w:val="nil"/>
              <w:left w:val="nil"/>
              <w:bottom w:val="single" w:sz="4" w:space="0" w:color="auto"/>
              <w:right w:val="single" w:sz="4" w:space="0" w:color="auto"/>
            </w:tcBorders>
            <w:shd w:val="clear" w:color="auto" w:fill="auto"/>
            <w:hideMark/>
          </w:tcPr>
          <w:p w14:paraId="29AAC3A4" w14:textId="77777777" w:rsidR="00B17F4C" w:rsidRPr="00470240" w:rsidRDefault="00B17F4C" w:rsidP="007C19F7">
            <w:pPr>
              <w:spacing w:after="0" w:line="240" w:lineRule="auto"/>
              <w:rPr>
                <w:rFonts w:ascii="Segoe UI" w:eastAsia="Times New Roman" w:hAnsi="Segoe UI" w:cs="Segoe UI"/>
                <w:color w:val="000000"/>
                <w:sz w:val="16"/>
                <w:szCs w:val="16"/>
                <w:lang w:val="de-DE" w:eastAsia="es-ES"/>
              </w:rPr>
            </w:pPr>
            <w:r w:rsidRPr="00470240">
              <w:rPr>
                <w:rFonts w:ascii="Segoe UI" w:eastAsia="Times New Roman" w:hAnsi="Segoe UI" w:cs="Segoe UI"/>
                <w:color w:val="000000"/>
                <w:sz w:val="16"/>
                <w:szCs w:val="16"/>
                <w:lang w:val="de-DE" w:eastAsia="es-ES"/>
              </w:rPr>
              <w:t xml:space="preserve">Die EU-SVK gelten als mit der Vereinbarung der </w:t>
            </w:r>
            <w:r w:rsidRPr="00470240">
              <w:rPr>
                <w:rFonts w:ascii="Segoe UI" w:eastAsia="Times New Roman" w:hAnsi="Segoe UI" w:cs="Segoe UI"/>
                <w:color w:val="000000"/>
                <w:sz w:val="16"/>
                <w:szCs w:val="16"/>
                <w:lang w:val="de-DE" w:eastAsia="es-ES"/>
              </w:rPr>
              <w:br/>
              <w:t>HF-SVK</w:t>
            </w:r>
            <w:r>
              <w:rPr>
                <w:rFonts w:ascii="Segoe UI" w:eastAsia="Times New Roman" w:hAnsi="Segoe UI" w:cs="Segoe UI"/>
                <w:color w:val="000000"/>
                <w:sz w:val="16"/>
                <w:szCs w:val="16"/>
                <w:lang w:val="de-DE" w:eastAsia="es-ES"/>
              </w:rPr>
              <w:t xml:space="preserve"> vereinbart</w:t>
            </w:r>
            <w:r w:rsidRPr="00470240">
              <w:rPr>
                <w:rFonts w:ascii="Segoe UI" w:eastAsia="Times New Roman" w:hAnsi="Segoe UI" w:cs="Segoe UI"/>
                <w:color w:val="000000"/>
                <w:sz w:val="16"/>
                <w:szCs w:val="16"/>
                <w:lang w:val="de-DE" w:eastAsia="es-ES"/>
              </w:rPr>
              <w:t xml:space="preserve"> </w:t>
            </w:r>
          </w:p>
        </w:tc>
      </w:tr>
      <w:tr w:rsidR="00B17F4C" w14:paraId="34EE52BB" w14:textId="77777777" w:rsidTr="007C19F7">
        <w:trPr>
          <w:trHeight w:val="286"/>
        </w:trPr>
        <w:tc>
          <w:tcPr>
            <w:tcW w:w="3544" w:type="dxa"/>
            <w:tcBorders>
              <w:top w:val="nil"/>
              <w:left w:val="single" w:sz="4" w:space="0" w:color="auto"/>
              <w:bottom w:val="single" w:sz="4" w:space="0" w:color="auto"/>
              <w:right w:val="single" w:sz="4" w:space="0" w:color="auto"/>
            </w:tcBorders>
            <w:shd w:val="clear" w:color="auto" w:fill="auto"/>
            <w:hideMark/>
          </w:tcPr>
          <w:p w14:paraId="49BA27E4" w14:textId="77777777" w:rsidR="00B17F4C" w:rsidRPr="00E60FF1" w:rsidRDefault="00B17F4C" w:rsidP="007C19F7">
            <w:pPr>
              <w:spacing w:after="0" w:line="240" w:lineRule="auto"/>
              <w:rPr>
                <w:rFonts w:ascii="Segoe UI" w:eastAsia="Times New Roman" w:hAnsi="Segoe UI" w:cs="Segoe UI"/>
                <w:color w:val="000000"/>
                <w:sz w:val="16"/>
                <w:szCs w:val="16"/>
                <w:lang w:eastAsia="es-ES"/>
              </w:rPr>
            </w:pPr>
            <w:proofErr w:type="spellStart"/>
            <w:r>
              <w:rPr>
                <w:rFonts w:ascii="Segoe UI" w:eastAsia="Times New Roman" w:hAnsi="Segoe UI" w:cs="Segoe UI"/>
                <w:color w:val="000000"/>
                <w:sz w:val="16"/>
                <w:szCs w:val="16"/>
                <w:lang w:eastAsia="es-ES"/>
              </w:rPr>
              <w:t>Funktion</w:t>
            </w:r>
            <w:proofErr w:type="spellEnd"/>
          </w:p>
        </w:tc>
        <w:tc>
          <w:tcPr>
            <w:tcW w:w="3544" w:type="dxa"/>
            <w:tcBorders>
              <w:top w:val="nil"/>
              <w:left w:val="nil"/>
              <w:bottom w:val="single" w:sz="4" w:space="0" w:color="auto"/>
              <w:right w:val="single" w:sz="4" w:space="0" w:color="auto"/>
            </w:tcBorders>
            <w:shd w:val="clear" w:color="000000" w:fill="FFFFFF"/>
            <w:hideMark/>
          </w:tcPr>
          <w:p w14:paraId="05993152" w14:textId="77777777" w:rsidR="00B17F4C" w:rsidRPr="00E60FF1" w:rsidRDefault="00B17F4C" w:rsidP="007C19F7">
            <w:pPr>
              <w:spacing w:after="0" w:line="240" w:lineRule="auto"/>
              <w:rPr>
                <w:rFonts w:ascii="Segoe UI" w:eastAsia="Times New Roman" w:hAnsi="Segoe UI" w:cs="Segoe UI"/>
                <w:color w:val="000000"/>
                <w:sz w:val="16"/>
                <w:szCs w:val="16"/>
                <w:lang w:val="en-US" w:eastAsia="es-ES"/>
              </w:rPr>
            </w:pPr>
            <w:proofErr w:type="spellStart"/>
            <w:r>
              <w:rPr>
                <w:rFonts w:ascii="Segoe UI" w:eastAsia="Times New Roman" w:hAnsi="Segoe UI" w:cs="Segoe UI"/>
                <w:color w:val="000000"/>
                <w:sz w:val="16"/>
                <w:szCs w:val="16"/>
                <w:lang w:val="en-US" w:eastAsia="es-ES"/>
              </w:rPr>
              <w:t>Auftragsverarbeiter</w:t>
            </w:r>
            <w:proofErr w:type="spellEnd"/>
            <w:r>
              <w:rPr>
                <w:rFonts w:ascii="Segoe UI" w:eastAsia="Times New Roman" w:hAnsi="Segoe UI" w:cs="Segoe UI"/>
                <w:color w:val="000000"/>
                <w:sz w:val="16"/>
                <w:szCs w:val="16"/>
                <w:lang w:val="en-US" w:eastAsia="es-ES"/>
              </w:rPr>
              <w:t>/</w:t>
            </w:r>
            <w:proofErr w:type="spellStart"/>
            <w:r>
              <w:rPr>
                <w:rFonts w:ascii="Segoe UI" w:eastAsia="Times New Roman" w:hAnsi="Segoe UI" w:cs="Segoe UI"/>
                <w:color w:val="000000"/>
                <w:sz w:val="16"/>
                <w:szCs w:val="16"/>
                <w:lang w:val="en-US" w:eastAsia="es-ES"/>
              </w:rPr>
              <w:t>Unterauftragsverarbeiter</w:t>
            </w:r>
            <w:proofErr w:type="spellEnd"/>
            <w:r>
              <w:rPr>
                <w:rFonts w:ascii="Segoe UI" w:eastAsia="Times New Roman" w:hAnsi="Segoe UI" w:cs="Segoe UI"/>
                <w:color w:val="000000"/>
                <w:sz w:val="16"/>
                <w:szCs w:val="16"/>
                <w:lang w:val="en-US" w:eastAsia="es-ES"/>
              </w:rPr>
              <w:t xml:space="preserve"> </w:t>
            </w:r>
          </w:p>
        </w:tc>
        <w:tc>
          <w:tcPr>
            <w:tcW w:w="3685" w:type="dxa"/>
            <w:tcBorders>
              <w:top w:val="nil"/>
              <w:left w:val="nil"/>
              <w:bottom w:val="single" w:sz="4" w:space="0" w:color="auto"/>
              <w:right w:val="single" w:sz="4" w:space="0" w:color="auto"/>
            </w:tcBorders>
            <w:shd w:val="clear" w:color="000000" w:fill="FFFFFF"/>
            <w:hideMark/>
          </w:tcPr>
          <w:p w14:paraId="6105C1F2" w14:textId="77777777" w:rsidR="00B17F4C" w:rsidRPr="00E60FF1" w:rsidRDefault="00B17F4C" w:rsidP="007C19F7">
            <w:pPr>
              <w:spacing w:after="0" w:line="240" w:lineRule="auto"/>
              <w:rPr>
                <w:rFonts w:ascii="Segoe UI" w:eastAsia="Times New Roman" w:hAnsi="Segoe UI" w:cs="Segoe UI"/>
                <w:color w:val="000000"/>
                <w:sz w:val="16"/>
                <w:szCs w:val="16"/>
                <w:lang w:val="en-US" w:eastAsia="es-ES"/>
              </w:rPr>
            </w:pPr>
            <w:proofErr w:type="spellStart"/>
            <w:r>
              <w:rPr>
                <w:rFonts w:ascii="Segoe UI" w:eastAsia="Times New Roman" w:hAnsi="Segoe UI" w:cs="Segoe UI"/>
                <w:color w:val="000000"/>
                <w:sz w:val="16"/>
                <w:szCs w:val="16"/>
                <w:lang w:val="en-US" w:eastAsia="es-ES"/>
              </w:rPr>
              <w:t>Verantwortlicher</w:t>
            </w:r>
            <w:proofErr w:type="spellEnd"/>
            <w:r>
              <w:rPr>
                <w:rFonts w:ascii="Segoe UI" w:eastAsia="Times New Roman" w:hAnsi="Segoe UI" w:cs="Segoe UI"/>
                <w:color w:val="000000"/>
                <w:sz w:val="16"/>
                <w:szCs w:val="16"/>
                <w:lang w:val="en-US" w:eastAsia="es-ES"/>
              </w:rPr>
              <w:t>/</w:t>
            </w:r>
            <w:proofErr w:type="spellStart"/>
            <w:r>
              <w:rPr>
                <w:rFonts w:ascii="Segoe UI" w:eastAsia="Times New Roman" w:hAnsi="Segoe UI" w:cs="Segoe UI"/>
                <w:color w:val="000000"/>
                <w:sz w:val="16"/>
                <w:szCs w:val="16"/>
                <w:lang w:val="en-US" w:eastAsia="es-ES"/>
              </w:rPr>
              <w:t>Auftragsverarbeiter</w:t>
            </w:r>
            <w:proofErr w:type="spellEnd"/>
            <w:r>
              <w:rPr>
                <w:rFonts w:ascii="Segoe UI" w:eastAsia="Times New Roman" w:hAnsi="Segoe UI" w:cs="Segoe UI"/>
                <w:color w:val="000000"/>
                <w:sz w:val="16"/>
                <w:szCs w:val="16"/>
                <w:lang w:val="en-US" w:eastAsia="es-ES"/>
              </w:rPr>
              <w:t xml:space="preserve"> </w:t>
            </w:r>
          </w:p>
        </w:tc>
      </w:tr>
    </w:tbl>
    <w:p w14:paraId="35E8A667" w14:textId="77777777" w:rsidR="00B17F4C" w:rsidRDefault="00B17F4C" w:rsidP="00B17F4C">
      <w:pPr>
        <w:ind w:right="-852"/>
        <w:jc w:val="both"/>
        <w:rPr>
          <w:rFonts w:ascii="Segoe UI" w:hAnsi="Segoe UI" w:cs="Segoe UI"/>
          <w:sz w:val="20"/>
          <w:szCs w:val="20"/>
          <w:lang w:val="en-US"/>
        </w:rPr>
      </w:pPr>
    </w:p>
    <w:p w14:paraId="3944886C" w14:textId="77777777" w:rsidR="00B17F4C" w:rsidRPr="00885C20" w:rsidRDefault="00B17F4C" w:rsidP="00B17F4C">
      <w:pPr>
        <w:pStyle w:val="Prrafodelista"/>
        <w:numPr>
          <w:ilvl w:val="0"/>
          <w:numId w:val="5"/>
        </w:numPr>
        <w:ind w:left="-426" w:right="-852"/>
        <w:jc w:val="both"/>
        <w:rPr>
          <w:rFonts w:ascii="Segoe UI" w:hAnsi="Segoe UI" w:cs="Segoe UI"/>
          <w:sz w:val="20"/>
          <w:szCs w:val="20"/>
          <w:lang w:val="en-US"/>
        </w:rPr>
      </w:pPr>
      <w:proofErr w:type="spellStart"/>
      <w:r>
        <w:rPr>
          <w:rFonts w:ascii="Segoe UI" w:hAnsi="Segoe UI" w:cs="Segoe UI"/>
          <w:sz w:val="20"/>
          <w:szCs w:val="20"/>
          <w:lang w:val="en-US"/>
        </w:rPr>
        <w:t>Beschreibung</w:t>
      </w:r>
      <w:proofErr w:type="spellEnd"/>
      <w:r>
        <w:rPr>
          <w:rFonts w:ascii="Segoe UI" w:hAnsi="Segoe UI" w:cs="Segoe UI"/>
          <w:sz w:val="20"/>
          <w:szCs w:val="20"/>
          <w:lang w:val="en-US"/>
        </w:rPr>
        <w:t xml:space="preserve"> der </w:t>
      </w:r>
      <w:proofErr w:type="spellStart"/>
      <w:r>
        <w:rPr>
          <w:rFonts w:ascii="Segoe UI" w:hAnsi="Segoe UI" w:cs="Segoe UI"/>
          <w:sz w:val="20"/>
          <w:szCs w:val="20"/>
          <w:lang w:val="en-US"/>
        </w:rPr>
        <w:t>Übermittlung</w:t>
      </w:r>
      <w:proofErr w:type="spellEnd"/>
    </w:p>
    <w:tbl>
      <w:tblPr>
        <w:tblpPr w:leftFromText="180" w:rightFromText="180" w:vertAnchor="text" w:horzAnchor="margin" w:tblpXSpec="center" w:tblpY="233"/>
        <w:tblW w:w="10773" w:type="dxa"/>
        <w:tblCellMar>
          <w:left w:w="70" w:type="dxa"/>
          <w:right w:w="70" w:type="dxa"/>
        </w:tblCellMar>
        <w:tblLook w:val="04A0" w:firstRow="1" w:lastRow="0" w:firstColumn="1" w:lastColumn="0" w:noHBand="0" w:noVBand="1"/>
      </w:tblPr>
      <w:tblGrid>
        <w:gridCol w:w="10773"/>
      </w:tblGrid>
      <w:tr w:rsidR="00B17F4C" w:rsidRPr="00B17F4C" w14:paraId="4A232358" w14:textId="77777777" w:rsidTr="007C19F7">
        <w:trPr>
          <w:trHeight w:val="565"/>
        </w:trPr>
        <w:tc>
          <w:tcPr>
            <w:tcW w:w="10773" w:type="dxa"/>
            <w:tcBorders>
              <w:top w:val="single" w:sz="4" w:space="0" w:color="auto"/>
              <w:left w:val="single" w:sz="4" w:space="0" w:color="auto"/>
              <w:bottom w:val="single" w:sz="4" w:space="0" w:color="auto"/>
              <w:right w:val="single" w:sz="4" w:space="0" w:color="auto"/>
            </w:tcBorders>
            <w:shd w:val="clear" w:color="auto" w:fill="auto"/>
            <w:hideMark/>
          </w:tcPr>
          <w:p w14:paraId="15326A42" w14:textId="77777777" w:rsidR="00B17F4C" w:rsidRPr="00592C80" w:rsidRDefault="00B17F4C" w:rsidP="007C19F7">
            <w:pPr>
              <w:spacing w:after="0" w:line="240" w:lineRule="auto"/>
              <w:rPr>
                <w:rFonts w:ascii="Segoe UI" w:eastAsia="Times New Roman" w:hAnsi="Segoe UI" w:cs="Segoe UI"/>
                <w:color w:val="000000"/>
                <w:sz w:val="16"/>
                <w:szCs w:val="16"/>
                <w:lang w:val="de-DE" w:eastAsia="es-ES"/>
              </w:rPr>
            </w:pPr>
            <w:r w:rsidRPr="00592C80">
              <w:rPr>
                <w:rFonts w:ascii="Segoe UI" w:eastAsia="Times New Roman" w:hAnsi="Segoe UI" w:cs="Segoe UI"/>
                <w:b/>
                <w:bCs/>
                <w:color w:val="000000"/>
                <w:sz w:val="16"/>
                <w:szCs w:val="16"/>
                <w:lang w:val="de-DE" w:eastAsia="es-ES"/>
              </w:rPr>
              <w:t>Kategorien von Betroffenen</w:t>
            </w:r>
            <w:r w:rsidRPr="00592C80">
              <w:rPr>
                <w:rFonts w:ascii="Segoe UI" w:eastAsia="Times New Roman" w:hAnsi="Segoe UI" w:cs="Segoe UI"/>
                <w:bCs/>
                <w:color w:val="000000"/>
                <w:sz w:val="16"/>
                <w:szCs w:val="16"/>
                <w:lang w:val="de-DE" w:eastAsia="es-ES"/>
              </w:rPr>
              <w:t>,</w:t>
            </w:r>
            <w:r w:rsidRPr="00592C80">
              <w:rPr>
                <w:rFonts w:ascii="Segoe UI" w:eastAsia="Times New Roman" w:hAnsi="Segoe UI" w:cs="Segoe UI"/>
                <w:b/>
                <w:bCs/>
                <w:color w:val="000000"/>
                <w:sz w:val="16"/>
                <w:szCs w:val="16"/>
                <w:lang w:val="de-DE" w:eastAsia="es-ES"/>
              </w:rPr>
              <w:t xml:space="preserve"> </w:t>
            </w:r>
            <w:r w:rsidRPr="00592C80">
              <w:rPr>
                <w:rFonts w:ascii="Segoe UI" w:eastAsia="Times New Roman" w:hAnsi="Segoe UI" w:cs="Segoe UI"/>
                <w:i/>
                <w:iCs/>
                <w:color w:val="000000"/>
                <w:sz w:val="16"/>
                <w:szCs w:val="16"/>
                <w:lang w:val="de-DE" w:eastAsia="es-ES"/>
              </w:rPr>
              <w:t>deren personenbezogene Daten übermittelt werden</w:t>
            </w:r>
            <w:r w:rsidRPr="00592C80">
              <w:rPr>
                <w:rFonts w:ascii="Segoe UI" w:eastAsia="Times New Roman" w:hAnsi="Segoe UI" w:cs="Segoe UI"/>
                <w:color w:val="000000"/>
                <w:sz w:val="16"/>
                <w:szCs w:val="16"/>
                <w:lang w:val="de-DE" w:eastAsia="es-ES"/>
              </w:rPr>
              <w:br/>
              <w:t xml:space="preserve">Kunden, Verbraucher und befugte Nutzer, deren personenbezogene Daten </w:t>
            </w:r>
            <w:proofErr w:type="spellStart"/>
            <w:r w:rsidRPr="00592C80">
              <w:rPr>
                <w:rFonts w:ascii="Segoe UI" w:eastAsia="Times New Roman" w:hAnsi="Segoe UI" w:cs="Segoe UI"/>
                <w:color w:val="000000"/>
                <w:sz w:val="16"/>
                <w:szCs w:val="16"/>
                <w:lang w:val="de-DE" w:eastAsia="es-ES"/>
              </w:rPr>
              <w:t>Hydrafacial</w:t>
            </w:r>
            <w:proofErr w:type="spellEnd"/>
            <w:r w:rsidRPr="00592C80">
              <w:rPr>
                <w:rFonts w:ascii="Segoe UI" w:eastAsia="Times New Roman" w:hAnsi="Segoe UI" w:cs="Segoe UI"/>
                <w:color w:val="000000"/>
                <w:sz w:val="16"/>
                <w:szCs w:val="16"/>
                <w:lang w:val="de-DE" w:eastAsia="es-ES"/>
              </w:rPr>
              <w:t xml:space="preserve"> zu dem Zweck verarbeitet, das </w:t>
            </w:r>
            <w:proofErr w:type="spellStart"/>
            <w:r w:rsidRPr="00592C80">
              <w:rPr>
                <w:rFonts w:ascii="Segoe UI" w:eastAsia="Times New Roman" w:hAnsi="Segoe UI" w:cs="Segoe UI"/>
                <w:color w:val="000000"/>
                <w:sz w:val="16"/>
                <w:szCs w:val="16"/>
                <w:lang w:val="de-DE" w:eastAsia="es-ES"/>
              </w:rPr>
              <w:t>Hydrafacial</w:t>
            </w:r>
            <w:proofErr w:type="spellEnd"/>
            <w:r w:rsidRPr="00592C80">
              <w:rPr>
                <w:rFonts w:ascii="Segoe UI" w:eastAsia="Times New Roman" w:hAnsi="Segoe UI" w:cs="Segoe UI"/>
                <w:color w:val="000000"/>
                <w:sz w:val="16"/>
                <w:szCs w:val="16"/>
                <w:lang w:val="de-DE" w:eastAsia="es-ES"/>
              </w:rPr>
              <w:t>-Konto und die Gerätedienste sowie die Interaktionsmöglichkeit</w:t>
            </w:r>
            <w:r>
              <w:rPr>
                <w:rFonts w:ascii="Segoe UI" w:eastAsia="Times New Roman" w:hAnsi="Segoe UI" w:cs="Segoe UI"/>
                <w:color w:val="000000"/>
                <w:sz w:val="16"/>
                <w:szCs w:val="16"/>
                <w:lang w:val="de-DE" w:eastAsia="es-ES"/>
              </w:rPr>
              <w:t>en</w:t>
            </w:r>
            <w:r w:rsidRPr="00592C80">
              <w:rPr>
                <w:rFonts w:ascii="Segoe UI" w:eastAsia="Times New Roman" w:hAnsi="Segoe UI" w:cs="Segoe UI"/>
                <w:color w:val="000000"/>
                <w:sz w:val="16"/>
                <w:szCs w:val="16"/>
                <w:lang w:val="de-DE" w:eastAsia="es-ES"/>
              </w:rPr>
              <w:t xml:space="preserve"> mit dem Gerät zur Verfügung zu stellen.</w:t>
            </w:r>
          </w:p>
        </w:tc>
      </w:tr>
      <w:tr w:rsidR="00B17F4C" w:rsidRPr="00B17F4C" w14:paraId="1308C686" w14:textId="77777777" w:rsidTr="007C19F7">
        <w:trPr>
          <w:trHeight w:val="841"/>
        </w:trPr>
        <w:tc>
          <w:tcPr>
            <w:tcW w:w="10773" w:type="dxa"/>
            <w:tcBorders>
              <w:top w:val="nil"/>
              <w:left w:val="single" w:sz="4" w:space="0" w:color="auto"/>
              <w:bottom w:val="single" w:sz="4" w:space="0" w:color="auto"/>
              <w:right w:val="single" w:sz="4" w:space="0" w:color="auto"/>
            </w:tcBorders>
            <w:shd w:val="clear" w:color="auto" w:fill="auto"/>
            <w:hideMark/>
          </w:tcPr>
          <w:p w14:paraId="410FB7BE" w14:textId="77777777" w:rsidR="00B17F4C" w:rsidRPr="006E3924" w:rsidRDefault="00B17F4C" w:rsidP="007C19F7">
            <w:pPr>
              <w:spacing w:after="0" w:line="240" w:lineRule="auto"/>
              <w:rPr>
                <w:rFonts w:ascii="Segoe UI" w:eastAsia="Times New Roman" w:hAnsi="Segoe UI" w:cs="Segoe UI"/>
                <w:b/>
                <w:bCs/>
                <w:color w:val="000000"/>
                <w:sz w:val="16"/>
                <w:szCs w:val="16"/>
                <w:lang w:val="de-DE" w:eastAsia="es-ES"/>
              </w:rPr>
            </w:pPr>
            <w:r w:rsidRPr="006E3924">
              <w:rPr>
                <w:rFonts w:ascii="Segoe UI" w:eastAsia="Times New Roman" w:hAnsi="Segoe UI" w:cs="Segoe UI"/>
                <w:b/>
                <w:bCs/>
                <w:color w:val="000000"/>
                <w:sz w:val="16"/>
                <w:szCs w:val="16"/>
                <w:lang w:val="de-DE" w:eastAsia="es-ES"/>
              </w:rPr>
              <w:t>Kategorien übertragener personenbezogener Daten</w:t>
            </w:r>
            <w:r w:rsidRPr="006E3924">
              <w:rPr>
                <w:rFonts w:ascii="Segoe UI" w:eastAsia="Times New Roman" w:hAnsi="Segoe UI" w:cs="Segoe UI"/>
                <w:color w:val="000000"/>
                <w:sz w:val="16"/>
                <w:szCs w:val="16"/>
                <w:lang w:val="de-DE" w:eastAsia="es-ES"/>
              </w:rPr>
              <w:br/>
              <w:t xml:space="preserve">Verarbeitete personenbezogene Daten sind Daten, die vom Kunden oder in seinem Auftrag bereitgestellt und von </w:t>
            </w:r>
            <w:proofErr w:type="spellStart"/>
            <w:r w:rsidRPr="006E3924">
              <w:rPr>
                <w:rFonts w:ascii="Segoe UI" w:eastAsia="Times New Roman" w:hAnsi="Segoe UI" w:cs="Segoe UI"/>
                <w:color w:val="000000"/>
                <w:sz w:val="16"/>
                <w:szCs w:val="16"/>
                <w:lang w:val="de-DE" w:eastAsia="es-ES"/>
              </w:rPr>
              <w:t>Hydrafacial</w:t>
            </w:r>
            <w:proofErr w:type="spellEnd"/>
            <w:r w:rsidRPr="006E3924">
              <w:rPr>
                <w:rFonts w:ascii="Segoe UI" w:eastAsia="Times New Roman" w:hAnsi="Segoe UI" w:cs="Segoe UI"/>
                <w:color w:val="000000"/>
                <w:sz w:val="16"/>
                <w:szCs w:val="16"/>
                <w:lang w:val="de-DE" w:eastAsia="es-ES"/>
              </w:rPr>
              <w:t xml:space="preserve"> </w:t>
            </w:r>
            <w:r>
              <w:rPr>
                <w:rFonts w:ascii="Segoe UI" w:eastAsia="Times New Roman" w:hAnsi="Segoe UI" w:cs="Segoe UI"/>
                <w:color w:val="000000"/>
                <w:sz w:val="16"/>
                <w:szCs w:val="16"/>
                <w:lang w:val="de-DE" w:eastAsia="es-ES"/>
              </w:rPr>
              <w:t>während der Erbringung der Dienstleistungen verarbeitet werden</w:t>
            </w:r>
            <w:r w:rsidRPr="006E3924">
              <w:rPr>
                <w:rFonts w:ascii="Segoe UI" w:eastAsia="Times New Roman" w:hAnsi="Segoe UI" w:cs="Segoe UI"/>
                <w:color w:val="000000"/>
                <w:sz w:val="16"/>
                <w:szCs w:val="16"/>
                <w:lang w:val="de-DE" w:eastAsia="es-ES"/>
              </w:rPr>
              <w:t xml:space="preserve">. </w:t>
            </w:r>
            <w:r w:rsidRPr="006E3924">
              <w:rPr>
                <w:rFonts w:ascii="Segoe UI" w:eastAsia="Times New Roman" w:hAnsi="Segoe UI" w:cs="Segoe UI"/>
                <w:color w:val="000000"/>
                <w:sz w:val="16"/>
                <w:szCs w:val="16"/>
                <w:lang w:val="de-DE" w:eastAsia="es-ES"/>
              </w:rPr>
              <w:br/>
            </w:r>
            <w:r>
              <w:rPr>
                <w:rFonts w:ascii="Segoe UI" w:eastAsia="Times New Roman" w:hAnsi="Segoe UI" w:cs="Segoe UI"/>
                <w:color w:val="000000"/>
                <w:sz w:val="16"/>
                <w:szCs w:val="16"/>
                <w:lang w:val="de-DE" w:eastAsia="es-ES"/>
              </w:rPr>
              <w:t xml:space="preserve">Die personenbezogenen Daten umfassen typischerweise </w:t>
            </w:r>
            <w:r w:rsidRPr="006E3924">
              <w:rPr>
                <w:rFonts w:ascii="Segoe UI" w:eastAsia="Times New Roman" w:hAnsi="Segoe UI" w:cs="Segoe UI"/>
                <w:color w:val="000000"/>
                <w:sz w:val="16"/>
                <w:szCs w:val="16"/>
                <w:lang w:val="de-DE" w:eastAsia="es-ES"/>
              </w:rPr>
              <w:t>(i) Vertrags- und Kontoinformationen der Betroffen</w:t>
            </w:r>
            <w:r>
              <w:rPr>
                <w:rFonts w:ascii="Segoe UI" w:eastAsia="Times New Roman" w:hAnsi="Segoe UI" w:cs="Segoe UI"/>
                <w:color w:val="000000"/>
                <w:sz w:val="16"/>
                <w:szCs w:val="16"/>
                <w:lang w:val="de-DE" w:eastAsia="es-ES"/>
              </w:rPr>
              <w:t>en</w:t>
            </w:r>
            <w:r w:rsidRPr="006E3924">
              <w:rPr>
                <w:rFonts w:ascii="Segoe UI" w:eastAsia="Times New Roman" w:hAnsi="Segoe UI" w:cs="Segoe UI"/>
                <w:color w:val="000000"/>
                <w:sz w:val="16"/>
                <w:szCs w:val="16"/>
                <w:lang w:val="de-DE" w:eastAsia="es-ES"/>
              </w:rPr>
              <w:t>, wie beispielsweise vollständiger Name, Telefonnummer,</w:t>
            </w:r>
            <w:r>
              <w:rPr>
                <w:rFonts w:ascii="Segoe UI" w:eastAsia="Times New Roman" w:hAnsi="Segoe UI" w:cs="Segoe UI"/>
                <w:color w:val="000000"/>
                <w:sz w:val="16"/>
                <w:szCs w:val="16"/>
                <w:lang w:val="de-DE" w:eastAsia="es-ES"/>
              </w:rPr>
              <w:t xml:space="preserve"> E-Mail-Ad</w:t>
            </w:r>
            <w:r w:rsidRPr="006E3924">
              <w:rPr>
                <w:rFonts w:ascii="Segoe UI" w:eastAsia="Times New Roman" w:hAnsi="Segoe UI" w:cs="Segoe UI"/>
                <w:color w:val="000000"/>
                <w:sz w:val="16"/>
                <w:szCs w:val="16"/>
                <w:lang w:val="de-DE" w:eastAsia="es-ES"/>
              </w:rPr>
              <w:t>ress</w:t>
            </w:r>
            <w:r>
              <w:rPr>
                <w:rFonts w:ascii="Segoe UI" w:eastAsia="Times New Roman" w:hAnsi="Segoe UI" w:cs="Segoe UI"/>
                <w:color w:val="000000"/>
                <w:sz w:val="16"/>
                <w:szCs w:val="16"/>
                <w:lang w:val="de-DE" w:eastAsia="es-ES"/>
              </w:rPr>
              <w:t>e</w:t>
            </w:r>
            <w:r w:rsidRPr="006E3924">
              <w:rPr>
                <w:rFonts w:ascii="Segoe UI" w:eastAsia="Times New Roman" w:hAnsi="Segoe UI" w:cs="Segoe UI"/>
                <w:color w:val="000000"/>
                <w:sz w:val="16"/>
                <w:szCs w:val="16"/>
                <w:lang w:val="de-DE" w:eastAsia="es-ES"/>
              </w:rPr>
              <w:t xml:space="preserve">, </w:t>
            </w:r>
            <w:r>
              <w:rPr>
                <w:rFonts w:ascii="Segoe UI" w:eastAsia="Times New Roman" w:hAnsi="Segoe UI" w:cs="Segoe UI"/>
                <w:color w:val="000000"/>
                <w:sz w:val="16"/>
                <w:szCs w:val="16"/>
                <w:lang w:val="de-DE" w:eastAsia="es-ES"/>
              </w:rPr>
              <w:t xml:space="preserve">Funktion und </w:t>
            </w:r>
            <w:r w:rsidRPr="006E3924">
              <w:rPr>
                <w:rFonts w:ascii="Segoe UI" w:eastAsia="Times New Roman" w:hAnsi="Segoe UI" w:cs="Segoe UI"/>
                <w:color w:val="000000"/>
                <w:sz w:val="16"/>
                <w:szCs w:val="16"/>
                <w:lang w:val="de-DE" w:eastAsia="es-ES"/>
              </w:rPr>
              <w:t>IP</w:t>
            </w:r>
            <w:r>
              <w:rPr>
                <w:rFonts w:ascii="Segoe UI" w:eastAsia="Times New Roman" w:hAnsi="Segoe UI" w:cs="Segoe UI"/>
                <w:color w:val="000000"/>
                <w:sz w:val="16"/>
                <w:szCs w:val="16"/>
                <w:lang w:val="de-DE" w:eastAsia="es-ES"/>
              </w:rPr>
              <w:t>-Adresse sowie</w:t>
            </w:r>
            <w:r w:rsidRPr="006E3924">
              <w:rPr>
                <w:rFonts w:ascii="Segoe UI" w:eastAsia="Times New Roman" w:hAnsi="Segoe UI" w:cs="Segoe UI"/>
                <w:color w:val="000000"/>
                <w:sz w:val="16"/>
                <w:szCs w:val="16"/>
                <w:lang w:val="de-DE" w:eastAsia="es-ES"/>
              </w:rPr>
              <w:t xml:space="preserve"> (ii) </w:t>
            </w:r>
            <w:r>
              <w:rPr>
                <w:rFonts w:ascii="Segoe UI" w:eastAsia="Times New Roman" w:hAnsi="Segoe UI" w:cs="Segoe UI"/>
                <w:color w:val="000000"/>
                <w:sz w:val="16"/>
                <w:szCs w:val="16"/>
                <w:lang w:val="de-DE" w:eastAsia="es-ES"/>
              </w:rPr>
              <w:t>Behandlungshistorie und Erfolgsbilanz</w:t>
            </w:r>
            <w:r w:rsidRPr="006E3924">
              <w:rPr>
                <w:rFonts w:ascii="Segoe UI" w:eastAsia="Times New Roman" w:hAnsi="Segoe UI" w:cs="Segoe UI"/>
                <w:color w:val="000000"/>
                <w:sz w:val="16"/>
                <w:szCs w:val="16"/>
                <w:lang w:val="de-DE" w:eastAsia="es-ES"/>
              </w:rPr>
              <w:t>.</w:t>
            </w:r>
          </w:p>
        </w:tc>
      </w:tr>
      <w:tr w:rsidR="00B17F4C" w14:paraId="79A8CF1B" w14:textId="77777777" w:rsidTr="007C19F7">
        <w:trPr>
          <w:trHeight w:val="124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52B4B5A1" w14:textId="77777777" w:rsidR="00B17F4C" w:rsidRPr="006E3924" w:rsidRDefault="00B17F4C" w:rsidP="007C19F7">
            <w:pPr>
              <w:spacing w:after="0" w:line="240" w:lineRule="auto"/>
              <w:rPr>
                <w:rFonts w:ascii="Segoe UI" w:eastAsia="Times New Roman" w:hAnsi="Segoe UI" w:cs="Segoe UI"/>
                <w:color w:val="000000"/>
                <w:sz w:val="16"/>
                <w:szCs w:val="16"/>
                <w:lang w:val="de-DE" w:eastAsia="es-ES"/>
              </w:rPr>
            </w:pPr>
            <w:r w:rsidRPr="006E3924">
              <w:rPr>
                <w:rFonts w:ascii="Segoe UI" w:eastAsia="Times New Roman" w:hAnsi="Segoe UI" w:cs="Segoe UI"/>
                <w:b/>
                <w:bCs/>
                <w:color w:val="000000"/>
                <w:sz w:val="16"/>
                <w:szCs w:val="16"/>
                <w:lang w:val="de-DE" w:eastAsia="es-ES"/>
              </w:rPr>
              <w:t>Übertragene sensi</w:t>
            </w:r>
            <w:r>
              <w:rPr>
                <w:rFonts w:ascii="Segoe UI" w:eastAsia="Times New Roman" w:hAnsi="Segoe UI" w:cs="Segoe UI"/>
                <w:b/>
                <w:bCs/>
                <w:color w:val="000000"/>
                <w:sz w:val="16"/>
                <w:szCs w:val="16"/>
                <w:lang w:val="de-DE" w:eastAsia="es-ES"/>
              </w:rPr>
              <w:t>ble</w:t>
            </w:r>
            <w:r w:rsidRPr="006E3924">
              <w:rPr>
                <w:rFonts w:ascii="Segoe UI" w:eastAsia="Times New Roman" w:hAnsi="Segoe UI" w:cs="Segoe UI"/>
                <w:b/>
                <w:bCs/>
                <w:color w:val="000000"/>
                <w:sz w:val="16"/>
                <w:szCs w:val="16"/>
                <w:lang w:val="de-DE" w:eastAsia="es-ES"/>
              </w:rPr>
              <w:t xml:space="preserve"> Daten (falls zutreffend)</w:t>
            </w:r>
            <w:r w:rsidRPr="006E3924">
              <w:rPr>
                <w:rFonts w:ascii="Segoe UI" w:eastAsia="Times New Roman" w:hAnsi="Segoe UI" w:cs="Segoe UI"/>
                <w:color w:val="000000"/>
                <w:sz w:val="16"/>
                <w:szCs w:val="16"/>
                <w:lang w:val="de-DE" w:eastAsia="es-ES"/>
              </w:rPr>
              <w:t xml:space="preserve"> </w:t>
            </w:r>
            <w:r>
              <w:rPr>
                <w:rFonts w:ascii="Segoe UI" w:eastAsia="Times New Roman" w:hAnsi="Segoe UI" w:cs="Segoe UI"/>
                <w:i/>
                <w:iCs/>
                <w:color w:val="000000"/>
                <w:sz w:val="16"/>
                <w:szCs w:val="16"/>
                <w:lang w:val="de-DE" w:eastAsia="es-ES"/>
              </w:rPr>
              <w:t>sowie</w:t>
            </w:r>
            <w:r w:rsidRPr="006E3924">
              <w:rPr>
                <w:rFonts w:ascii="Segoe UI" w:eastAsia="Times New Roman" w:hAnsi="Segoe UI" w:cs="Segoe UI"/>
                <w:i/>
                <w:iCs/>
                <w:color w:val="000000"/>
                <w:sz w:val="16"/>
                <w:szCs w:val="16"/>
                <w:lang w:val="de-DE" w:eastAsia="es-ES"/>
              </w:rPr>
              <w:t xml:space="preserve"> die angewendeten Beschränkungen und Sicherheitsvorkehrungen, die die Art der Daten und die damit verbundenen Risiken vollumfänglich berücksichtigen, wozu beispielsweise strikte Zweckbeschränkung, Zugangsbeschränkungen  (Zugang beispielsweise nur für Mitarbeiter, die besondere Schulung durchlaufen haben), Aufzeichnungen über den Zugriff auf die D</w:t>
            </w:r>
            <w:r>
              <w:rPr>
                <w:rFonts w:ascii="Segoe UI" w:eastAsia="Times New Roman" w:hAnsi="Segoe UI" w:cs="Segoe UI"/>
                <w:i/>
                <w:iCs/>
                <w:color w:val="000000"/>
                <w:sz w:val="16"/>
                <w:szCs w:val="16"/>
                <w:lang w:val="de-DE" w:eastAsia="es-ES"/>
              </w:rPr>
              <w:t>a</w:t>
            </w:r>
            <w:r w:rsidRPr="006E3924">
              <w:rPr>
                <w:rFonts w:ascii="Segoe UI" w:eastAsia="Times New Roman" w:hAnsi="Segoe UI" w:cs="Segoe UI"/>
                <w:i/>
                <w:iCs/>
                <w:color w:val="000000"/>
                <w:sz w:val="16"/>
                <w:szCs w:val="16"/>
                <w:lang w:val="de-DE" w:eastAsia="es-ES"/>
              </w:rPr>
              <w:t xml:space="preserve">ten, </w:t>
            </w:r>
            <w:r>
              <w:rPr>
                <w:rFonts w:ascii="Segoe UI" w:eastAsia="Times New Roman" w:hAnsi="Segoe UI" w:cs="Segoe UI"/>
                <w:i/>
                <w:iCs/>
                <w:color w:val="000000"/>
                <w:sz w:val="16"/>
                <w:szCs w:val="16"/>
                <w:lang w:val="de-DE" w:eastAsia="es-ES"/>
              </w:rPr>
              <w:t>Beschränkung von Weiterübermittlungen und zusätzliche Sicherheitsmaßnahmen zählen</w:t>
            </w:r>
            <w:r>
              <w:rPr>
                <w:rFonts w:ascii="Segoe UI" w:eastAsia="Times New Roman" w:hAnsi="Segoe UI" w:cs="Segoe UI"/>
                <w:color w:val="000000"/>
                <w:sz w:val="16"/>
                <w:szCs w:val="16"/>
                <w:lang w:val="de-DE" w:eastAsia="es-ES"/>
              </w:rPr>
              <w:br/>
              <w:t>Die verarbeiteten personenbezogenen Daten umfassen</w:t>
            </w:r>
            <w:r w:rsidRPr="006E3924">
              <w:rPr>
                <w:rFonts w:ascii="Segoe UI" w:eastAsia="Times New Roman" w:hAnsi="Segoe UI" w:cs="Segoe UI"/>
                <w:color w:val="000000"/>
                <w:sz w:val="16"/>
                <w:szCs w:val="16"/>
                <w:lang w:val="de-DE" w:eastAsia="es-ES"/>
              </w:rPr>
              <w:t xml:space="preserve"> </w:t>
            </w:r>
            <w:r>
              <w:rPr>
                <w:rFonts w:ascii="Segoe UI" w:eastAsia="Times New Roman" w:hAnsi="Segoe UI" w:cs="Segoe UI"/>
                <w:color w:val="000000"/>
                <w:sz w:val="16"/>
                <w:szCs w:val="16"/>
                <w:lang w:val="de-DE" w:eastAsia="es-ES"/>
              </w:rPr>
              <w:t>keine sensiblen personenbezogenen Daten, wie beispielsweise Angaben über rassische oder ethnische Herkunft,</w:t>
            </w:r>
            <w:r w:rsidRPr="006E3924">
              <w:rPr>
                <w:rFonts w:ascii="Segoe UI" w:eastAsia="Times New Roman" w:hAnsi="Segoe UI" w:cs="Segoe UI"/>
                <w:color w:val="000000"/>
                <w:sz w:val="16"/>
                <w:szCs w:val="16"/>
                <w:lang w:val="de-DE" w:eastAsia="es-ES"/>
              </w:rPr>
              <w:t xml:space="preserve"> politi</w:t>
            </w:r>
            <w:r>
              <w:rPr>
                <w:rFonts w:ascii="Segoe UI" w:eastAsia="Times New Roman" w:hAnsi="Segoe UI" w:cs="Segoe UI"/>
                <w:color w:val="000000"/>
                <w:sz w:val="16"/>
                <w:szCs w:val="16"/>
                <w:lang w:val="de-DE" w:eastAsia="es-ES"/>
              </w:rPr>
              <w:t>sche Ansichten</w:t>
            </w:r>
            <w:r w:rsidRPr="006E3924">
              <w:rPr>
                <w:rFonts w:ascii="Segoe UI" w:eastAsia="Times New Roman" w:hAnsi="Segoe UI" w:cs="Segoe UI"/>
                <w:color w:val="000000"/>
                <w:sz w:val="16"/>
                <w:szCs w:val="16"/>
                <w:lang w:val="de-DE" w:eastAsia="es-ES"/>
              </w:rPr>
              <w:t xml:space="preserve">, </w:t>
            </w:r>
            <w:r>
              <w:rPr>
                <w:rFonts w:ascii="Segoe UI" w:eastAsia="Times New Roman" w:hAnsi="Segoe UI" w:cs="Segoe UI"/>
                <w:color w:val="000000"/>
                <w:sz w:val="16"/>
                <w:szCs w:val="16"/>
                <w:lang w:val="de-DE" w:eastAsia="es-ES"/>
              </w:rPr>
              <w:t>religiöse oder philosophische Anschauungen, Gewerkschaftsmitgliedschaft</w:t>
            </w:r>
            <w:r w:rsidRPr="006E3924">
              <w:rPr>
                <w:rFonts w:ascii="Segoe UI" w:eastAsia="Times New Roman" w:hAnsi="Segoe UI" w:cs="Segoe UI"/>
                <w:color w:val="000000"/>
                <w:sz w:val="16"/>
                <w:szCs w:val="16"/>
                <w:lang w:val="de-DE" w:eastAsia="es-ES"/>
              </w:rPr>
              <w:t xml:space="preserve">, </w:t>
            </w:r>
            <w:r>
              <w:rPr>
                <w:rFonts w:ascii="Segoe UI" w:eastAsia="Times New Roman" w:hAnsi="Segoe UI" w:cs="Segoe UI"/>
                <w:color w:val="000000"/>
                <w:sz w:val="16"/>
                <w:szCs w:val="16"/>
                <w:lang w:val="de-DE" w:eastAsia="es-ES"/>
              </w:rPr>
              <w:t>Sexualleben</w:t>
            </w:r>
            <w:r w:rsidRPr="006E3924">
              <w:rPr>
                <w:rFonts w:ascii="Segoe UI" w:eastAsia="Times New Roman" w:hAnsi="Segoe UI" w:cs="Segoe UI"/>
                <w:color w:val="000000"/>
                <w:sz w:val="16"/>
                <w:szCs w:val="16"/>
                <w:lang w:val="de-DE" w:eastAsia="es-ES"/>
              </w:rPr>
              <w:t xml:space="preserve">, </w:t>
            </w:r>
            <w:r>
              <w:rPr>
                <w:rFonts w:ascii="Segoe UI" w:eastAsia="Times New Roman" w:hAnsi="Segoe UI" w:cs="Segoe UI"/>
                <w:color w:val="000000"/>
                <w:sz w:val="16"/>
                <w:szCs w:val="16"/>
                <w:lang w:val="de-DE" w:eastAsia="es-ES"/>
              </w:rPr>
              <w:t>amtlich vergebene  Identifikationsnummern, Kreditkarteninformationen</w:t>
            </w:r>
            <w:r w:rsidRPr="006E3924">
              <w:rPr>
                <w:rFonts w:ascii="Segoe UI" w:eastAsia="Times New Roman" w:hAnsi="Segoe UI" w:cs="Segoe UI"/>
                <w:color w:val="000000"/>
                <w:sz w:val="16"/>
                <w:szCs w:val="16"/>
                <w:lang w:val="de-DE" w:eastAsia="es-ES"/>
              </w:rPr>
              <w:t>, PCI-</w:t>
            </w:r>
            <w:r>
              <w:rPr>
                <w:rFonts w:ascii="Segoe UI" w:eastAsia="Times New Roman" w:hAnsi="Segoe UI" w:cs="Segoe UI"/>
                <w:color w:val="000000"/>
                <w:sz w:val="16"/>
                <w:szCs w:val="16"/>
                <w:lang w:val="de-DE" w:eastAsia="es-ES"/>
              </w:rPr>
              <w:t>bezogene personenbezogene Daten</w:t>
            </w:r>
            <w:r w:rsidRPr="006E3924">
              <w:rPr>
                <w:rFonts w:ascii="Segoe UI" w:eastAsia="Times New Roman" w:hAnsi="Segoe UI" w:cs="Segoe UI"/>
                <w:color w:val="000000"/>
                <w:sz w:val="16"/>
                <w:szCs w:val="16"/>
                <w:lang w:val="de-DE" w:eastAsia="es-ES"/>
              </w:rPr>
              <w:t xml:space="preserve"> (</w:t>
            </w:r>
            <w:r>
              <w:rPr>
                <w:rFonts w:ascii="Segoe UI" w:eastAsia="Times New Roman" w:hAnsi="Segoe UI" w:cs="Segoe UI"/>
                <w:color w:val="000000"/>
                <w:sz w:val="16"/>
                <w:szCs w:val="16"/>
                <w:lang w:val="de-DE" w:eastAsia="es-ES"/>
              </w:rPr>
              <w:t xml:space="preserve">wozu unter anderem Magnetstreifen- und Chipdaten, </w:t>
            </w:r>
            <w:r w:rsidRPr="006E3924">
              <w:rPr>
                <w:rFonts w:ascii="Segoe UI" w:eastAsia="Times New Roman" w:hAnsi="Segoe UI" w:cs="Segoe UI"/>
                <w:color w:val="000000"/>
                <w:sz w:val="16"/>
                <w:szCs w:val="16"/>
                <w:lang w:val="de-DE" w:eastAsia="es-ES"/>
              </w:rPr>
              <w:t>CAV2</w:t>
            </w:r>
            <w:r>
              <w:rPr>
                <w:rFonts w:ascii="Segoe UI" w:eastAsia="Times New Roman" w:hAnsi="Segoe UI" w:cs="Segoe UI"/>
                <w:color w:val="000000"/>
                <w:sz w:val="16"/>
                <w:szCs w:val="16"/>
                <w:lang w:val="de-DE" w:eastAsia="es-ES"/>
              </w:rPr>
              <w:t>-</w:t>
            </w:r>
            <w:r w:rsidRPr="006E3924">
              <w:rPr>
                <w:rFonts w:ascii="Segoe UI" w:eastAsia="Times New Roman" w:hAnsi="Segoe UI" w:cs="Segoe UI"/>
                <w:color w:val="000000"/>
                <w:sz w:val="16"/>
                <w:szCs w:val="16"/>
                <w:lang w:val="de-DE" w:eastAsia="es-ES"/>
              </w:rPr>
              <w:t>/CVC2</w:t>
            </w:r>
            <w:r>
              <w:rPr>
                <w:rFonts w:ascii="Segoe UI" w:eastAsia="Times New Roman" w:hAnsi="Segoe UI" w:cs="Segoe UI"/>
                <w:color w:val="000000"/>
                <w:sz w:val="16"/>
                <w:szCs w:val="16"/>
                <w:lang w:val="de-DE" w:eastAsia="es-ES"/>
              </w:rPr>
              <w:t>-</w:t>
            </w:r>
            <w:r w:rsidRPr="006E3924">
              <w:rPr>
                <w:rFonts w:ascii="Segoe UI" w:eastAsia="Times New Roman" w:hAnsi="Segoe UI" w:cs="Segoe UI"/>
                <w:color w:val="000000"/>
                <w:sz w:val="16"/>
                <w:szCs w:val="16"/>
                <w:lang w:val="de-DE" w:eastAsia="es-ES"/>
              </w:rPr>
              <w:t>/CVV2</w:t>
            </w:r>
            <w:r>
              <w:rPr>
                <w:rFonts w:ascii="Segoe UI" w:eastAsia="Times New Roman" w:hAnsi="Segoe UI" w:cs="Segoe UI"/>
                <w:color w:val="000000"/>
                <w:sz w:val="16"/>
                <w:szCs w:val="16"/>
                <w:lang w:val="de-DE" w:eastAsia="es-ES"/>
              </w:rPr>
              <w:t>-</w:t>
            </w:r>
            <w:r w:rsidRPr="006E3924">
              <w:rPr>
                <w:rFonts w:ascii="Segoe UI" w:eastAsia="Times New Roman" w:hAnsi="Segoe UI" w:cs="Segoe UI"/>
                <w:color w:val="000000"/>
                <w:sz w:val="16"/>
                <w:szCs w:val="16"/>
                <w:lang w:val="de-DE" w:eastAsia="es-ES"/>
              </w:rPr>
              <w:t>/CID4</w:t>
            </w:r>
            <w:r>
              <w:rPr>
                <w:rFonts w:ascii="Segoe UI" w:eastAsia="Times New Roman" w:hAnsi="Segoe UI" w:cs="Segoe UI"/>
                <w:color w:val="000000"/>
                <w:sz w:val="16"/>
                <w:szCs w:val="16"/>
                <w:lang w:val="de-DE" w:eastAsia="es-ES"/>
              </w:rPr>
              <w:t>-Nummern und persönliche Kennnummern</w:t>
            </w:r>
            <w:r w:rsidRPr="006E3924">
              <w:rPr>
                <w:rFonts w:ascii="Segoe UI" w:eastAsia="Times New Roman" w:hAnsi="Segoe UI" w:cs="Segoe UI"/>
                <w:color w:val="000000"/>
                <w:sz w:val="16"/>
                <w:szCs w:val="16"/>
                <w:lang w:val="de-DE" w:eastAsia="es-ES"/>
              </w:rPr>
              <w:t xml:space="preserve"> (PINs)</w:t>
            </w:r>
            <w:r>
              <w:rPr>
                <w:rFonts w:ascii="Segoe UI" w:eastAsia="Times New Roman" w:hAnsi="Segoe UI" w:cs="Segoe UI"/>
                <w:color w:val="000000"/>
                <w:sz w:val="16"/>
                <w:szCs w:val="16"/>
                <w:lang w:val="de-DE" w:eastAsia="es-ES"/>
              </w:rPr>
              <w:t xml:space="preserve"> zählen</w:t>
            </w:r>
            <w:r w:rsidRPr="006E3924">
              <w:rPr>
                <w:rFonts w:ascii="Segoe UI" w:eastAsia="Times New Roman" w:hAnsi="Segoe UI" w:cs="Segoe UI"/>
                <w:color w:val="000000"/>
                <w:sz w:val="16"/>
                <w:szCs w:val="16"/>
                <w:lang w:val="de-DE" w:eastAsia="es-ES"/>
              </w:rPr>
              <w:t xml:space="preserve">), </w:t>
            </w:r>
            <w:r>
              <w:rPr>
                <w:rFonts w:ascii="Segoe UI" w:eastAsia="Times New Roman" w:hAnsi="Segoe UI" w:cs="Segoe UI"/>
                <w:color w:val="000000"/>
                <w:sz w:val="16"/>
                <w:szCs w:val="16"/>
                <w:lang w:val="de-DE" w:eastAsia="es-ES"/>
              </w:rPr>
              <w:t>gesundheitliche oder medizinische Unterlagen sowie Vorstrafen</w:t>
            </w:r>
            <w:r w:rsidRPr="006E3924">
              <w:rPr>
                <w:rFonts w:ascii="Segoe UI" w:eastAsia="Times New Roman" w:hAnsi="Segoe UI" w:cs="Segoe UI"/>
                <w:color w:val="000000"/>
                <w:sz w:val="16"/>
                <w:szCs w:val="16"/>
                <w:lang w:val="de-DE" w:eastAsia="es-ES"/>
              </w:rPr>
              <w:t xml:space="preserve">. </w:t>
            </w:r>
          </w:p>
        </w:tc>
      </w:tr>
      <w:tr w:rsidR="00B17F4C" w14:paraId="0DE5D91E" w14:textId="77777777" w:rsidTr="007C19F7">
        <w:trPr>
          <w:trHeight w:val="32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5C1E350B" w14:textId="77777777" w:rsidR="00B17F4C" w:rsidRPr="00592C80" w:rsidRDefault="00B17F4C" w:rsidP="007C19F7">
            <w:pPr>
              <w:spacing w:after="0" w:line="240" w:lineRule="auto"/>
              <w:rPr>
                <w:rFonts w:ascii="Segoe UI" w:eastAsia="Times New Roman" w:hAnsi="Segoe UI" w:cs="Segoe UI"/>
                <w:color w:val="000000"/>
                <w:sz w:val="16"/>
                <w:szCs w:val="16"/>
                <w:lang w:val="de-DE" w:eastAsia="es-ES"/>
              </w:rPr>
            </w:pPr>
            <w:r w:rsidRPr="00592C80">
              <w:rPr>
                <w:rFonts w:ascii="Segoe UI" w:eastAsia="Times New Roman" w:hAnsi="Segoe UI" w:cs="Segoe UI"/>
                <w:b/>
                <w:bCs/>
                <w:color w:val="000000"/>
                <w:sz w:val="16"/>
                <w:szCs w:val="16"/>
                <w:lang w:val="de-DE" w:eastAsia="es-ES"/>
              </w:rPr>
              <w:t>Häufigkeit der Übermittlung</w:t>
            </w:r>
            <w:r w:rsidRPr="00592C80">
              <w:rPr>
                <w:rFonts w:ascii="Segoe UI" w:eastAsia="Times New Roman" w:hAnsi="Segoe UI" w:cs="Segoe UI"/>
                <w:color w:val="000000"/>
                <w:sz w:val="16"/>
                <w:szCs w:val="16"/>
                <w:lang w:val="de-DE" w:eastAsia="es-ES"/>
              </w:rPr>
              <w:t xml:space="preserve"> </w:t>
            </w:r>
            <w:r w:rsidRPr="00592C80">
              <w:rPr>
                <w:rFonts w:ascii="Segoe UI" w:eastAsia="Times New Roman" w:hAnsi="Segoe UI" w:cs="Segoe UI"/>
                <w:i/>
                <w:iCs/>
                <w:color w:val="000000"/>
                <w:sz w:val="16"/>
                <w:szCs w:val="16"/>
                <w:lang w:val="de-DE" w:eastAsia="es-ES"/>
              </w:rPr>
              <w:t>(beispielsweise ob Daten einmalig oder fortlaufend übermittelt werden)</w:t>
            </w:r>
            <w:r>
              <w:rPr>
                <w:rFonts w:ascii="Segoe UI" w:eastAsia="Times New Roman" w:hAnsi="Segoe UI" w:cs="Segoe UI"/>
                <w:color w:val="000000"/>
                <w:sz w:val="16"/>
                <w:szCs w:val="16"/>
                <w:lang w:val="de-DE" w:eastAsia="es-ES"/>
              </w:rPr>
              <w:br/>
              <w:t xml:space="preserve">Fortlaufende Übermittlung </w:t>
            </w:r>
            <w:proofErr w:type="gramStart"/>
            <w:r>
              <w:rPr>
                <w:rFonts w:ascii="Segoe UI" w:eastAsia="Times New Roman" w:hAnsi="Segoe UI" w:cs="Segoe UI"/>
                <w:color w:val="000000"/>
                <w:sz w:val="16"/>
                <w:szCs w:val="16"/>
                <w:lang w:val="de-DE" w:eastAsia="es-ES"/>
              </w:rPr>
              <w:t>während die Dienste</w:t>
            </w:r>
            <w:proofErr w:type="gramEnd"/>
            <w:r>
              <w:rPr>
                <w:rFonts w:ascii="Segoe UI" w:eastAsia="Times New Roman" w:hAnsi="Segoe UI" w:cs="Segoe UI"/>
                <w:color w:val="000000"/>
                <w:sz w:val="16"/>
                <w:szCs w:val="16"/>
                <w:lang w:val="de-DE" w:eastAsia="es-ES"/>
              </w:rPr>
              <w:t xml:space="preserve"> zur Verfügung gestellt werden und das Gerät genutzt wird</w:t>
            </w:r>
            <w:r w:rsidRPr="00592C80">
              <w:rPr>
                <w:rFonts w:ascii="Segoe UI" w:eastAsia="Times New Roman" w:hAnsi="Segoe UI" w:cs="Segoe UI"/>
                <w:color w:val="000000"/>
                <w:sz w:val="16"/>
                <w:szCs w:val="16"/>
                <w:lang w:val="de-DE" w:eastAsia="es-ES"/>
              </w:rPr>
              <w:t>.</w:t>
            </w:r>
          </w:p>
        </w:tc>
      </w:tr>
      <w:tr w:rsidR="00B17F4C" w14:paraId="7D5EF778" w14:textId="77777777" w:rsidTr="007C19F7">
        <w:trPr>
          <w:trHeight w:val="47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45C6F983" w14:textId="77777777" w:rsidR="00B17F4C" w:rsidRPr="00592C80" w:rsidRDefault="00B17F4C" w:rsidP="007C19F7">
            <w:pPr>
              <w:spacing w:after="0" w:line="240" w:lineRule="auto"/>
              <w:rPr>
                <w:rFonts w:ascii="Segoe UI" w:eastAsia="Times New Roman" w:hAnsi="Segoe UI" w:cs="Segoe UI"/>
                <w:color w:val="000000"/>
                <w:sz w:val="16"/>
                <w:szCs w:val="16"/>
                <w:lang w:val="de-DE" w:eastAsia="es-ES"/>
              </w:rPr>
            </w:pPr>
            <w:r w:rsidRPr="00592C80">
              <w:rPr>
                <w:rFonts w:ascii="Segoe UI" w:eastAsia="Times New Roman" w:hAnsi="Segoe UI" w:cs="Segoe UI"/>
                <w:b/>
                <w:bCs/>
                <w:color w:val="000000"/>
                <w:sz w:val="16"/>
                <w:szCs w:val="16"/>
                <w:lang w:val="de-DE" w:eastAsia="es-ES"/>
              </w:rPr>
              <w:t xml:space="preserve">Art der Verarbeitung </w:t>
            </w:r>
            <w:r w:rsidRPr="00592C80">
              <w:rPr>
                <w:rFonts w:ascii="Segoe UI" w:eastAsia="Times New Roman" w:hAnsi="Segoe UI" w:cs="Segoe UI"/>
                <w:color w:val="000000"/>
                <w:sz w:val="16"/>
                <w:szCs w:val="16"/>
                <w:lang w:val="de-DE" w:eastAsia="es-ES"/>
              </w:rPr>
              <w:br/>
              <w:t xml:space="preserve">In Bezug </w:t>
            </w:r>
            <w:proofErr w:type="gramStart"/>
            <w:r w:rsidRPr="00592C80">
              <w:rPr>
                <w:rFonts w:ascii="Segoe UI" w:eastAsia="Times New Roman" w:hAnsi="Segoe UI" w:cs="Segoe UI"/>
                <w:color w:val="000000"/>
                <w:sz w:val="16"/>
                <w:szCs w:val="16"/>
                <w:lang w:val="de-DE" w:eastAsia="es-ES"/>
              </w:rPr>
              <w:t>auf die verarbeiteten personenbezogen Daten</w:t>
            </w:r>
            <w:proofErr w:type="gramEnd"/>
            <w:r w:rsidRPr="00592C80">
              <w:rPr>
                <w:rFonts w:ascii="Segoe UI" w:eastAsia="Times New Roman" w:hAnsi="Segoe UI" w:cs="Segoe UI"/>
                <w:color w:val="000000"/>
                <w:sz w:val="16"/>
                <w:szCs w:val="16"/>
                <w:lang w:val="de-DE" w:eastAsia="es-ES"/>
              </w:rPr>
              <w:t xml:space="preserve"> kommen folgende Verarbeitungsaktivitäten in Betracht: Erhebung, </w:t>
            </w:r>
            <w:r w:rsidRPr="00592C80">
              <w:rPr>
                <w:rFonts w:ascii="Segoe UI" w:hAnsi="Segoe UI" w:cs="Segoe UI"/>
                <w:sz w:val="16"/>
                <w:szCs w:val="16"/>
                <w:lang w:val="de-DE"/>
              </w:rPr>
              <w:t>Offenlegung durch Kommunikation und Abruf</w:t>
            </w:r>
            <w:r w:rsidRPr="0054561C">
              <w:rPr>
                <w:rFonts w:ascii="Segoe UI" w:hAnsi="Segoe UI" w:cs="Segoe UI"/>
                <w:sz w:val="18"/>
                <w:szCs w:val="18"/>
                <w:lang w:val="de-DE"/>
              </w:rPr>
              <w:t>.</w:t>
            </w:r>
            <w:r>
              <w:rPr>
                <w:rFonts w:ascii="Segoe UI" w:hAnsi="Segoe UI" w:cs="Segoe UI"/>
                <w:sz w:val="18"/>
                <w:szCs w:val="18"/>
                <w:lang w:val="de-DE"/>
              </w:rPr>
              <w:t xml:space="preserve"> </w:t>
            </w:r>
          </w:p>
        </w:tc>
      </w:tr>
      <w:tr w:rsidR="00B17F4C" w14:paraId="62CD6AF6" w14:textId="77777777" w:rsidTr="007C19F7">
        <w:trPr>
          <w:trHeight w:val="37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3F48B17A" w14:textId="77777777" w:rsidR="00B17F4C" w:rsidRPr="00592C80" w:rsidRDefault="00B17F4C" w:rsidP="007C19F7">
            <w:pPr>
              <w:spacing w:after="0" w:line="240" w:lineRule="auto"/>
              <w:rPr>
                <w:rFonts w:ascii="Segoe UI" w:eastAsia="Times New Roman" w:hAnsi="Segoe UI" w:cs="Segoe UI"/>
                <w:color w:val="000000"/>
                <w:sz w:val="16"/>
                <w:szCs w:val="16"/>
                <w:lang w:val="de-DE" w:eastAsia="es-ES"/>
              </w:rPr>
            </w:pPr>
            <w:r w:rsidRPr="00592C80">
              <w:rPr>
                <w:rFonts w:ascii="Segoe UI" w:eastAsia="Times New Roman" w:hAnsi="Segoe UI" w:cs="Segoe UI"/>
                <w:b/>
                <w:bCs/>
                <w:color w:val="000000"/>
                <w:sz w:val="16"/>
                <w:szCs w:val="16"/>
                <w:lang w:val="de-DE" w:eastAsia="es-ES"/>
              </w:rPr>
              <w:t xml:space="preserve">Zweck(e) der Datenübermittlung </w:t>
            </w:r>
            <w:r w:rsidRPr="00592C80">
              <w:rPr>
                <w:rFonts w:ascii="Segoe UI" w:eastAsia="Times New Roman" w:hAnsi="Segoe UI" w:cs="Segoe UI"/>
                <w:i/>
                <w:iCs/>
                <w:color w:val="000000"/>
                <w:sz w:val="16"/>
                <w:szCs w:val="16"/>
                <w:lang w:val="de-DE" w:eastAsia="es-ES"/>
              </w:rPr>
              <w:t>und weitere Verarbeitung</w:t>
            </w:r>
            <w:r w:rsidRPr="00592C80">
              <w:rPr>
                <w:rFonts w:ascii="Segoe UI" w:eastAsia="Times New Roman" w:hAnsi="Segoe UI" w:cs="Segoe UI"/>
                <w:i/>
                <w:iCs/>
                <w:color w:val="000000"/>
                <w:sz w:val="16"/>
                <w:szCs w:val="16"/>
                <w:lang w:val="de-DE" w:eastAsia="es-ES"/>
              </w:rPr>
              <w:br/>
            </w:r>
            <w:r w:rsidRPr="00592C80">
              <w:rPr>
                <w:rFonts w:ascii="Segoe UI" w:eastAsia="Times New Roman" w:hAnsi="Segoe UI" w:cs="Segoe UI"/>
                <w:color w:val="000000"/>
                <w:sz w:val="16"/>
                <w:szCs w:val="16"/>
                <w:lang w:val="de-DE" w:eastAsia="es-ES"/>
              </w:rPr>
              <w:t>Personenbezogene Daten werden für die Zwecke verarbeitet, die in der Vereinbarung über Datenverarbeitung bezeichnet sind (</w:t>
            </w:r>
            <w:r>
              <w:rPr>
                <w:rFonts w:ascii="Segoe UI" w:eastAsia="Times New Roman" w:hAnsi="Segoe UI" w:cs="Segoe UI"/>
                <w:color w:val="000000"/>
                <w:sz w:val="16"/>
                <w:szCs w:val="16"/>
                <w:lang w:val="de-DE" w:eastAsia="es-ES"/>
              </w:rPr>
              <w:t>die „zulässigen Zwecke</w:t>
            </w:r>
            <w:r w:rsidRPr="00592C80">
              <w:rPr>
                <w:rFonts w:ascii="Segoe UI" w:eastAsia="Times New Roman" w:hAnsi="Segoe UI" w:cs="Segoe UI"/>
                <w:color w:val="000000"/>
                <w:sz w:val="16"/>
                <w:szCs w:val="16"/>
                <w:lang w:val="de-DE" w:eastAsia="es-ES"/>
              </w:rPr>
              <w:t>”).</w:t>
            </w:r>
          </w:p>
        </w:tc>
      </w:tr>
      <w:tr w:rsidR="00B17F4C" w14:paraId="3161EF30" w14:textId="77777777" w:rsidTr="007C19F7">
        <w:trPr>
          <w:trHeight w:val="43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7D8D50CE" w14:textId="77777777" w:rsidR="00B17F4C" w:rsidRPr="00592C80" w:rsidRDefault="00B17F4C" w:rsidP="007C19F7">
            <w:pPr>
              <w:spacing w:after="0" w:line="240" w:lineRule="auto"/>
              <w:rPr>
                <w:rFonts w:ascii="Segoe UI" w:eastAsia="Times New Roman" w:hAnsi="Segoe UI" w:cs="Segoe UI"/>
                <w:color w:val="000000"/>
                <w:sz w:val="16"/>
                <w:szCs w:val="16"/>
                <w:lang w:val="de-DE" w:eastAsia="es-ES"/>
              </w:rPr>
            </w:pPr>
            <w:r w:rsidRPr="00592C80">
              <w:rPr>
                <w:rFonts w:ascii="Segoe UI" w:eastAsia="Times New Roman" w:hAnsi="Segoe UI" w:cs="Segoe UI"/>
                <w:b/>
                <w:bCs/>
                <w:color w:val="000000"/>
                <w:sz w:val="16"/>
                <w:szCs w:val="16"/>
                <w:lang w:val="de-DE" w:eastAsia="es-ES"/>
              </w:rPr>
              <w:t>Zeitraum der Aufbewahrung personenbezogener Daten</w:t>
            </w:r>
            <w:r w:rsidRPr="00592C80">
              <w:rPr>
                <w:rFonts w:ascii="Segoe UI" w:eastAsia="Times New Roman" w:hAnsi="Segoe UI" w:cs="Segoe UI"/>
                <w:color w:val="000000"/>
                <w:sz w:val="16"/>
                <w:szCs w:val="16"/>
                <w:lang w:val="de-DE" w:eastAsia="es-ES"/>
              </w:rPr>
              <w:t xml:space="preserve"> </w:t>
            </w:r>
            <w:r w:rsidRPr="00592C80">
              <w:rPr>
                <w:rFonts w:ascii="Segoe UI" w:eastAsia="Times New Roman" w:hAnsi="Segoe UI" w:cs="Segoe UI"/>
                <w:i/>
                <w:iCs/>
                <w:color w:val="000000"/>
                <w:sz w:val="16"/>
                <w:szCs w:val="16"/>
                <w:lang w:val="de-DE" w:eastAsia="es-ES"/>
              </w:rPr>
              <w:t xml:space="preserve">oder, falls dieser nicht festgelegt ist, die Kriterien für die Festlegung </w:t>
            </w:r>
            <w:r>
              <w:rPr>
                <w:rFonts w:ascii="Segoe UI" w:eastAsia="Times New Roman" w:hAnsi="Segoe UI" w:cs="Segoe UI"/>
                <w:i/>
                <w:iCs/>
                <w:color w:val="000000"/>
                <w:sz w:val="16"/>
                <w:szCs w:val="16"/>
                <w:lang w:val="de-DE" w:eastAsia="es-ES"/>
              </w:rPr>
              <w:t>eines solchen</w:t>
            </w:r>
            <w:r w:rsidRPr="00592C80">
              <w:rPr>
                <w:rFonts w:ascii="Segoe UI" w:eastAsia="Times New Roman" w:hAnsi="Segoe UI" w:cs="Segoe UI"/>
                <w:i/>
                <w:iCs/>
                <w:color w:val="000000"/>
                <w:sz w:val="16"/>
                <w:szCs w:val="16"/>
                <w:lang w:val="de-DE" w:eastAsia="es-ES"/>
              </w:rPr>
              <w:t xml:space="preserve"> Zeitraums</w:t>
            </w:r>
            <w:r w:rsidRPr="00592C80">
              <w:rPr>
                <w:rFonts w:ascii="Segoe UI" w:eastAsia="Times New Roman" w:hAnsi="Segoe UI" w:cs="Segoe UI"/>
                <w:color w:val="000000"/>
                <w:sz w:val="16"/>
                <w:szCs w:val="16"/>
                <w:lang w:val="de-DE" w:eastAsia="es-ES"/>
              </w:rPr>
              <w:br/>
              <w:t xml:space="preserve">Die personenbezogenen Daten können während der Geltungsdauer des Vertrags mit </w:t>
            </w:r>
            <w:proofErr w:type="spellStart"/>
            <w:r w:rsidRPr="00592C80">
              <w:rPr>
                <w:rFonts w:ascii="Segoe UI" w:eastAsia="Times New Roman" w:hAnsi="Segoe UI" w:cs="Segoe UI"/>
                <w:color w:val="000000"/>
                <w:sz w:val="16"/>
                <w:szCs w:val="16"/>
                <w:lang w:val="de-DE" w:eastAsia="es-ES"/>
              </w:rPr>
              <w:t>Hydrafacial</w:t>
            </w:r>
            <w:proofErr w:type="spellEnd"/>
            <w:r w:rsidRPr="00592C80">
              <w:rPr>
                <w:rFonts w:ascii="Segoe UI" w:eastAsia="Times New Roman" w:hAnsi="Segoe UI" w:cs="Segoe UI"/>
                <w:color w:val="000000"/>
                <w:sz w:val="16"/>
                <w:szCs w:val="16"/>
                <w:lang w:val="de-DE" w:eastAsia="es-ES"/>
              </w:rPr>
              <w:t xml:space="preserve"> Device Services, sowie der zusätzlichen Zeiträume, die kraft Gesetzes einzuhalten sind, verarbeitet werden.</w:t>
            </w:r>
          </w:p>
        </w:tc>
      </w:tr>
      <w:tr w:rsidR="00B17F4C" w:rsidRPr="00B17F4C" w14:paraId="50395160" w14:textId="77777777" w:rsidTr="007C19F7">
        <w:trPr>
          <w:trHeight w:val="354"/>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1521E420" w14:textId="77777777" w:rsidR="00B17F4C" w:rsidRPr="001952A9" w:rsidRDefault="00B17F4C" w:rsidP="007C19F7">
            <w:pPr>
              <w:spacing w:after="0" w:line="240" w:lineRule="auto"/>
              <w:rPr>
                <w:rFonts w:ascii="Segoe UI" w:eastAsia="Times New Roman" w:hAnsi="Segoe UI" w:cs="Segoe UI"/>
                <w:color w:val="000000"/>
                <w:sz w:val="16"/>
                <w:szCs w:val="16"/>
                <w:lang w:val="de-DE" w:eastAsia="es-ES"/>
              </w:rPr>
            </w:pPr>
            <w:r w:rsidRPr="001952A9">
              <w:rPr>
                <w:rFonts w:ascii="Segoe UI" w:eastAsia="Times New Roman" w:hAnsi="Segoe UI" w:cs="Segoe UI"/>
                <w:b/>
                <w:bCs/>
                <w:color w:val="000000"/>
                <w:sz w:val="16"/>
                <w:szCs w:val="16"/>
                <w:lang w:val="de-DE" w:eastAsia="es-ES"/>
              </w:rPr>
              <w:t>Übermittlungen an (Unter-) Auftragsverarbeiter</w:t>
            </w:r>
            <w:r w:rsidRPr="001952A9">
              <w:rPr>
                <w:rFonts w:ascii="Segoe UI" w:eastAsia="Times New Roman" w:hAnsi="Segoe UI" w:cs="Segoe UI"/>
                <w:i/>
                <w:iCs/>
                <w:color w:val="000000"/>
                <w:sz w:val="16"/>
                <w:szCs w:val="16"/>
                <w:lang w:val="de-DE" w:eastAsia="es-ES"/>
              </w:rPr>
              <w:t xml:space="preserve"> sowie Gegenstand, Art und Dauer der Verarbeitung</w:t>
            </w:r>
            <w:r w:rsidRPr="001952A9">
              <w:rPr>
                <w:rFonts w:ascii="Segoe UI" w:eastAsia="Times New Roman" w:hAnsi="Segoe UI" w:cs="Segoe UI"/>
                <w:color w:val="000000"/>
                <w:sz w:val="16"/>
                <w:szCs w:val="16"/>
                <w:lang w:val="de-DE" w:eastAsia="es-ES"/>
              </w:rPr>
              <w:br/>
            </w:r>
            <w:r>
              <w:rPr>
                <w:rFonts w:ascii="Segoe UI" w:eastAsia="Times New Roman" w:hAnsi="Segoe UI" w:cs="Segoe UI"/>
                <w:color w:val="000000"/>
                <w:sz w:val="16"/>
                <w:szCs w:val="16"/>
                <w:lang w:val="de-DE" w:eastAsia="es-ES"/>
              </w:rPr>
              <w:t>Übermittlungen an Unterauftragsnehmer werden nicht stattfinden</w:t>
            </w:r>
            <w:r w:rsidRPr="001952A9">
              <w:rPr>
                <w:rFonts w:ascii="Segoe UI" w:eastAsia="Times New Roman" w:hAnsi="Segoe UI" w:cs="Segoe UI"/>
                <w:color w:val="000000"/>
                <w:sz w:val="16"/>
                <w:szCs w:val="16"/>
                <w:lang w:val="de-DE" w:eastAsia="es-ES"/>
              </w:rPr>
              <w:t xml:space="preserve">. </w:t>
            </w:r>
          </w:p>
        </w:tc>
      </w:tr>
    </w:tbl>
    <w:p w14:paraId="41F3C118" w14:textId="77777777" w:rsidR="00B17F4C" w:rsidRPr="001952A9" w:rsidRDefault="00B17F4C" w:rsidP="00B17F4C">
      <w:pPr>
        <w:ind w:right="-852"/>
        <w:jc w:val="both"/>
        <w:rPr>
          <w:rFonts w:ascii="Segoe UI" w:hAnsi="Segoe UI" w:cs="Segoe UI"/>
          <w:sz w:val="18"/>
          <w:szCs w:val="18"/>
          <w:lang w:val="de-DE"/>
        </w:rPr>
      </w:pPr>
    </w:p>
    <w:p w14:paraId="3F437ACE" w14:textId="77777777" w:rsidR="00B17F4C" w:rsidRPr="00885C20" w:rsidRDefault="00B17F4C" w:rsidP="00B17F4C">
      <w:pPr>
        <w:pStyle w:val="Prrafodelista"/>
        <w:numPr>
          <w:ilvl w:val="0"/>
          <w:numId w:val="5"/>
        </w:numPr>
        <w:ind w:left="-426" w:right="-852"/>
        <w:jc w:val="both"/>
        <w:rPr>
          <w:rFonts w:ascii="Segoe UI" w:hAnsi="Segoe UI" w:cs="Segoe UI"/>
          <w:sz w:val="20"/>
          <w:szCs w:val="20"/>
          <w:lang w:val="en-US"/>
        </w:rPr>
      </w:pPr>
      <w:proofErr w:type="spellStart"/>
      <w:r>
        <w:rPr>
          <w:rFonts w:ascii="Segoe UI" w:hAnsi="Segoe UI" w:cs="Segoe UI"/>
          <w:sz w:val="20"/>
          <w:szCs w:val="20"/>
          <w:lang w:val="en-US"/>
        </w:rPr>
        <w:lastRenderedPageBreak/>
        <w:t>Zuständige</w:t>
      </w:r>
      <w:proofErr w:type="spellEnd"/>
      <w:r>
        <w:rPr>
          <w:rFonts w:ascii="Segoe UI" w:hAnsi="Segoe UI" w:cs="Segoe UI"/>
          <w:sz w:val="20"/>
          <w:szCs w:val="20"/>
          <w:lang w:val="en-US"/>
        </w:rPr>
        <w:t xml:space="preserve"> </w:t>
      </w:r>
      <w:proofErr w:type="spellStart"/>
      <w:r>
        <w:rPr>
          <w:rFonts w:ascii="Segoe UI" w:hAnsi="Segoe UI" w:cs="Segoe UI"/>
          <w:sz w:val="20"/>
          <w:szCs w:val="20"/>
          <w:lang w:val="en-US"/>
        </w:rPr>
        <w:t>Aufsichtsbehörde</w:t>
      </w:r>
      <w:proofErr w:type="spellEnd"/>
    </w:p>
    <w:p w14:paraId="1ACAF672" w14:textId="77777777" w:rsidR="00B17F4C" w:rsidRPr="00645A55" w:rsidRDefault="00B17F4C" w:rsidP="00B17F4C">
      <w:pPr>
        <w:ind w:left="-851" w:right="-852"/>
        <w:jc w:val="both"/>
        <w:rPr>
          <w:rFonts w:ascii="Segoe UI" w:hAnsi="Segoe UI" w:cs="Segoe UI"/>
          <w:sz w:val="18"/>
          <w:szCs w:val="18"/>
          <w:lang w:val="de-DE"/>
        </w:rPr>
      </w:pPr>
      <w:r w:rsidRPr="00645A55">
        <w:rPr>
          <w:rFonts w:ascii="Segoe UI" w:hAnsi="Segoe UI" w:cs="Segoe UI"/>
          <w:sz w:val="18"/>
          <w:szCs w:val="18"/>
          <w:lang w:val="de-DE"/>
        </w:rPr>
        <w:t>Dies ist die zuständige Aufsichtsbehörde in dem EU-Mitgliedstaat, der gemäß Ziffer 13 festgelegt wurde.</w:t>
      </w:r>
    </w:p>
    <w:p w14:paraId="775D436F" w14:textId="77777777" w:rsidR="00B17F4C" w:rsidRPr="00645A55" w:rsidRDefault="00B17F4C" w:rsidP="00B17F4C">
      <w:pPr>
        <w:pStyle w:val="Prrafodelista"/>
        <w:numPr>
          <w:ilvl w:val="0"/>
          <w:numId w:val="4"/>
        </w:numPr>
        <w:ind w:left="-567" w:right="-852"/>
        <w:jc w:val="both"/>
        <w:rPr>
          <w:rFonts w:ascii="Segoe UI" w:hAnsi="Segoe UI" w:cs="Segoe UI"/>
          <w:sz w:val="20"/>
          <w:szCs w:val="20"/>
          <w:lang w:val="de-DE"/>
        </w:rPr>
      </w:pPr>
      <w:r w:rsidRPr="00645A55">
        <w:rPr>
          <w:rFonts w:ascii="Segoe UI" w:hAnsi="Segoe UI" w:cs="Segoe UI"/>
          <w:sz w:val="20"/>
          <w:szCs w:val="20"/>
          <w:lang w:val="de-DE"/>
        </w:rPr>
        <w:t>Technische und organisatorische Maßnahmen, einschließlich der technischen und organisatorische</w:t>
      </w:r>
      <w:r>
        <w:rPr>
          <w:rFonts w:ascii="Segoe UI" w:hAnsi="Segoe UI" w:cs="Segoe UI"/>
          <w:sz w:val="20"/>
          <w:szCs w:val="20"/>
          <w:lang w:val="de-DE"/>
        </w:rPr>
        <w:t>n</w:t>
      </w:r>
      <w:r w:rsidRPr="00645A55">
        <w:rPr>
          <w:rFonts w:ascii="Segoe UI" w:hAnsi="Segoe UI" w:cs="Segoe UI"/>
          <w:sz w:val="20"/>
          <w:szCs w:val="20"/>
          <w:lang w:val="de-DE"/>
        </w:rPr>
        <w:t xml:space="preserve"> Maßnahmen</w:t>
      </w:r>
      <w:r>
        <w:rPr>
          <w:rFonts w:ascii="Segoe UI" w:hAnsi="Segoe UI" w:cs="Segoe UI"/>
          <w:sz w:val="20"/>
          <w:szCs w:val="20"/>
          <w:lang w:val="de-DE"/>
        </w:rPr>
        <w:t>, die der Datensicherheit dienen</w:t>
      </w:r>
      <w:r w:rsidRPr="00645A55">
        <w:rPr>
          <w:rFonts w:ascii="Segoe UI" w:hAnsi="Segoe UI" w:cs="Segoe UI"/>
          <w:sz w:val="20"/>
          <w:szCs w:val="20"/>
          <w:lang w:val="de-DE"/>
        </w:rPr>
        <w:t xml:space="preserve"> </w:t>
      </w:r>
    </w:p>
    <w:p w14:paraId="4FF0F93A" w14:textId="77777777" w:rsidR="00B17F4C" w:rsidRPr="00645A55" w:rsidRDefault="00B17F4C" w:rsidP="00B17F4C">
      <w:pPr>
        <w:ind w:left="-851" w:right="-852"/>
        <w:jc w:val="both"/>
        <w:rPr>
          <w:rFonts w:ascii="Segoe UI" w:hAnsi="Segoe UI" w:cs="Segoe UI"/>
          <w:sz w:val="18"/>
          <w:szCs w:val="18"/>
          <w:lang w:val="de-DE"/>
        </w:rPr>
      </w:pPr>
      <w:r w:rsidRPr="00645A55">
        <w:rPr>
          <w:rFonts w:ascii="Segoe UI" w:hAnsi="Segoe UI" w:cs="Segoe UI"/>
          <w:sz w:val="18"/>
          <w:szCs w:val="18"/>
          <w:lang w:val="de-DE"/>
        </w:rPr>
        <w:t xml:space="preserve">Unbeschadet der Sicherheitskontrollen, die gemäß der Vereinbarung über Datenverarbeitung auf die Dienste Anwendung finden, hat </w:t>
      </w:r>
      <w:proofErr w:type="spellStart"/>
      <w:r w:rsidRPr="00645A55">
        <w:rPr>
          <w:rFonts w:ascii="Segoe UI" w:hAnsi="Segoe UI" w:cs="Segoe UI"/>
          <w:sz w:val="18"/>
          <w:szCs w:val="18"/>
          <w:lang w:val="de-DE"/>
        </w:rPr>
        <w:t>Hydrafacial</w:t>
      </w:r>
      <w:proofErr w:type="spellEnd"/>
      <w:r w:rsidRPr="00645A55">
        <w:rPr>
          <w:rFonts w:ascii="Segoe UI" w:hAnsi="Segoe UI" w:cs="Segoe UI"/>
          <w:sz w:val="18"/>
          <w:szCs w:val="18"/>
          <w:lang w:val="de-DE"/>
        </w:rPr>
        <w:t xml:space="preserve"> </w:t>
      </w:r>
      <w:r>
        <w:rPr>
          <w:rFonts w:ascii="Segoe UI" w:hAnsi="Segoe UI" w:cs="Segoe UI"/>
          <w:sz w:val="18"/>
          <w:szCs w:val="18"/>
          <w:lang w:val="de-DE"/>
        </w:rPr>
        <w:t>die folgenden ergänzenden Maßnahmen eingeführt, die sich an den unverbindlichen Leitlinien des Europäischen Datenschutzausschusses (EDSA) orientieren</w:t>
      </w:r>
      <w:r w:rsidRPr="00645A55">
        <w:rPr>
          <w:rFonts w:ascii="Segoe UI" w:hAnsi="Segoe UI" w:cs="Segoe UI"/>
          <w:sz w:val="18"/>
          <w:szCs w:val="18"/>
          <w:lang w:val="de-DE"/>
        </w:rPr>
        <w:t xml:space="preserve">: </w:t>
      </w:r>
    </w:p>
    <w:p w14:paraId="6A96024E" w14:textId="77777777" w:rsidR="00B17F4C" w:rsidRPr="00105A0B" w:rsidRDefault="00B17F4C" w:rsidP="00B17F4C">
      <w:pPr>
        <w:ind w:left="-851" w:right="-852"/>
        <w:jc w:val="both"/>
        <w:rPr>
          <w:rFonts w:ascii="Segoe UI" w:hAnsi="Segoe UI" w:cs="Segoe UI"/>
          <w:sz w:val="18"/>
          <w:szCs w:val="18"/>
          <w:u w:val="single"/>
          <w:lang w:val="en-US"/>
        </w:rPr>
      </w:pPr>
      <w:proofErr w:type="spellStart"/>
      <w:r w:rsidRPr="00105A0B">
        <w:rPr>
          <w:rFonts w:ascii="Segoe UI" w:hAnsi="Segoe UI" w:cs="Segoe UI"/>
          <w:sz w:val="18"/>
          <w:szCs w:val="18"/>
          <w:u w:val="single"/>
          <w:lang w:val="en-US"/>
        </w:rPr>
        <w:t>Techni</w:t>
      </w:r>
      <w:r>
        <w:rPr>
          <w:rFonts w:ascii="Segoe UI" w:hAnsi="Segoe UI" w:cs="Segoe UI"/>
          <w:sz w:val="18"/>
          <w:szCs w:val="18"/>
          <w:u w:val="single"/>
          <w:lang w:val="en-US"/>
        </w:rPr>
        <w:t>s</w:t>
      </w:r>
      <w:r w:rsidRPr="00105A0B">
        <w:rPr>
          <w:rFonts w:ascii="Segoe UI" w:hAnsi="Segoe UI" w:cs="Segoe UI"/>
          <w:sz w:val="18"/>
          <w:szCs w:val="18"/>
          <w:u w:val="single"/>
          <w:lang w:val="en-US"/>
        </w:rPr>
        <w:t>c</w:t>
      </w:r>
      <w:r>
        <w:rPr>
          <w:rFonts w:ascii="Segoe UI" w:hAnsi="Segoe UI" w:cs="Segoe UI"/>
          <w:sz w:val="18"/>
          <w:szCs w:val="18"/>
          <w:u w:val="single"/>
          <w:lang w:val="en-US"/>
        </w:rPr>
        <w:t>he</w:t>
      </w:r>
      <w:proofErr w:type="spellEnd"/>
      <w:r>
        <w:rPr>
          <w:rFonts w:ascii="Segoe UI" w:hAnsi="Segoe UI" w:cs="Segoe UI"/>
          <w:sz w:val="18"/>
          <w:szCs w:val="18"/>
          <w:u w:val="single"/>
          <w:lang w:val="en-US"/>
        </w:rPr>
        <w:t xml:space="preserve"> </w:t>
      </w:r>
      <w:proofErr w:type="spellStart"/>
      <w:r w:rsidRPr="00105A0B">
        <w:rPr>
          <w:rFonts w:ascii="Segoe UI" w:hAnsi="Segoe UI" w:cs="Segoe UI"/>
          <w:sz w:val="18"/>
          <w:szCs w:val="18"/>
          <w:u w:val="single"/>
          <w:lang w:val="en-US"/>
        </w:rPr>
        <w:t>Ma</w:t>
      </w:r>
      <w:r>
        <w:rPr>
          <w:rFonts w:ascii="Segoe UI" w:hAnsi="Segoe UI" w:cs="Segoe UI"/>
          <w:sz w:val="18"/>
          <w:szCs w:val="18"/>
          <w:u w:val="single"/>
          <w:lang w:val="en-US"/>
        </w:rPr>
        <w:t>ßnahm</w:t>
      </w:r>
      <w:r w:rsidRPr="00105A0B">
        <w:rPr>
          <w:rFonts w:ascii="Segoe UI" w:hAnsi="Segoe UI" w:cs="Segoe UI"/>
          <w:sz w:val="18"/>
          <w:szCs w:val="18"/>
          <w:u w:val="single"/>
          <w:lang w:val="en-US"/>
        </w:rPr>
        <w:t>e</w:t>
      </w:r>
      <w:r>
        <w:rPr>
          <w:rFonts w:ascii="Segoe UI" w:hAnsi="Segoe UI" w:cs="Segoe UI"/>
          <w:sz w:val="18"/>
          <w:szCs w:val="18"/>
          <w:u w:val="single"/>
          <w:lang w:val="en-US"/>
        </w:rPr>
        <w:t>n</w:t>
      </w:r>
      <w:proofErr w:type="spellEnd"/>
      <w:r w:rsidRPr="00105A0B">
        <w:rPr>
          <w:rFonts w:ascii="Segoe UI" w:hAnsi="Segoe UI" w:cs="Segoe UI"/>
          <w:sz w:val="18"/>
          <w:szCs w:val="18"/>
          <w:u w:val="single"/>
          <w:lang w:val="en-US"/>
        </w:rPr>
        <w:t xml:space="preserve"> </w:t>
      </w:r>
    </w:p>
    <w:p w14:paraId="17E35B2E" w14:textId="77777777" w:rsidR="00B17F4C" w:rsidRPr="00645A55" w:rsidRDefault="00B17F4C" w:rsidP="00B17F4C">
      <w:pPr>
        <w:pStyle w:val="Prrafodelista"/>
        <w:numPr>
          <w:ilvl w:val="0"/>
          <w:numId w:val="2"/>
        </w:numPr>
        <w:ind w:left="-426" w:right="-852"/>
        <w:jc w:val="both"/>
        <w:rPr>
          <w:rFonts w:ascii="Segoe UI" w:hAnsi="Segoe UI" w:cs="Segoe UI"/>
          <w:sz w:val="18"/>
          <w:szCs w:val="18"/>
          <w:lang w:val="de-DE"/>
        </w:rPr>
      </w:pPr>
      <w:proofErr w:type="spellStart"/>
      <w:r w:rsidRPr="00645A55">
        <w:rPr>
          <w:rFonts w:ascii="Segoe UI" w:hAnsi="Segoe UI" w:cs="Segoe UI"/>
          <w:sz w:val="18"/>
          <w:szCs w:val="18"/>
          <w:lang w:val="de-DE"/>
        </w:rPr>
        <w:t>Hydrafacial</w:t>
      </w:r>
      <w:proofErr w:type="spellEnd"/>
      <w:r w:rsidRPr="00645A55">
        <w:rPr>
          <w:rFonts w:ascii="Segoe UI" w:hAnsi="Segoe UI" w:cs="Segoe UI"/>
          <w:sz w:val="18"/>
          <w:szCs w:val="18"/>
          <w:lang w:val="de-DE"/>
        </w:rPr>
        <w:t xml:space="preserve"> verwendet eine durchgängige Verschlüsselung. </w:t>
      </w:r>
    </w:p>
    <w:p w14:paraId="082DBC52" w14:textId="77777777" w:rsidR="00B17F4C" w:rsidRPr="00645A55" w:rsidRDefault="00B17F4C" w:rsidP="00B17F4C">
      <w:pPr>
        <w:pStyle w:val="Prrafodelista"/>
        <w:numPr>
          <w:ilvl w:val="0"/>
          <w:numId w:val="2"/>
        </w:numPr>
        <w:ind w:left="-426" w:right="-852"/>
        <w:jc w:val="both"/>
        <w:rPr>
          <w:rFonts w:ascii="Segoe UI" w:hAnsi="Segoe UI" w:cs="Segoe UI"/>
          <w:sz w:val="18"/>
          <w:szCs w:val="18"/>
          <w:lang w:val="de-DE"/>
        </w:rPr>
      </w:pPr>
      <w:proofErr w:type="spellStart"/>
      <w:r w:rsidRPr="00645A55">
        <w:rPr>
          <w:rFonts w:ascii="Segoe UI" w:hAnsi="Segoe UI" w:cs="Segoe UI"/>
          <w:sz w:val="18"/>
          <w:szCs w:val="18"/>
          <w:lang w:val="de-DE"/>
        </w:rPr>
        <w:t>Hydrafacial</w:t>
      </w:r>
      <w:proofErr w:type="spellEnd"/>
      <w:r w:rsidRPr="00645A55">
        <w:rPr>
          <w:rFonts w:ascii="Segoe UI" w:hAnsi="Segoe UI" w:cs="Segoe UI"/>
          <w:sz w:val="18"/>
          <w:szCs w:val="18"/>
          <w:lang w:val="de-DE"/>
        </w:rPr>
        <w:t xml:space="preserve"> verschlüsselt </w:t>
      </w:r>
      <w:r>
        <w:rPr>
          <w:rFonts w:ascii="Segoe UI" w:hAnsi="Segoe UI" w:cs="Segoe UI"/>
          <w:sz w:val="18"/>
          <w:szCs w:val="18"/>
          <w:lang w:val="de-DE"/>
        </w:rPr>
        <w:t xml:space="preserve">sowohl </w:t>
      </w:r>
      <w:r w:rsidRPr="00645A55">
        <w:rPr>
          <w:rFonts w:ascii="Segoe UI" w:hAnsi="Segoe UI" w:cs="Segoe UI"/>
          <w:sz w:val="18"/>
          <w:szCs w:val="18"/>
          <w:lang w:val="de-DE"/>
        </w:rPr>
        <w:t xml:space="preserve">in der Übertragung </w:t>
      </w:r>
      <w:r>
        <w:rPr>
          <w:rFonts w:ascii="Segoe UI" w:hAnsi="Segoe UI" w:cs="Segoe UI"/>
          <w:sz w:val="18"/>
          <w:szCs w:val="18"/>
          <w:lang w:val="de-DE"/>
        </w:rPr>
        <w:t xml:space="preserve">als auch im Ruhezustand </w:t>
      </w:r>
      <w:r w:rsidRPr="00645A55">
        <w:rPr>
          <w:rFonts w:ascii="Segoe UI" w:hAnsi="Segoe UI" w:cs="Segoe UI"/>
          <w:sz w:val="18"/>
          <w:szCs w:val="18"/>
          <w:lang w:val="de-DE"/>
        </w:rPr>
        <w:t>befindliche</w:t>
      </w:r>
      <w:r>
        <w:rPr>
          <w:rFonts w:ascii="Segoe UI" w:hAnsi="Segoe UI" w:cs="Segoe UI"/>
          <w:sz w:val="18"/>
          <w:szCs w:val="18"/>
          <w:lang w:val="de-DE"/>
        </w:rPr>
        <w:t xml:space="preserve"> Daten</w:t>
      </w:r>
      <w:r w:rsidRPr="00645A55">
        <w:rPr>
          <w:rFonts w:ascii="Segoe UI" w:hAnsi="Segoe UI" w:cs="Segoe UI"/>
          <w:sz w:val="18"/>
          <w:szCs w:val="18"/>
          <w:lang w:val="de-DE"/>
        </w:rPr>
        <w:t xml:space="preserve">. </w:t>
      </w:r>
    </w:p>
    <w:p w14:paraId="5D9E49A3" w14:textId="77777777" w:rsidR="00B17F4C" w:rsidRPr="00105A0B" w:rsidRDefault="00B17F4C" w:rsidP="00B17F4C">
      <w:pPr>
        <w:ind w:left="-851" w:right="-852"/>
        <w:jc w:val="both"/>
        <w:rPr>
          <w:rFonts w:ascii="Segoe UI" w:hAnsi="Segoe UI" w:cs="Segoe UI"/>
          <w:sz w:val="18"/>
          <w:szCs w:val="18"/>
          <w:u w:val="single"/>
          <w:lang w:val="en-US"/>
        </w:rPr>
      </w:pPr>
      <w:proofErr w:type="spellStart"/>
      <w:r>
        <w:rPr>
          <w:rFonts w:ascii="Segoe UI" w:hAnsi="Segoe UI" w:cs="Segoe UI"/>
          <w:sz w:val="18"/>
          <w:szCs w:val="18"/>
          <w:u w:val="single"/>
          <w:lang w:val="en-US"/>
        </w:rPr>
        <w:t>Zusätzliche</w:t>
      </w:r>
      <w:proofErr w:type="spellEnd"/>
      <w:r>
        <w:rPr>
          <w:rFonts w:ascii="Segoe UI" w:hAnsi="Segoe UI" w:cs="Segoe UI"/>
          <w:sz w:val="18"/>
          <w:szCs w:val="18"/>
          <w:u w:val="single"/>
          <w:lang w:val="en-US"/>
        </w:rPr>
        <w:t xml:space="preserve"> </w:t>
      </w:r>
      <w:proofErr w:type="spellStart"/>
      <w:r>
        <w:rPr>
          <w:rFonts w:ascii="Segoe UI" w:hAnsi="Segoe UI" w:cs="Segoe UI"/>
          <w:sz w:val="18"/>
          <w:szCs w:val="18"/>
          <w:u w:val="single"/>
          <w:lang w:val="en-US"/>
        </w:rPr>
        <w:t>vertragliche</w:t>
      </w:r>
      <w:proofErr w:type="spellEnd"/>
      <w:r>
        <w:rPr>
          <w:rFonts w:ascii="Segoe UI" w:hAnsi="Segoe UI" w:cs="Segoe UI"/>
          <w:sz w:val="18"/>
          <w:szCs w:val="18"/>
          <w:u w:val="single"/>
          <w:lang w:val="en-US"/>
        </w:rPr>
        <w:t xml:space="preserve"> </w:t>
      </w:r>
      <w:proofErr w:type="spellStart"/>
      <w:r>
        <w:rPr>
          <w:rFonts w:ascii="Segoe UI" w:hAnsi="Segoe UI" w:cs="Segoe UI"/>
          <w:sz w:val="18"/>
          <w:szCs w:val="18"/>
          <w:u w:val="single"/>
          <w:lang w:val="en-US"/>
        </w:rPr>
        <w:t>Maßnahmen</w:t>
      </w:r>
      <w:proofErr w:type="spellEnd"/>
      <w:r w:rsidRPr="00105A0B">
        <w:rPr>
          <w:rFonts w:ascii="Segoe UI" w:hAnsi="Segoe UI" w:cs="Segoe UI"/>
          <w:sz w:val="18"/>
          <w:szCs w:val="18"/>
          <w:u w:val="single"/>
          <w:lang w:val="en-US"/>
        </w:rPr>
        <w:t xml:space="preserve"> </w:t>
      </w:r>
    </w:p>
    <w:p w14:paraId="1C7BE6BB" w14:textId="77777777" w:rsidR="00B17F4C" w:rsidRDefault="00B17F4C" w:rsidP="00B17F4C">
      <w:pPr>
        <w:pStyle w:val="Prrafodelista"/>
        <w:numPr>
          <w:ilvl w:val="0"/>
          <w:numId w:val="3"/>
        </w:numPr>
        <w:ind w:left="-426" w:right="-852"/>
        <w:jc w:val="both"/>
        <w:rPr>
          <w:rFonts w:ascii="Segoe UI" w:hAnsi="Segoe UI" w:cs="Segoe UI"/>
          <w:sz w:val="18"/>
          <w:szCs w:val="18"/>
          <w:lang w:val="en-US"/>
        </w:rPr>
      </w:pPr>
      <w:proofErr w:type="spellStart"/>
      <w:r w:rsidRPr="00FD3B3B">
        <w:rPr>
          <w:rFonts w:ascii="Segoe UI" w:hAnsi="Segoe UI" w:cs="Segoe UI"/>
          <w:sz w:val="18"/>
          <w:szCs w:val="18"/>
          <w:lang w:val="en-US"/>
        </w:rPr>
        <w:t>Transparen</w:t>
      </w:r>
      <w:r>
        <w:rPr>
          <w:rFonts w:ascii="Segoe UI" w:hAnsi="Segoe UI" w:cs="Segoe UI"/>
          <w:sz w:val="18"/>
          <w:szCs w:val="18"/>
          <w:lang w:val="en-US"/>
        </w:rPr>
        <w:t>z</w:t>
      </w:r>
      <w:proofErr w:type="spellEnd"/>
    </w:p>
    <w:p w14:paraId="584F58B7" w14:textId="77777777" w:rsidR="00B17F4C" w:rsidRDefault="00B17F4C" w:rsidP="00B17F4C">
      <w:pPr>
        <w:pStyle w:val="Prrafodelista"/>
        <w:ind w:left="-851" w:right="-852"/>
        <w:jc w:val="both"/>
        <w:rPr>
          <w:rFonts w:ascii="Segoe UI" w:hAnsi="Segoe UI" w:cs="Segoe UI"/>
          <w:sz w:val="18"/>
          <w:szCs w:val="18"/>
          <w:lang w:val="en-US"/>
        </w:rPr>
      </w:pPr>
    </w:p>
    <w:p w14:paraId="770B5AF0" w14:textId="77777777" w:rsidR="00B17F4C" w:rsidRPr="000F4623" w:rsidRDefault="00B17F4C" w:rsidP="00B17F4C">
      <w:pPr>
        <w:pStyle w:val="Prrafodelista"/>
        <w:numPr>
          <w:ilvl w:val="0"/>
          <w:numId w:val="6"/>
        </w:numPr>
        <w:ind w:right="-852"/>
        <w:jc w:val="both"/>
        <w:rPr>
          <w:rFonts w:ascii="Segoe UI" w:hAnsi="Segoe UI" w:cs="Segoe UI"/>
          <w:sz w:val="18"/>
          <w:szCs w:val="18"/>
          <w:lang w:val="de-DE"/>
        </w:rPr>
      </w:pPr>
      <w:r w:rsidRPr="000F4623">
        <w:rPr>
          <w:rFonts w:ascii="Segoe UI" w:hAnsi="Segoe UI" w:cs="Segoe UI"/>
          <w:sz w:val="18"/>
          <w:szCs w:val="18"/>
          <w:lang w:val="de-DE"/>
        </w:rPr>
        <w:t xml:space="preserve">Auf Verlangen wird </w:t>
      </w:r>
      <w:proofErr w:type="spellStart"/>
      <w:r w:rsidRPr="000F4623">
        <w:rPr>
          <w:rFonts w:ascii="Segoe UI" w:hAnsi="Segoe UI" w:cs="Segoe UI"/>
          <w:sz w:val="18"/>
          <w:szCs w:val="18"/>
          <w:lang w:val="de-DE"/>
        </w:rPr>
        <w:t>Hydrafacial</w:t>
      </w:r>
      <w:proofErr w:type="spellEnd"/>
      <w:r w:rsidRPr="000F4623">
        <w:rPr>
          <w:rFonts w:ascii="Segoe UI" w:hAnsi="Segoe UI" w:cs="Segoe UI"/>
          <w:sz w:val="18"/>
          <w:szCs w:val="18"/>
          <w:lang w:val="de-DE"/>
        </w:rPr>
        <w:t xml:space="preserve"> angemessene wirtschaftliche Anstrengungen unternehmen, um (nach bestem Wissen) über den Zugriff staatlicher Behörden</w:t>
      </w:r>
      <w:r>
        <w:rPr>
          <w:rFonts w:ascii="Segoe UI" w:hAnsi="Segoe UI" w:cs="Segoe UI"/>
          <w:sz w:val="18"/>
          <w:szCs w:val="18"/>
          <w:lang w:val="de-DE"/>
        </w:rPr>
        <w:t xml:space="preserve"> oder Geheimdienste</w:t>
      </w:r>
      <w:r w:rsidRPr="000F4623">
        <w:rPr>
          <w:rFonts w:ascii="Segoe UI" w:hAnsi="Segoe UI" w:cs="Segoe UI"/>
          <w:sz w:val="18"/>
          <w:szCs w:val="18"/>
          <w:lang w:val="de-DE"/>
        </w:rPr>
        <w:t xml:space="preserve"> auf Daten zu informie</w:t>
      </w:r>
      <w:r>
        <w:rPr>
          <w:rFonts w:ascii="Segoe UI" w:hAnsi="Segoe UI" w:cs="Segoe UI"/>
          <w:sz w:val="18"/>
          <w:szCs w:val="18"/>
          <w:lang w:val="de-DE"/>
        </w:rPr>
        <w:t>re</w:t>
      </w:r>
      <w:r w:rsidRPr="000F4623">
        <w:rPr>
          <w:rFonts w:ascii="Segoe UI" w:hAnsi="Segoe UI" w:cs="Segoe UI"/>
          <w:sz w:val="18"/>
          <w:szCs w:val="18"/>
          <w:lang w:val="de-DE"/>
        </w:rPr>
        <w:t>n</w:t>
      </w:r>
      <w:r>
        <w:rPr>
          <w:rFonts w:ascii="Segoe UI" w:hAnsi="Segoe UI" w:cs="Segoe UI"/>
          <w:sz w:val="18"/>
          <w:szCs w:val="18"/>
          <w:lang w:val="de-DE"/>
        </w:rPr>
        <w:t xml:space="preserve"> und zu prüfen, ob die entsprechende Gesetzgebung in dem Bestimmungsland mit den grundlegenden Garantien des Europäischen Datenausschusses</w:t>
      </w:r>
      <w:r w:rsidRPr="000F4623">
        <w:rPr>
          <w:rFonts w:ascii="Segoe UI" w:hAnsi="Segoe UI" w:cs="Segoe UI"/>
          <w:sz w:val="18"/>
          <w:szCs w:val="18"/>
          <w:lang w:val="de-DE"/>
        </w:rPr>
        <w:t xml:space="preserve"> </w:t>
      </w:r>
      <w:r>
        <w:rPr>
          <w:rFonts w:ascii="Segoe UI" w:hAnsi="Segoe UI" w:cs="Segoe UI"/>
          <w:sz w:val="18"/>
          <w:szCs w:val="18"/>
          <w:lang w:val="de-DE"/>
        </w:rPr>
        <w:t>(</w:t>
      </w:r>
      <w:r w:rsidRPr="000F4623">
        <w:rPr>
          <w:rFonts w:ascii="Segoe UI" w:hAnsi="Segoe UI" w:cs="Segoe UI"/>
          <w:sz w:val="18"/>
          <w:szCs w:val="18"/>
          <w:lang w:val="de-DE"/>
        </w:rPr>
        <w:t>EDPB</w:t>
      </w:r>
      <w:r>
        <w:rPr>
          <w:rFonts w:ascii="Segoe UI" w:hAnsi="Segoe UI" w:cs="Segoe UI"/>
          <w:sz w:val="18"/>
          <w:szCs w:val="18"/>
          <w:lang w:val="de-DE"/>
        </w:rPr>
        <w:t>)</w:t>
      </w:r>
      <w:r w:rsidRPr="000F4623">
        <w:rPr>
          <w:rFonts w:ascii="Segoe UI" w:hAnsi="Segoe UI" w:cs="Segoe UI"/>
          <w:sz w:val="18"/>
          <w:szCs w:val="18"/>
          <w:lang w:val="de-DE"/>
        </w:rPr>
        <w:t xml:space="preserve"> </w:t>
      </w:r>
      <w:r>
        <w:rPr>
          <w:rFonts w:ascii="Segoe UI" w:hAnsi="Segoe UI" w:cs="Segoe UI"/>
          <w:sz w:val="18"/>
          <w:szCs w:val="18"/>
          <w:lang w:val="de-DE"/>
        </w:rPr>
        <w:t>konform geht</w:t>
      </w:r>
      <w:r w:rsidRPr="000F4623">
        <w:rPr>
          <w:rFonts w:ascii="Segoe UI" w:hAnsi="Segoe UI" w:cs="Segoe UI"/>
          <w:sz w:val="18"/>
          <w:szCs w:val="18"/>
          <w:lang w:val="de-DE"/>
        </w:rPr>
        <w:t>.</w:t>
      </w:r>
    </w:p>
    <w:p w14:paraId="09ACB010" w14:textId="77777777" w:rsidR="00B17F4C" w:rsidRDefault="00B17F4C" w:rsidP="00B17F4C">
      <w:pPr>
        <w:pStyle w:val="Prrafodelista"/>
        <w:numPr>
          <w:ilvl w:val="0"/>
          <w:numId w:val="6"/>
        </w:numPr>
        <w:ind w:right="-852"/>
        <w:jc w:val="both"/>
        <w:rPr>
          <w:rFonts w:ascii="Segoe UI" w:hAnsi="Segoe UI" w:cs="Segoe UI"/>
          <w:sz w:val="18"/>
          <w:szCs w:val="18"/>
          <w:lang w:val="de-DE"/>
        </w:rPr>
      </w:pPr>
      <w:proofErr w:type="spellStart"/>
      <w:r w:rsidRPr="00F10E81">
        <w:rPr>
          <w:rFonts w:ascii="Segoe UI" w:hAnsi="Segoe UI" w:cs="Segoe UI"/>
          <w:sz w:val="18"/>
          <w:szCs w:val="18"/>
          <w:lang w:val="de-DE"/>
        </w:rPr>
        <w:t>Hydrafacial</w:t>
      </w:r>
      <w:proofErr w:type="spellEnd"/>
      <w:r w:rsidRPr="00F10E81">
        <w:rPr>
          <w:rFonts w:ascii="Segoe UI" w:hAnsi="Segoe UI" w:cs="Segoe UI"/>
          <w:sz w:val="18"/>
          <w:szCs w:val="18"/>
          <w:lang w:val="de-DE"/>
        </w:rPr>
        <w:t xml:space="preserve"> bestätigt, dass (1) das Unternehmen nicht absichtlich Hintertüren  oder ähnliche Programme eingebaut hat, um staatlichen Behörden Zugang zu seine</w:t>
      </w:r>
      <w:r>
        <w:rPr>
          <w:rFonts w:ascii="Segoe UI" w:hAnsi="Segoe UI" w:cs="Segoe UI"/>
          <w:sz w:val="18"/>
          <w:szCs w:val="18"/>
          <w:lang w:val="de-DE"/>
        </w:rPr>
        <w:t>n</w:t>
      </w:r>
      <w:r w:rsidRPr="00F10E81">
        <w:rPr>
          <w:rFonts w:ascii="Segoe UI" w:hAnsi="Segoe UI" w:cs="Segoe UI"/>
          <w:sz w:val="18"/>
          <w:szCs w:val="18"/>
          <w:lang w:val="de-DE"/>
        </w:rPr>
        <w:t xml:space="preserve"> Daten und Informationssystemen zu gewähren und dies auch künftig nicht tun wird, (2) das Unternehmen seine Prozesse nicht absichtlich in einer Weise geändert hat, die staatlichen Behörden einen leichteren Zugang zu den Daten verschafft und dies auch künftig nicht tun</w:t>
      </w:r>
      <w:r>
        <w:rPr>
          <w:rFonts w:ascii="Segoe UI" w:hAnsi="Segoe UI" w:cs="Segoe UI"/>
          <w:sz w:val="18"/>
          <w:szCs w:val="18"/>
          <w:lang w:val="de-DE"/>
        </w:rPr>
        <w:t xml:space="preserve"> wird, u</w:t>
      </w:r>
      <w:r w:rsidRPr="00F10E81">
        <w:rPr>
          <w:rFonts w:ascii="Segoe UI" w:hAnsi="Segoe UI" w:cs="Segoe UI"/>
          <w:sz w:val="18"/>
          <w:szCs w:val="18"/>
          <w:lang w:val="de-DE"/>
        </w:rPr>
        <w:t xml:space="preserve">nd (3) </w:t>
      </w:r>
      <w:r>
        <w:rPr>
          <w:rFonts w:ascii="Segoe UI" w:hAnsi="Segoe UI" w:cs="Segoe UI"/>
          <w:sz w:val="18"/>
          <w:szCs w:val="18"/>
          <w:lang w:val="de-DE"/>
        </w:rPr>
        <w:t xml:space="preserve">staatliches Recht oder staatliche Richtlinien von </w:t>
      </w:r>
      <w:proofErr w:type="spellStart"/>
      <w:r w:rsidRPr="00F10E81">
        <w:rPr>
          <w:rFonts w:ascii="Segoe UI" w:hAnsi="Segoe UI" w:cs="Segoe UI"/>
          <w:sz w:val="18"/>
          <w:szCs w:val="18"/>
          <w:lang w:val="de-DE"/>
        </w:rPr>
        <w:t>Hydrafacial</w:t>
      </w:r>
      <w:proofErr w:type="spellEnd"/>
      <w:r>
        <w:rPr>
          <w:rFonts w:ascii="Segoe UI" w:hAnsi="Segoe UI" w:cs="Segoe UI"/>
          <w:sz w:val="18"/>
          <w:szCs w:val="18"/>
          <w:lang w:val="de-DE"/>
        </w:rPr>
        <w:t xml:space="preserve"> nicht verlangen, Hintertüren offenzuhalten oder einen Zugang zu personenbezogenen Daten oder Systemen zu ermöglichen, um in den Besitz des Verschlüsselungscodes zu gelangen oder diesen Code auszuhändigen (Änderungen aufgrund gesetzgeberischer Entwicklungen bleiben vorbehalten</w:t>
      </w:r>
      <w:r w:rsidRPr="00F10E81">
        <w:rPr>
          <w:rFonts w:ascii="Segoe UI" w:hAnsi="Segoe UI" w:cs="Segoe UI"/>
          <w:sz w:val="18"/>
          <w:szCs w:val="18"/>
          <w:lang w:val="de-DE"/>
        </w:rPr>
        <w:t>).</w:t>
      </w:r>
    </w:p>
    <w:p w14:paraId="40EB077D" w14:textId="77777777" w:rsidR="00B17F4C" w:rsidRPr="0072730B" w:rsidRDefault="00B17F4C" w:rsidP="00B17F4C">
      <w:pPr>
        <w:pStyle w:val="Prrafodelista"/>
        <w:numPr>
          <w:ilvl w:val="0"/>
          <w:numId w:val="6"/>
        </w:numPr>
        <w:ind w:right="-852"/>
        <w:jc w:val="both"/>
        <w:rPr>
          <w:rFonts w:ascii="Segoe UI" w:hAnsi="Segoe UI" w:cs="Segoe UI"/>
          <w:sz w:val="18"/>
          <w:szCs w:val="18"/>
          <w:lang w:val="de-DE"/>
        </w:rPr>
      </w:pPr>
      <w:proofErr w:type="spellStart"/>
      <w:r w:rsidRPr="0072730B">
        <w:rPr>
          <w:rFonts w:ascii="Segoe UI" w:hAnsi="Segoe UI" w:cs="Segoe UI"/>
          <w:sz w:val="18"/>
          <w:szCs w:val="18"/>
          <w:lang w:val="de-DE"/>
        </w:rPr>
        <w:t>Hydrafacial</w:t>
      </w:r>
      <w:proofErr w:type="spellEnd"/>
      <w:r w:rsidRPr="0072730B">
        <w:rPr>
          <w:rFonts w:ascii="Segoe UI" w:hAnsi="Segoe UI" w:cs="Segoe UI"/>
          <w:sz w:val="18"/>
          <w:szCs w:val="18"/>
          <w:lang w:val="de-DE"/>
        </w:rPr>
        <w:t xml:space="preserve"> wird den Kunden informieren, wenn das Unternehmen nicht in der Lage ist, seinen gesetzlichen und/oder vertraglichen Verpflichtungen in Bezug auf international</w:t>
      </w:r>
      <w:r>
        <w:rPr>
          <w:rFonts w:ascii="Segoe UI" w:hAnsi="Segoe UI" w:cs="Segoe UI"/>
          <w:sz w:val="18"/>
          <w:szCs w:val="18"/>
          <w:lang w:val="de-DE"/>
        </w:rPr>
        <w:t>e Über</w:t>
      </w:r>
      <w:r w:rsidRPr="0072730B">
        <w:rPr>
          <w:rFonts w:ascii="Segoe UI" w:hAnsi="Segoe UI" w:cs="Segoe UI"/>
          <w:sz w:val="18"/>
          <w:szCs w:val="18"/>
          <w:lang w:val="de-DE"/>
        </w:rPr>
        <w:t>mittlung</w:t>
      </w:r>
      <w:r>
        <w:rPr>
          <w:rFonts w:ascii="Segoe UI" w:hAnsi="Segoe UI" w:cs="Segoe UI"/>
          <w:sz w:val="18"/>
          <w:szCs w:val="18"/>
          <w:lang w:val="de-DE"/>
        </w:rPr>
        <w:t>en nachzukommen</w:t>
      </w:r>
      <w:r w:rsidRPr="0072730B">
        <w:rPr>
          <w:rFonts w:ascii="Segoe UI" w:hAnsi="Segoe UI" w:cs="Segoe UI"/>
          <w:sz w:val="18"/>
          <w:szCs w:val="18"/>
          <w:lang w:val="de-DE"/>
        </w:rPr>
        <w:t xml:space="preserve"> und folglich</w:t>
      </w:r>
      <w:r>
        <w:rPr>
          <w:rFonts w:ascii="Segoe UI" w:hAnsi="Segoe UI" w:cs="Segoe UI"/>
          <w:sz w:val="18"/>
          <w:szCs w:val="18"/>
          <w:lang w:val="de-DE"/>
        </w:rPr>
        <w:t xml:space="preserve"> den erforderlichen Standard für ein „im Wesentlichen gleichwertiges Datenschutzniveau“ nicht gewährleisten kann</w:t>
      </w:r>
      <w:r w:rsidRPr="0072730B">
        <w:rPr>
          <w:rFonts w:ascii="Segoe UI" w:hAnsi="Segoe UI" w:cs="Segoe UI"/>
          <w:sz w:val="18"/>
          <w:szCs w:val="18"/>
          <w:lang w:val="de-DE"/>
        </w:rPr>
        <w:t xml:space="preserve">. </w:t>
      </w:r>
    </w:p>
    <w:p w14:paraId="138B30A9" w14:textId="77777777" w:rsidR="00B17F4C" w:rsidRPr="0072730B" w:rsidRDefault="00B17F4C" w:rsidP="00B17F4C">
      <w:pPr>
        <w:pStyle w:val="Prrafodelista"/>
        <w:ind w:left="-131" w:right="-852"/>
        <w:jc w:val="both"/>
        <w:rPr>
          <w:rFonts w:ascii="Segoe UI" w:hAnsi="Segoe UI" w:cs="Segoe UI"/>
          <w:sz w:val="18"/>
          <w:szCs w:val="18"/>
          <w:lang w:val="de-DE"/>
        </w:rPr>
      </w:pPr>
    </w:p>
    <w:p w14:paraId="5DD68C99" w14:textId="77777777" w:rsidR="00B17F4C" w:rsidRDefault="00B17F4C" w:rsidP="00B17F4C">
      <w:pPr>
        <w:pStyle w:val="Prrafodelista"/>
        <w:numPr>
          <w:ilvl w:val="0"/>
          <w:numId w:val="3"/>
        </w:numPr>
        <w:ind w:left="-426" w:right="-852"/>
        <w:jc w:val="both"/>
        <w:rPr>
          <w:rFonts w:ascii="Segoe UI" w:hAnsi="Segoe UI" w:cs="Segoe UI"/>
          <w:sz w:val="18"/>
          <w:szCs w:val="18"/>
          <w:lang w:val="en-US"/>
        </w:rPr>
      </w:pPr>
      <w:proofErr w:type="spellStart"/>
      <w:r>
        <w:rPr>
          <w:rFonts w:ascii="Segoe UI" w:hAnsi="Segoe UI" w:cs="Segoe UI"/>
          <w:sz w:val="18"/>
          <w:szCs w:val="18"/>
          <w:lang w:val="en-US"/>
        </w:rPr>
        <w:t>Konkrete</w:t>
      </w:r>
      <w:proofErr w:type="spellEnd"/>
      <w:r>
        <w:rPr>
          <w:rFonts w:ascii="Segoe UI" w:hAnsi="Segoe UI" w:cs="Segoe UI"/>
          <w:sz w:val="18"/>
          <w:szCs w:val="18"/>
          <w:lang w:val="en-US"/>
        </w:rPr>
        <w:t xml:space="preserve"> </w:t>
      </w:r>
      <w:proofErr w:type="spellStart"/>
      <w:r>
        <w:rPr>
          <w:rFonts w:ascii="Segoe UI" w:hAnsi="Segoe UI" w:cs="Segoe UI"/>
          <w:sz w:val="18"/>
          <w:szCs w:val="18"/>
          <w:lang w:val="en-US"/>
        </w:rPr>
        <w:t>Maßnahmen</w:t>
      </w:r>
      <w:proofErr w:type="spellEnd"/>
      <w:r w:rsidRPr="00FD3B3B">
        <w:rPr>
          <w:rFonts w:ascii="Segoe UI" w:hAnsi="Segoe UI" w:cs="Segoe UI"/>
          <w:sz w:val="18"/>
          <w:szCs w:val="18"/>
          <w:lang w:val="en-US"/>
        </w:rPr>
        <w:t xml:space="preserve">. </w:t>
      </w:r>
    </w:p>
    <w:p w14:paraId="0ADCB52F" w14:textId="77777777" w:rsidR="00B17F4C" w:rsidRDefault="00B17F4C" w:rsidP="00B17F4C">
      <w:pPr>
        <w:pStyle w:val="Prrafodelista"/>
        <w:ind w:left="-426" w:right="-852"/>
        <w:jc w:val="both"/>
        <w:rPr>
          <w:rFonts w:ascii="Segoe UI" w:hAnsi="Segoe UI" w:cs="Segoe UI"/>
          <w:sz w:val="18"/>
          <w:szCs w:val="18"/>
          <w:lang w:val="en-US"/>
        </w:rPr>
      </w:pPr>
    </w:p>
    <w:p w14:paraId="501F7941" w14:textId="77777777" w:rsidR="00B17F4C" w:rsidRPr="0072730B" w:rsidRDefault="00B17F4C" w:rsidP="00B17F4C">
      <w:pPr>
        <w:pStyle w:val="Prrafodelista"/>
        <w:numPr>
          <w:ilvl w:val="0"/>
          <w:numId w:val="6"/>
        </w:numPr>
        <w:ind w:right="-852"/>
        <w:jc w:val="both"/>
        <w:rPr>
          <w:rFonts w:ascii="Segoe UI" w:hAnsi="Segoe UI" w:cs="Segoe UI"/>
          <w:sz w:val="18"/>
          <w:szCs w:val="18"/>
          <w:lang w:val="de-DE"/>
        </w:rPr>
      </w:pPr>
      <w:proofErr w:type="spellStart"/>
      <w:r w:rsidRPr="0072730B">
        <w:rPr>
          <w:rFonts w:ascii="Segoe UI" w:hAnsi="Segoe UI" w:cs="Segoe UI"/>
          <w:sz w:val="18"/>
          <w:szCs w:val="18"/>
          <w:lang w:val="de-DE"/>
        </w:rPr>
        <w:t>Hydrafacial</w:t>
      </w:r>
      <w:proofErr w:type="spellEnd"/>
      <w:r w:rsidRPr="0072730B">
        <w:rPr>
          <w:rFonts w:ascii="Segoe UI" w:hAnsi="Segoe UI" w:cs="Segoe UI"/>
          <w:sz w:val="18"/>
          <w:szCs w:val="18"/>
          <w:lang w:val="de-DE"/>
        </w:rPr>
        <w:t xml:space="preserve"> wird (i) die Rechtmäßigkeit rechtlicher Anforderungen prüfen und diese anfechten, soweit dies rechtlich möglich ist und angezeigt erscheint, und (ii) </w:t>
      </w:r>
      <w:r w:rsidRPr="0054561C">
        <w:rPr>
          <w:rFonts w:ascii="Segoe UI" w:hAnsi="Segoe UI" w:cs="Segoe UI"/>
          <w:sz w:val="18"/>
          <w:szCs w:val="18"/>
          <w:lang w:val="de-DE"/>
        </w:rPr>
        <w:t>in Fällen, in denen rechtliche Anforderungen nicht Art. 46 DSGVO oder anderen einschlägigen Vorschriften für die rechtmäßige Übermittlung von personenbezogenen Daten entsprechen, die Behörde entsprechend informieren (soweit dies nach dem einschlägigen Datenschutzrecht bei rechtlichen Anforderungen erforderlich ist)</w:t>
      </w:r>
      <w:r>
        <w:rPr>
          <w:rFonts w:ascii="Segoe UI" w:hAnsi="Segoe UI" w:cs="Segoe UI"/>
          <w:sz w:val="18"/>
          <w:szCs w:val="18"/>
          <w:lang w:val="de-DE"/>
        </w:rPr>
        <w:t xml:space="preserve">. </w:t>
      </w:r>
      <w:r w:rsidRPr="0072730B">
        <w:rPr>
          <w:rFonts w:ascii="Segoe UI" w:hAnsi="Segoe UI" w:cs="Segoe UI"/>
          <w:sz w:val="18"/>
          <w:szCs w:val="18"/>
          <w:lang w:val="de-DE"/>
        </w:rPr>
        <w:t xml:space="preserve"> </w:t>
      </w:r>
    </w:p>
    <w:p w14:paraId="627BA0C2" w14:textId="77777777" w:rsidR="00B17F4C" w:rsidRPr="0072730B" w:rsidRDefault="00B17F4C" w:rsidP="00B17F4C">
      <w:pPr>
        <w:ind w:left="-851" w:right="-852"/>
        <w:jc w:val="both"/>
        <w:rPr>
          <w:rFonts w:ascii="Segoe UI" w:hAnsi="Segoe UI" w:cs="Segoe UI"/>
          <w:sz w:val="18"/>
          <w:szCs w:val="18"/>
          <w:u w:val="single"/>
          <w:lang w:val="de-DE"/>
        </w:rPr>
      </w:pPr>
      <w:r w:rsidRPr="0072730B">
        <w:rPr>
          <w:rFonts w:ascii="Segoe UI" w:hAnsi="Segoe UI" w:cs="Segoe UI"/>
          <w:sz w:val="18"/>
          <w:szCs w:val="18"/>
          <w:u w:val="single"/>
          <w:lang w:val="de-DE"/>
        </w:rPr>
        <w:t>Organisat</w:t>
      </w:r>
      <w:r>
        <w:rPr>
          <w:rFonts w:ascii="Segoe UI" w:hAnsi="Segoe UI" w:cs="Segoe UI"/>
          <w:sz w:val="18"/>
          <w:szCs w:val="18"/>
          <w:u w:val="single"/>
          <w:lang w:val="de-DE"/>
        </w:rPr>
        <w:t>orische Maßnahmen</w:t>
      </w:r>
      <w:r w:rsidRPr="0072730B">
        <w:rPr>
          <w:rFonts w:ascii="Segoe UI" w:hAnsi="Segoe UI" w:cs="Segoe UI"/>
          <w:sz w:val="18"/>
          <w:szCs w:val="18"/>
          <w:u w:val="single"/>
          <w:lang w:val="de-DE"/>
        </w:rPr>
        <w:t xml:space="preserve"> </w:t>
      </w:r>
    </w:p>
    <w:p w14:paraId="3BD30CC4" w14:textId="77777777" w:rsidR="00B17F4C" w:rsidRPr="0072730B" w:rsidRDefault="00B17F4C" w:rsidP="00B17F4C">
      <w:pPr>
        <w:pStyle w:val="Prrafodelista"/>
        <w:numPr>
          <w:ilvl w:val="0"/>
          <w:numId w:val="3"/>
        </w:numPr>
        <w:ind w:left="-426" w:right="-852"/>
        <w:jc w:val="both"/>
        <w:rPr>
          <w:rFonts w:ascii="Segoe UI" w:hAnsi="Segoe UI" w:cs="Segoe UI"/>
          <w:sz w:val="18"/>
          <w:szCs w:val="18"/>
          <w:lang w:val="de-DE"/>
        </w:rPr>
      </w:pPr>
      <w:r w:rsidRPr="0072730B">
        <w:rPr>
          <w:rFonts w:ascii="Segoe UI" w:hAnsi="Segoe UI" w:cs="Segoe UI"/>
          <w:sz w:val="18"/>
          <w:szCs w:val="18"/>
          <w:lang w:val="de-DE"/>
        </w:rPr>
        <w:t>Transparen</w:t>
      </w:r>
      <w:r>
        <w:rPr>
          <w:rFonts w:ascii="Segoe UI" w:hAnsi="Segoe UI" w:cs="Segoe UI"/>
          <w:sz w:val="18"/>
          <w:szCs w:val="18"/>
          <w:lang w:val="de-DE"/>
        </w:rPr>
        <w:t>z</w:t>
      </w:r>
      <w:r w:rsidRPr="0072730B">
        <w:rPr>
          <w:rFonts w:ascii="Segoe UI" w:hAnsi="Segoe UI" w:cs="Segoe UI"/>
          <w:sz w:val="18"/>
          <w:szCs w:val="18"/>
          <w:lang w:val="de-DE"/>
        </w:rPr>
        <w:t xml:space="preserve"> </w:t>
      </w:r>
      <w:r>
        <w:rPr>
          <w:rFonts w:ascii="Segoe UI" w:hAnsi="Segoe UI" w:cs="Segoe UI"/>
          <w:sz w:val="18"/>
          <w:szCs w:val="18"/>
          <w:lang w:val="de-DE"/>
        </w:rPr>
        <w:t>und Rechenschaftspflicht</w:t>
      </w:r>
      <w:r w:rsidRPr="0072730B">
        <w:rPr>
          <w:rFonts w:ascii="Segoe UI" w:hAnsi="Segoe UI" w:cs="Segoe UI"/>
          <w:sz w:val="18"/>
          <w:szCs w:val="18"/>
          <w:lang w:val="de-DE"/>
        </w:rPr>
        <w:t xml:space="preserve">. </w:t>
      </w:r>
    </w:p>
    <w:p w14:paraId="2A9D9053" w14:textId="77777777" w:rsidR="00B17F4C" w:rsidRPr="0072730B" w:rsidRDefault="00B17F4C" w:rsidP="00B17F4C">
      <w:pPr>
        <w:pStyle w:val="Prrafodelista"/>
        <w:ind w:left="-426" w:right="-852"/>
        <w:jc w:val="both"/>
        <w:rPr>
          <w:rFonts w:ascii="Segoe UI" w:hAnsi="Segoe UI" w:cs="Segoe UI"/>
          <w:sz w:val="18"/>
          <w:szCs w:val="18"/>
          <w:lang w:val="de-DE"/>
        </w:rPr>
      </w:pPr>
    </w:p>
    <w:p w14:paraId="79B680D0" w14:textId="77777777" w:rsidR="00B17F4C" w:rsidRPr="0072730B" w:rsidRDefault="00B17F4C" w:rsidP="00B17F4C">
      <w:pPr>
        <w:pStyle w:val="Prrafodelista"/>
        <w:numPr>
          <w:ilvl w:val="0"/>
          <w:numId w:val="6"/>
        </w:numPr>
        <w:ind w:right="-852"/>
        <w:jc w:val="both"/>
        <w:rPr>
          <w:rFonts w:ascii="Segoe UI" w:hAnsi="Segoe UI" w:cs="Segoe UI"/>
          <w:sz w:val="18"/>
          <w:szCs w:val="18"/>
          <w:lang w:val="de-DE"/>
        </w:rPr>
      </w:pPr>
      <w:proofErr w:type="spellStart"/>
      <w:r w:rsidRPr="0072730B">
        <w:rPr>
          <w:rFonts w:ascii="Segoe UI" w:hAnsi="Segoe UI" w:cs="Segoe UI"/>
          <w:sz w:val="18"/>
          <w:szCs w:val="18"/>
          <w:lang w:val="de-DE"/>
        </w:rPr>
        <w:t>Hydrafacial</w:t>
      </w:r>
      <w:proofErr w:type="spellEnd"/>
      <w:r w:rsidRPr="0072730B">
        <w:rPr>
          <w:rFonts w:ascii="Segoe UI" w:hAnsi="Segoe UI" w:cs="Segoe UI"/>
          <w:sz w:val="18"/>
          <w:szCs w:val="18"/>
          <w:lang w:val="de-DE"/>
        </w:rPr>
        <w:t xml:space="preserve"> ha</w:t>
      </w:r>
      <w:r>
        <w:rPr>
          <w:rFonts w:ascii="Segoe UI" w:hAnsi="Segoe UI" w:cs="Segoe UI"/>
          <w:sz w:val="18"/>
          <w:szCs w:val="18"/>
          <w:lang w:val="de-DE"/>
        </w:rPr>
        <w:t>t die Strategien und Verfahren dokumentiert, die den Umgang mit Anforderungen nach Kundendaten seitens</w:t>
      </w:r>
      <w:r w:rsidRPr="0072730B">
        <w:rPr>
          <w:rFonts w:ascii="Segoe UI" w:hAnsi="Segoe UI" w:cs="Segoe UI"/>
          <w:sz w:val="18"/>
          <w:szCs w:val="18"/>
          <w:lang w:val="de-DE"/>
        </w:rPr>
        <w:t xml:space="preserve"> </w:t>
      </w:r>
      <w:r>
        <w:rPr>
          <w:rFonts w:ascii="Segoe UI" w:hAnsi="Segoe UI" w:cs="Segoe UI"/>
          <w:sz w:val="18"/>
          <w:szCs w:val="18"/>
          <w:lang w:val="de-DE"/>
        </w:rPr>
        <w:t>staatlicher Stellen oder Vollstreckungsbehörden regeln</w:t>
      </w:r>
      <w:r w:rsidRPr="0072730B">
        <w:rPr>
          <w:rFonts w:ascii="Segoe UI" w:hAnsi="Segoe UI" w:cs="Segoe UI"/>
          <w:sz w:val="18"/>
          <w:szCs w:val="18"/>
          <w:lang w:val="de-DE"/>
        </w:rPr>
        <w:t>.</w:t>
      </w:r>
    </w:p>
    <w:p w14:paraId="6978A266" w14:textId="77777777" w:rsidR="00B17F4C" w:rsidRPr="00770A74" w:rsidRDefault="00B17F4C" w:rsidP="00B17F4C">
      <w:pPr>
        <w:pStyle w:val="Prrafodelista"/>
        <w:numPr>
          <w:ilvl w:val="0"/>
          <w:numId w:val="6"/>
        </w:numPr>
        <w:ind w:right="-852"/>
        <w:jc w:val="both"/>
        <w:rPr>
          <w:rFonts w:ascii="Segoe UI" w:hAnsi="Segoe UI" w:cs="Segoe UI"/>
          <w:sz w:val="18"/>
          <w:szCs w:val="18"/>
          <w:lang w:val="de-DE"/>
        </w:rPr>
      </w:pPr>
      <w:proofErr w:type="spellStart"/>
      <w:r w:rsidRPr="00770A74">
        <w:rPr>
          <w:rFonts w:ascii="Segoe UI" w:hAnsi="Segoe UI" w:cs="Segoe UI"/>
          <w:sz w:val="18"/>
          <w:szCs w:val="18"/>
          <w:lang w:val="de-DE"/>
        </w:rPr>
        <w:t>Hydrafacial</w:t>
      </w:r>
      <w:proofErr w:type="spellEnd"/>
      <w:r w:rsidRPr="00770A74">
        <w:rPr>
          <w:rFonts w:ascii="Segoe UI" w:hAnsi="Segoe UI" w:cs="Segoe UI"/>
          <w:sz w:val="18"/>
          <w:szCs w:val="18"/>
          <w:lang w:val="de-DE"/>
        </w:rPr>
        <w:t xml:space="preserve"> dokumentiert Anforderungen nach Datenzugriff seitens staatlicher Behörden und ihre Reaktionen darauf und </w:t>
      </w:r>
      <w:r>
        <w:rPr>
          <w:rFonts w:ascii="Segoe UI" w:hAnsi="Segoe UI" w:cs="Segoe UI"/>
          <w:sz w:val="18"/>
          <w:szCs w:val="18"/>
          <w:lang w:val="de-DE"/>
        </w:rPr>
        <w:t xml:space="preserve">archiviert diese. </w:t>
      </w:r>
      <w:r w:rsidRPr="00770A74">
        <w:rPr>
          <w:rFonts w:ascii="Segoe UI" w:hAnsi="Segoe UI" w:cs="Segoe UI"/>
          <w:sz w:val="18"/>
          <w:szCs w:val="18"/>
          <w:lang w:val="de-DE"/>
        </w:rPr>
        <w:t xml:space="preserve">Auf Verlangen können diese Informationen den Kunden zur Verfügung gestellt werden. </w:t>
      </w:r>
    </w:p>
    <w:p w14:paraId="53FB0031" w14:textId="77777777" w:rsidR="00B17F4C" w:rsidRPr="002D2E77" w:rsidRDefault="00B17F4C" w:rsidP="00B17F4C">
      <w:pPr>
        <w:pStyle w:val="Prrafodelista"/>
        <w:numPr>
          <w:ilvl w:val="0"/>
          <w:numId w:val="6"/>
        </w:numPr>
        <w:ind w:right="-852"/>
        <w:jc w:val="both"/>
        <w:rPr>
          <w:rFonts w:ascii="Segoe UI" w:hAnsi="Segoe UI" w:cs="Segoe UI"/>
          <w:sz w:val="18"/>
          <w:szCs w:val="18"/>
          <w:lang w:val="de-DE"/>
        </w:rPr>
      </w:pPr>
      <w:proofErr w:type="spellStart"/>
      <w:r w:rsidRPr="002D2E77">
        <w:rPr>
          <w:rFonts w:ascii="Segoe UI" w:hAnsi="Segoe UI" w:cs="Segoe UI"/>
          <w:sz w:val="18"/>
          <w:szCs w:val="18"/>
          <w:lang w:val="de-DE"/>
        </w:rPr>
        <w:t>Hydrafacial</w:t>
      </w:r>
      <w:proofErr w:type="spellEnd"/>
      <w:r w:rsidRPr="002D2E77">
        <w:rPr>
          <w:rFonts w:ascii="Segoe UI" w:hAnsi="Segoe UI" w:cs="Segoe UI"/>
          <w:sz w:val="18"/>
          <w:szCs w:val="18"/>
          <w:lang w:val="de-DE"/>
        </w:rPr>
        <w:t xml:space="preserve"> stellt auf einer Webseite ihre regelmäßig aktualisierte</w:t>
      </w:r>
      <w:r>
        <w:rPr>
          <w:rFonts w:ascii="Segoe UI" w:hAnsi="Segoe UI" w:cs="Segoe UI"/>
          <w:sz w:val="18"/>
          <w:szCs w:val="18"/>
          <w:lang w:val="de-DE"/>
        </w:rPr>
        <w:t>n</w:t>
      </w:r>
      <w:r w:rsidRPr="002D2E77">
        <w:rPr>
          <w:rFonts w:ascii="Segoe UI" w:hAnsi="Segoe UI" w:cs="Segoe UI"/>
          <w:sz w:val="18"/>
          <w:szCs w:val="18"/>
          <w:lang w:val="de-DE"/>
        </w:rPr>
        <w:t xml:space="preserve"> Strategie</w:t>
      </w:r>
      <w:r>
        <w:rPr>
          <w:rFonts w:ascii="Segoe UI" w:hAnsi="Segoe UI" w:cs="Segoe UI"/>
          <w:sz w:val="18"/>
          <w:szCs w:val="18"/>
          <w:lang w:val="de-DE"/>
        </w:rPr>
        <w:t>n</w:t>
      </w:r>
      <w:r w:rsidRPr="002D2E77">
        <w:rPr>
          <w:rFonts w:ascii="Segoe UI" w:hAnsi="Segoe UI" w:cs="Segoe UI"/>
          <w:sz w:val="18"/>
          <w:szCs w:val="18"/>
          <w:lang w:val="de-DE"/>
        </w:rPr>
        <w:t xml:space="preserve"> für den Umgang mit </w:t>
      </w:r>
      <w:r>
        <w:rPr>
          <w:rFonts w:ascii="Segoe UI" w:hAnsi="Segoe UI" w:cs="Segoe UI"/>
          <w:sz w:val="18"/>
          <w:szCs w:val="18"/>
          <w:lang w:val="de-DE"/>
        </w:rPr>
        <w:t>amtlichen</w:t>
      </w:r>
      <w:r w:rsidRPr="002D2E77">
        <w:rPr>
          <w:rFonts w:ascii="Segoe UI" w:hAnsi="Segoe UI" w:cs="Segoe UI"/>
          <w:sz w:val="18"/>
          <w:szCs w:val="18"/>
          <w:lang w:val="de-DE"/>
        </w:rPr>
        <w:t xml:space="preserve"> Anforderungen und ihren regelmäßig aktualisierten Transparenzbericht zur Verfügung</w:t>
      </w:r>
      <w:r>
        <w:rPr>
          <w:rFonts w:ascii="Segoe UI" w:hAnsi="Segoe UI" w:cs="Segoe UI"/>
          <w:sz w:val="18"/>
          <w:szCs w:val="18"/>
          <w:lang w:val="de-DE"/>
        </w:rPr>
        <w:t xml:space="preserve">. </w:t>
      </w:r>
      <w:r w:rsidRPr="002D2E77">
        <w:rPr>
          <w:rFonts w:ascii="Segoe UI" w:hAnsi="Segoe UI" w:cs="Segoe UI"/>
          <w:sz w:val="18"/>
          <w:szCs w:val="18"/>
          <w:lang w:val="de-DE"/>
        </w:rPr>
        <w:t>Daraus sind die Strategien für den Umgang mit Datenanforderungen von staatlichen Stellen oder Vollstreckungsbehörden</w:t>
      </w:r>
      <w:r>
        <w:rPr>
          <w:rFonts w:ascii="Segoe UI" w:hAnsi="Segoe UI" w:cs="Segoe UI"/>
          <w:sz w:val="18"/>
          <w:szCs w:val="18"/>
          <w:lang w:val="de-DE"/>
        </w:rPr>
        <w:t xml:space="preserve"> und die dokumentierte Anzahl von Anfragen staatlicher Behörden nebst unseren Antworten zu entnehmen. Die Webseite ist und unter</w:t>
      </w:r>
      <w:r w:rsidRPr="002D2E77">
        <w:rPr>
          <w:rFonts w:ascii="Segoe UI" w:hAnsi="Segoe UI" w:cs="Segoe UI"/>
          <w:sz w:val="18"/>
          <w:szCs w:val="18"/>
          <w:lang w:val="de-DE"/>
        </w:rPr>
        <w:t xml:space="preserve"> </w:t>
      </w:r>
      <w:r>
        <w:rPr>
          <w:rFonts w:ascii="Segoe UI" w:hAnsi="Segoe UI" w:cs="Segoe UI"/>
          <w:color w:val="FF0000"/>
          <w:sz w:val="18"/>
          <w:szCs w:val="18"/>
          <w:highlight w:val="yellow"/>
          <w:lang w:val="de-DE"/>
        </w:rPr>
        <w:t>[*L</w:t>
      </w:r>
      <w:r w:rsidRPr="002D2E77">
        <w:rPr>
          <w:rFonts w:ascii="Segoe UI" w:hAnsi="Segoe UI" w:cs="Segoe UI"/>
          <w:color w:val="FF0000"/>
          <w:sz w:val="18"/>
          <w:szCs w:val="18"/>
          <w:highlight w:val="yellow"/>
          <w:lang w:val="de-DE"/>
        </w:rPr>
        <w:t>ink*]</w:t>
      </w:r>
      <w:r>
        <w:rPr>
          <w:rFonts w:ascii="Segoe UI" w:hAnsi="Segoe UI" w:cs="Segoe UI"/>
          <w:color w:val="FF0000"/>
          <w:sz w:val="18"/>
          <w:szCs w:val="18"/>
          <w:lang w:val="de-DE"/>
        </w:rPr>
        <w:t xml:space="preserve"> </w:t>
      </w:r>
      <w:r>
        <w:rPr>
          <w:rFonts w:ascii="Segoe UI" w:hAnsi="Segoe UI" w:cs="Segoe UI"/>
          <w:sz w:val="18"/>
          <w:szCs w:val="18"/>
          <w:lang w:val="de-DE"/>
        </w:rPr>
        <w:t>abrufbar.</w:t>
      </w:r>
      <w:r w:rsidRPr="002D2E77">
        <w:rPr>
          <w:rFonts w:ascii="Segoe UI" w:hAnsi="Segoe UI" w:cs="Segoe UI"/>
          <w:sz w:val="18"/>
          <w:szCs w:val="18"/>
          <w:lang w:val="de-DE"/>
        </w:rPr>
        <w:t xml:space="preserve"> </w:t>
      </w:r>
    </w:p>
    <w:p w14:paraId="5F43292C" w14:textId="77777777" w:rsidR="00B17F4C" w:rsidRPr="002D2E77" w:rsidRDefault="00B17F4C" w:rsidP="00B17F4C">
      <w:pPr>
        <w:pStyle w:val="Prrafodelista"/>
        <w:ind w:left="-851" w:right="-852"/>
        <w:rPr>
          <w:rFonts w:ascii="Segoe UI" w:hAnsi="Segoe UI" w:cs="Segoe UI"/>
          <w:sz w:val="18"/>
          <w:szCs w:val="18"/>
          <w:lang w:val="de-DE"/>
        </w:rPr>
      </w:pPr>
    </w:p>
    <w:p w14:paraId="2E8F60DD" w14:textId="77777777" w:rsidR="00B17F4C" w:rsidRPr="00F513E8" w:rsidRDefault="00B17F4C" w:rsidP="00B17F4C">
      <w:pPr>
        <w:pStyle w:val="Prrafodelista"/>
        <w:numPr>
          <w:ilvl w:val="0"/>
          <w:numId w:val="3"/>
        </w:numPr>
        <w:ind w:left="-426" w:right="-852"/>
        <w:jc w:val="both"/>
        <w:rPr>
          <w:rFonts w:ascii="Segoe UI" w:hAnsi="Segoe UI" w:cs="Segoe UI"/>
          <w:sz w:val="18"/>
          <w:szCs w:val="18"/>
          <w:lang w:val="de-DE"/>
        </w:rPr>
      </w:pPr>
      <w:r w:rsidRPr="00F513E8">
        <w:rPr>
          <w:rFonts w:ascii="Segoe UI" w:hAnsi="Segoe UI" w:cs="Segoe UI"/>
          <w:sz w:val="18"/>
          <w:szCs w:val="18"/>
          <w:lang w:val="de-DE"/>
        </w:rPr>
        <w:lastRenderedPageBreak/>
        <w:t xml:space="preserve">Annahme und Überarbeitung interner Richtlinien. </w:t>
      </w:r>
    </w:p>
    <w:p w14:paraId="4D83DCFE" w14:textId="77777777" w:rsidR="00B17F4C" w:rsidRPr="00F513E8" w:rsidRDefault="00B17F4C" w:rsidP="00B17F4C">
      <w:pPr>
        <w:pStyle w:val="Prrafodelista"/>
        <w:ind w:left="-426" w:right="-852"/>
        <w:jc w:val="both"/>
        <w:rPr>
          <w:rFonts w:ascii="Segoe UI" w:hAnsi="Segoe UI" w:cs="Segoe UI"/>
          <w:sz w:val="18"/>
          <w:szCs w:val="18"/>
          <w:lang w:val="de-DE"/>
        </w:rPr>
      </w:pPr>
    </w:p>
    <w:p w14:paraId="56C1ECE4" w14:textId="77777777" w:rsidR="00B17F4C" w:rsidRPr="00470240" w:rsidRDefault="00B17F4C" w:rsidP="00B17F4C">
      <w:pPr>
        <w:pStyle w:val="Prrafodelista"/>
        <w:numPr>
          <w:ilvl w:val="0"/>
          <w:numId w:val="6"/>
        </w:numPr>
        <w:ind w:right="-852"/>
        <w:jc w:val="both"/>
        <w:rPr>
          <w:rFonts w:ascii="Segoe UI" w:hAnsi="Segoe UI" w:cs="Segoe UI"/>
          <w:sz w:val="18"/>
          <w:szCs w:val="18"/>
          <w:lang w:val="de-DE"/>
        </w:rPr>
      </w:pPr>
      <w:proofErr w:type="spellStart"/>
      <w:r w:rsidRPr="00470240">
        <w:rPr>
          <w:rFonts w:ascii="Segoe UI" w:hAnsi="Segoe UI" w:cs="Segoe UI"/>
          <w:sz w:val="18"/>
          <w:szCs w:val="18"/>
          <w:lang w:val="de-DE"/>
        </w:rPr>
        <w:t>Hydrafacial</w:t>
      </w:r>
      <w:proofErr w:type="spellEnd"/>
      <w:r w:rsidRPr="00470240">
        <w:rPr>
          <w:rFonts w:ascii="Segoe UI" w:hAnsi="Segoe UI" w:cs="Segoe UI"/>
          <w:sz w:val="18"/>
          <w:szCs w:val="18"/>
          <w:lang w:val="de-DE"/>
        </w:rPr>
        <w:t xml:space="preserve"> beobachtet die rechtlichen und regulatorischen Entwicklungen in Bezug auf die grenzübergreifende Übermittlung von personenbezogenen Daten</w:t>
      </w:r>
      <w:r>
        <w:rPr>
          <w:rFonts w:ascii="Segoe UI" w:hAnsi="Segoe UI" w:cs="Segoe UI"/>
          <w:sz w:val="18"/>
          <w:szCs w:val="18"/>
          <w:lang w:val="de-DE"/>
        </w:rPr>
        <w:t xml:space="preserve"> außerhalb der </w:t>
      </w:r>
      <w:r w:rsidRPr="00470240">
        <w:rPr>
          <w:rFonts w:ascii="Segoe UI" w:hAnsi="Segoe UI" w:cs="Segoe UI"/>
          <w:sz w:val="18"/>
          <w:szCs w:val="18"/>
          <w:lang w:val="de-DE"/>
        </w:rPr>
        <w:t>EU/</w:t>
      </w:r>
      <w:r>
        <w:rPr>
          <w:rFonts w:ascii="Segoe UI" w:hAnsi="Segoe UI" w:cs="Segoe UI"/>
          <w:sz w:val="18"/>
          <w:szCs w:val="18"/>
          <w:lang w:val="de-DE"/>
        </w:rPr>
        <w:t xml:space="preserve">des </w:t>
      </w:r>
      <w:r w:rsidRPr="00470240">
        <w:rPr>
          <w:rFonts w:ascii="Segoe UI" w:hAnsi="Segoe UI" w:cs="Segoe UI"/>
          <w:sz w:val="18"/>
          <w:szCs w:val="18"/>
          <w:lang w:val="de-DE"/>
        </w:rPr>
        <w:t>E</w:t>
      </w:r>
      <w:r>
        <w:rPr>
          <w:rFonts w:ascii="Segoe UI" w:hAnsi="Segoe UI" w:cs="Segoe UI"/>
          <w:sz w:val="18"/>
          <w:szCs w:val="18"/>
          <w:lang w:val="de-DE"/>
        </w:rPr>
        <w:t xml:space="preserve">WR, um sicherzustellen, dass die Daten </w:t>
      </w:r>
      <w:proofErr w:type="gramStart"/>
      <w:r>
        <w:rPr>
          <w:rFonts w:ascii="Segoe UI" w:hAnsi="Segoe UI" w:cs="Segoe UI"/>
          <w:sz w:val="18"/>
          <w:szCs w:val="18"/>
          <w:lang w:val="de-DE"/>
        </w:rPr>
        <w:t>fortlaufen</w:t>
      </w:r>
      <w:proofErr w:type="gramEnd"/>
      <w:r>
        <w:rPr>
          <w:rFonts w:ascii="Segoe UI" w:hAnsi="Segoe UI" w:cs="Segoe UI"/>
          <w:sz w:val="18"/>
          <w:szCs w:val="18"/>
          <w:lang w:val="de-DE"/>
        </w:rPr>
        <w:t xml:space="preserve"> ein im Wesentlichen gleichwertiges Schutzniveau genießen</w:t>
      </w:r>
      <w:r w:rsidRPr="00470240">
        <w:rPr>
          <w:rFonts w:ascii="Segoe UI" w:hAnsi="Segoe UI" w:cs="Segoe UI"/>
          <w:sz w:val="18"/>
          <w:szCs w:val="18"/>
          <w:lang w:val="de-DE"/>
        </w:rPr>
        <w:t xml:space="preserve">. </w:t>
      </w:r>
    </w:p>
    <w:p w14:paraId="68A9C0E4" w14:textId="77777777" w:rsidR="00B17F4C" w:rsidRPr="001952A9" w:rsidRDefault="00B17F4C" w:rsidP="00B17F4C">
      <w:pPr>
        <w:pStyle w:val="Prrafodelista"/>
        <w:numPr>
          <w:ilvl w:val="0"/>
          <w:numId w:val="6"/>
        </w:numPr>
        <w:ind w:right="-852"/>
        <w:jc w:val="both"/>
        <w:rPr>
          <w:rFonts w:ascii="Segoe UI" w:hAnsi="Segoe UI" w:cs="Segoe UI"/>
          <w:sz w:val="18"/>
          <w:szCs w:val="18"/>
          <w:lang w:val="de-DE"/>
        </w:rPr>
      </w:pPr>
      <w:proofErr w:type="spellStart"/>
      <w:r w:rsidRPr="001952A9">
        <w:rPr>
          <w:rFonts w:ascii="Segoe UI" w:hAnsi="Segoe UI" w:cs="Segoe UI"/>
          <w:sz w:val="18"/>
          <w:szCs w:val="18"/>
          <w:lang w:val="de-DE"/>
        </w:rPr>
        <w:t>Hydrafacial</w:t>
      </w:r>
      <w:proofErr w:type="spellEnd"/>
      <w:r w:rsidRPr="001952A9">
        <w:rPr>
          <w:rFonts w:ascii="Segoe UI" w:hAnsi="Segoe UI" w:cs="Segoe UI"/>
          <w:sz w:val="18"/>
          <w:szCs w:val="18"/>
          <w:lang w:val="de-DE"/>
        </w:rPr>
        <w:t xml:space="preserve"> überprüft regelmäßig ihre internen Richtlinien, um die Geeignetheit/E</w:t>
      </w:r>
      <w:r>
        <w:rPr>
          <w:rFonts w:ascii="Segoe UI" w:hAnsi="Segoe UI" w:cs="Segoe UI"/>
          <w:sz w:val="18"/>
          <w:szCs w:val="18"/>
          <w:lang w:val="de-DE"/>
        </w:rPr>
        <w:t>f</w:t>
      </w:r>
      <w:r w:rsidRPr="001952A9">
        <w:rPr>
          <w:rFonts w:ascii="Segoe UI" w:hAnsi="Segoe UI" w:cs="Segoe UI"/>
          <w:sz w:val="18"/>
          <w:szCs w:val="18"/>
          <w:lang w:val="de-DE"/>
        </w:rPr>
        <w:t>fektivität von zusätzlichen Maßnahmen bewerten und erforderlichenfalls ergänzende oder alternative Lösungen</w:t>
      </w:r>
      <w:r>
        <w:rPr>
          <w:rFonts w:ascii="Segoe UI" w:hAnsi="Segoe UI" w:cs="Segoe UI"/>
          <w:sz w:val="18"/>
          <w:szCs w:val="18"/>
          <w:lang w:val="de-DE"/>
        </w:rPr>
        <w:t xml:space="preserve"> identifizieren und einführen zu können</w:t>
      </w:r>
      <w:r w:rsidRPr="001952A9">
        <w:rPr>
          <w:rFonts w:ascii="Segoe UI" w:hAnsi="Segoe UI" w:cs="Segoe UI"/>
          <w:sz w:val="18"/>
          <w:szCs w:val="18"/>
          <w:lang w:val="de-DE"/>
        </w:rPr>
        <w:t xml:space="preserve">. Soweit erforderlich und angemessen, wird </w:t>
      </w:r>
      <w:proofErr w:type="spellStart"/>
      <w:r w:rsidRPr="001952A9">
        <w:rPr>
          <w:rFonts w:ascii="Segoe UI" w:hAnsi="Segoe UI" w:cs="Segoe UI"/>
          <w:sz w:val="18"/>
          <w:szCs w:val="18"/>
          <w:lang w:val="de-DE"/>
        </w:rPr>
        <w:t>Hydrafacial</w:t>
      </w:r>
      <w:proofErr w:type="spellEnd"/>
      <w:r w:rsidRPr="001952A9">
        <w:rPr>
          <w:rFonts w:ascii="Segoe UI" w:hAnsi="Segoe UI" w:cs="Segoe UI"/>
          <w:sz w:val="18"/>
          <w:szCs w:val="18"/>
          <w:lang w:val="de-DE"/>
        </w:rPr>
        <w:t xml:space="preserve"> gewissenhaft daran arbeiten, zusätzlich erforderliche technische, organisatorische und/oder vertragliche Maßnahmen einzuführen. </w:t>
      </w:r>
    </w:p>
    <w:p w14:paraId="5359D167" w14:textId="77777777" w:rsidR="00B17F4C" w:rsidRPr="001952A9" w:rsidRDefault="00B17F4C" w:rsidP="00B17F4C">
      <w:pPr>
        <w:pStyle w:val="Prrafodelista"/>
        <w:ind w:left="-851" w:right="-852"/>
        <w:jc w:val="both"/>
        <w:rPr>
          <w:rFonts w:ascii="Segoe UI" w:hAnsi="Segoe UI" w:cs="Segoe UI"/>
          <w:sz w:val="18"/>
          <w:szCs w:val="18"/>
          <w:lang w:val="de-DE"/>
        </w:rPr>
      </w:pPr>
    </w:p>
    <w:p w14:paraId="37C34FCF" w14:textId="77777777" w:rsidR="00B17F4C" w:rsidRPr="00F513E8" w:rsidRDefault="00B17F4C" w:rsidP="00B17F4C">
      <w:pPr>
        <w:pStyle w:val="Prrafodelista"/>
        <w:numPr>
          <w:ilvl w:val="0"/>
          <w:numId w:val="3"/>
        </w:numPr>
        <w:ind w:left="-426" w:right="-852"/>
        <w:jc w:val="both"/>
        <w:rPr>
          <w:rFonts w:ascii="Segoe UI" w:hAnsi="Segoe UI" w:cs="Segoe UI"/>
          <w:sz w:val="18"/>
          <w:szCs w:val="18"/>
          <w:lang w:val="de-DE"/>
        </w:rPr>
      </w:pPr>
      <w:r w:rsidRPr="00F513E8">
        <w:rPr>
          <w:rFonts w:ascii="Segoe UI" w:hAnsi="Segoe UI" w:cs="Segoe UI"/>
          <w:sz w:val="18"/>
          <w:szCs w:val="18"/>
          <w:lang w:val="de-DE"/>
        </w:rPr>
        <w:t>Organisatorische Methoden und Maßnahmen zur Datens</w:t>
      </w:r>
      <w:r>
        <w:rPr>
          <w:rFonts w:ascii="Segoe UI" w:hAnsi="Segoe UI" w:cs="Segoe UI"/>
          <w:sz w:val="18"/>
          <w:szCs w:val="18"/>
          <w:lang w:val="de-DE"/>
        </w:rPr>
        <w:t>parsamkeit</w:t>
      </w:r>
      <w:r w:rsidRPr="00F513E8">
        <w:rPr>
          <w:rFonts w:ascii="Segoe UI" w:hAnsi="Segoe UI" w:cs="Segoe UI"/>
          <w:sz w:val="18"/>
          <w:szCs w:val="18"/>
          <w:lang w:val="de-DE"/>
        </w:rPr>
        <w:t xml:space="preserve">. </w:t>
      </w:r>
    </w:p>
    <w:p w14:paraId="5AD9878C" w14:textId="77777777" w:rsidR="00B17F4C" w:rsidRPr="00F513E8" w:rsidRDefault="00B17F4C" w:rsidP="00B17F4C">
      <w:pPr>
        <w:pStyle w:val="Prrafodelista"/>
        <w:ind w:left="-426" w:right="-852"/>
        <w:jc w:val="both"/>
        <w:rPr>
          <w:rFonts w:ascii="Segoe UI" w:hAnsi="Segoe UI" w:cs="Segoe UI"/>
          <w:sz w:val="18"/>
          <w:szCs w:val="18"/>
          <w:lang w:val="de-DE"/>
        </w:rPr>
      </w:pPr>
    </w:p>
    <w:p w14:paraId="6631ED69" w14:textId="77777777" w:rsidR="00B17F4C" w:rsidRPr="00956F78" w:rsidRDefault="00B17F4C" w:rsidP="00B17F4C">
      <w:pPr>
        <w:pStyle w:val="Prrafodelista"/>
        <w:numPr>
          <w:ilvl w:val="0"/>
          <w:numId w:val="6"/>
        </w:numPr>
        <w:ind w:right="-852"/>
        <w:jc w:val="both"/>
        <w:rPr>
          <w:rFonts w:ascii="Segoe UI" w:hAnsi="Segoe UI" w:cs="Segoe UI"/>
          <w:sz w:val="18"/>
          <w:szCs w:val="18"/>
          <w:lang w:val="de-DE"/>
        </w:rPr>
      </w:pPr>
      <w:proofErr w:type="spellStart"/>
      <w:r w:rsidRPr="00956F78">
        <w:rPr>
          <w:rFonts w:ascii="Segoe UI" w:hAnsi="Segoe UI" w:cs="Segoe UI"/>
          <w:sz w:val="18"/>
          <w:szCs w:val="18"/>
          <w:lang w:val="de-DE"/>
        </w:rPr>
        <w:t>Hydrafacial</w:t>
      </w:r>
      <w:proofErr w:type="spellEnd"/>
      <w:r w:rsidRPr="00956F78">
        <w:rPr>
          <w:rFonts w:ascii="Segoe UI" w:hAnsi="Segoe UI" w:cs="Segoe UI"/>
          <w:sz w:val="18"/>
          <w:szCs w:val="18"/>
          <w:lang w:val="de-DE"/>
        </w:rPr>
        <w:t xml:space="preserve"> hat organisatorische Kontrollen eingeführt, um dem Grundsatz der Rechenschaftspflicht zu entsprechen, wozu auch Zugangsmanagementkontrollen gehören. </w:t>
      </w:r>
    </w:p>
    <w:p w14:paraId="246DB009" w14:textId="77777777" w:rsidR="00B17F4C" w:rsidRPr="00956F78" w:rsidRDefault="00B17F4C" w:rsidP="00B17F4C">
      <w:pPr>
        <w:pStyle w:val="Prrafodelista"/>
        <w:numPr>
          <w:ilvl w:val="0"/>
          <w:numId w:val="6"/>
        </w:numPr>
        <w:ind w:right="-852"/>
        <w:jc w:val="both"/>
        <w:rPr>
          <w:rFonts w:ascii="Segoe UI" w:hAnsi="Segoe UI" w:cs="Segoe UI"/>
          <w:sz w:val="18"/>
          <w:szCs w:val="18"/>
          <w:lang w:val="de-DE"/>
        </w:rPr>
      </w:pPr>
      <w:proofErr w:type="spellStart"/>
      <w:r w:rsidRPr="00956F78">
        <w:rPr>
          <w:rFonts w:ascii="Segoe UI" w:hAnsi="Segoe UI" w:cs="Segoe UI"/>
          <w:sz w:val="18"/>
          <w:szCs w:val="18"/>
          <w:lang w:val="de-DE"/>
        </w:rPr>
        <w:t>Hydrafacial</w:t>
      </w:r>
      <w:proofErr w:type="spellEnd"/>
      <w:r w:rsidRPr="00956F78">
        <w:rPr>
          <w:rFonts w:ascii="Segoe UI" w:hAnsi="Segoe UI" w:cs="Segoe UI"/>
          <w:sz w:val="18"/>
          <w:szCs w:val="18"/>
          <w:lang w:val="de-DE"/>
        </w:rPr>
        <w:t xml:space="preserve"> praktiziert Datensparsamkeit, um die personenbezogene</w:t>
      </w:r>
      <w:r>
        <w:rPr>
          <w:rFonts w:ascii="Segoe UI" w:hAnsi="Segoe UI" w:cs="Segoe UI"/>
          <w:sz w:val="18"/>
          <w:szCs w:val="18"/>
          <w:lang w:val="de-DE"/>
        </w:rPr>
        <w:t>n</w:t>
      </w:r>
      <w:r w:rsidRPr="00956F78">
        <w:rPr>
          <w:rFonts w:ascii="Segoe UI" w:hAnsi="Segoe UI" w:cs="Segoe UI"/>
          <w:sz w:val="18"/>
          <w:szCs w:val="18"/>
          <w:lang w:val="de-DE"/>
        </w:rPr>
        <w:t xml:space="preserve"> Daten nicht unnötig der Gefahr von unbefugtem Zugriff auszusetzen. </w:t>
      </w:r>
    </w:p>
    <w:p w14:paraId="1F070969" w14:textId="77777777" w:rsidR="00B17F4C" w:rsidRPr="00956F78" w:rsidRDefault="00B17F4C" w:rsidP="00B17F4C">
      <w:pPr>
        <w:pStyle w:val="Prrafodelista"/>
        <w:numPr>
          <w:ilvl w:val="0"/>
          <w:numId w:val="6"/>
        </w:numPr>
        <w:ind w:right="-852"/>
        <w:jc w:val="both"/>
        <w:rPr>
          <w:rFonts w:ascii="Segoe UI" w:hAnsi="Segoe UI" w:cs="Segoe UI"/>
          <w:sz w:val="18"/>
          <w:szCs w:val="18"/>
          <w:lang w:val="de-DE"/>
        </w:rPr>
      </w:pPr>
      <w:proofErr w:type="spellStart"/>
      <w:r w:rsidRPr="00956F78">
        <w:rPr>
          <w:rFonts w:ascii="Segoe UI" w:hAnsi="Segoe UI" w:cs="Segoe UI"/>
          <w:sz w:val="18"/>
          <w:szCs w:val="18"/>
          <w:lang w:val="de-DE"/>
        </w:rPr>
        <w:t>Hydrafacial</w:t>
      </w:r>
      <w:proofErr w:type="spellEnd"/>
      <w:r w:rsidRPr="00956F78">
        <w:rPr>
          <w:rFonts w:ascii="Segoe UI" w:hAnsi="Segoe UI" w:cs="Segoe UI"/>
          <w:sz w:val="18"/>
          <w:szCs w:val="18"/>
          <w:lang w:val="de-DE"/>
        </w:rPr>
        <w:t xml:space="preserve"> hat bewährte Praktiken eingeführt, um den DSB und die Rechtsabteilung angemessen und zeitnah einbeziehen und dies</w:t>
      </w:r>
      <w:r>
        <w:rPr>
          <w:rFonts w:ascii="Segoe UI" w:hAnsi="Segoe UI" w:cs="Segoe UI"/>
          <w:sz w:val="18"/>
          <w:szCs w:val="18"/>
          <w:lang w:val="de-DE"/>
        </w:rPr>
        <w:t>en Stellen Zugang zu Informationen über Angelegenheiten betreffend die internationale Übermittlung von personenbezogenen Daten gewähren zu können</w:t>
      </w:r>
      <w:r w:rsidRPr="00956F78">
        <w:rPr>
          <w:rFonts w:ascii="Segoe UI" w:hAnsi="Segoe UI" w:cs="Segoe UI"/>
          <w:sz w:val="18"/>
          <w:szCs w:val="18"/>
          <w:lang w:val="de-DE"/>
        </w:rPr>
        <w:t xml:space="preserve">. </w:t>
      </w:r>
    </w:p>
    <w:bookmarkEnd w:id="0"/>
    <w:p w14:paraId="6C00C733" w14:textId="77777777" w:rsidR="00B17F4C" w:rsidRPr="00956F78" w:rsidRDefault="00B17F4C" w:rsidP="00B17F4C">
      <w:pPr>
        <w:ind w:right="-852"/>
        <w:jc w:val="both"/>
        <w:rPr>
          <w:rFonts w:ascii="Segoe UI" w:hAnsi="Segoe UI" w:cs="Segoe UI"/>
          <w:sz w:val="18"/>
          <w:szCs w:val="18"/>
          <w:lang w:val="de-DE"/>
        </w:rPr>
      </w:pPr>
    </w:p>
    <w:p w14:paraId="7F18931B" w14:textId="40CF33E5" w:rsidR="00D67CD4" w:rsidRPr="00B17F4C" w:rsidRDefault="00D67CD4" w:rsidP="00B17F4C">
      <w:pPr>
        <w:rPr>
          <w:lang w:val="de-DE"/>
        </w:rPr>
      </w:pPr>
    </w:p>
    <w:sectPr w:rsidR="00D67CD4" w:rsidRPr="00B17F4C"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3E84E" w14:textId="77777777" w:rsidR="000C063E" w:rsidRDefault="000C063E" w:rsidP="00E60FF1">
      <w:pPr>
        <w:spacing w:after="0" w:line="240" w:lineRule="auto"/>
      </w:pPr>
      <w:r>
        <w:separator/>
      </w:r>
    </w:p>
  </w:endnote>
  <w:endnote w:type="continuationSeparator" w:id="0">
    <w:p w14:paraId="496E93BE" w14:textId="77777777" w:rsidR="000C063E" w:rsidRDefault="000C063E"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51D4F" w14:textId="77777777" w:rsidR="000C063E" w:rsidRDefault="000C063E" w:rsidP="00E60FF1">
      <w:pPr>
        <w:spacing w:after="0" w:line="240" w:lineRule="auto"/>
      </w:pPr>
      <w:r>
        <w:separator/>
      </w:r>
    </w:p>
  </w:footnote>
  <w:footnote w:type="continuationSeparator" w:id="0">
    <w:p w14:paraId="622AE0D5" w14:textId="77777777" w:rsidR="000C063E" w:rsidRDefault="000C063E"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A904A9"/>
    <w:multiLevelType w:val="hybridMultilevel"/>
    <w:tmpl w:val="072ECA38"/>
    <w:lvl w:ilvl="0" w:tplc="E0C6C216">
      <w:start w:val="1"/>
      <w:numFmt w:val="bullet"/>
      <w:lvlText w:val=""/>
      <w:lvlJc w:val="left"/>
      <w:pPr>
        <w:ind w:left="360" w:hanging="360"/>
      </w:pPr>
      <w:rPr>
        <w:rFonts w:ascii="Symbol" w:hAnsi="Symbol" w:hint="default"/>
      </w:rPr>
    </w:lvl>
    <w:lvl w:ilvl="1" w:tplc="4BAEEAC6" w:tentative="1">
      <w:start w:val="1"/>
      <w:numFmt w:val="bullet"/>
      <w:lvlText w:val="o"/>
      <w:lvlJc w:val="left"/>
      <w:pPr>
        <w:ind w:left="1080" w:hanging="360"/>
      </w:pPr>
      <w:rPr>
        <w:rFonts w:ascii="Courier New" w:hAnsi="Courier New" w:cs="Courier New" w:hint="default"/>
      </w:rPr>
    </w:lvl>
    <w:lvl w:ilvl="2" w:tplc="520289CE" w:tentative="1">
      <w:start w:val="1"/>
      <w:numFmt w:val="bullet"/>
      <w:lvlText w:val=""/>
      <w:lvlJc w:val="left"/>
      <w:pPr>
        <w:ind w:left="1800" w:hanging="360"/>
      </w:pPr>
      <w:rPr>
        <w:rFonts w:ascii="Wingdings" w:hAnsi="Wingdings" w:hint="default"/>
      </w:rPr>
    </w:lvl>
    <w:lvl w:ilvl="3" w:tplc="1F64A7D4" w:tentative="1">
      <w:start w:val="1"/>
      <w:numFmt w:val="bullet"/>
      <w:lvlText w:val=""/>
      <w:lvlJc w:val="left"/>
      <w:pPr>
        <w:ind w:left="2520" w:hanging="360"/>
      </w:pPr>
      <w:rPr>
        <w:rFonts w:ascii="Symbol" w:hAnsi="Symbol" w:hint="default"/>
      </w:rPr>
    </w:lvl>
    <w:lvl w:ilvl="4" w:tplc="F3440C48" w:tentative="1">
      <w:start w:val="1"/>
      <w:numFmt w:val="bullet"/>
      <w:lvlText w:val="o"/>
      <w:lvlJc w:val="left"/>
      <w:pPr>
        <w:ind w:left="3240" w:hanging="360"/>
      </w:pPr>
      <w:rPr>
        <w:rFonts w:ascii="Courier New" w:hAnsi="Courier New" w:cs="Courier New" w:hint="default"/>
      </w:rPr>
    </w:lvl>
    <w:lvl w:ilvl="5" w:tplc="8ECA85B4" w:tentative="1">
      <w:start w:val="1"/>
      <w:numFmt w:val="bullet"/>
      <w:lvlText w:val=""/>
      <w:lvlJc w:val="left"/>
      <w:pPr>
        <w:ind w:left="3960" w:hanging="360"/>
      </w:pPr>
      <w:rPr>
        <w:rFonts w:ascii="Wingdings" w:hAnsi="Wingdings" w:hint="default"/>
      </w:rPr>
    </w:lvl>
    <w:lvl w:ilvl="6" w:tplc="E13416AC" w:tentative="1">
      <w:start w:val="1"/>
      <w:numFmt w:val="bullet"/>
      <w:lvlText w:val=""/>
      <w:lvlJc w:val="left"/>
      <w:pPr>
        <w:ind w:left="4680" w:hanging="360"/>
      </w:pPr>
      <w:rPr>
        <w:rFonts w:ascii="Symbol" w:hAnsi="Symbol" w:hint="default"/>
      </w:rPr>
    </w:lvl>
    <w:lvl w:ilvl="7" w:tplc="0F72F7B8" w:tentative="1">
      <w:start w:val="1"/>
      <w:numFmt w:val="bullet"/>
      <w:lvlText w:val="o"/>
      <w:lvlJc w:val="left"/>
      <w:pPr>
        <w:ind w:left="5400" w:hanging="360"/>
      </w:pPr>
      <w:rPr>
        <w:rFonts w:ascii="Courier New" w:hAnsi="Courier New" w:cs="Courier New" w:hint="default"/>
      </w:rPr>
    </w:lvl>
    <w:lvl w:ilvl="8" w:tplc="F0C2EFA8" w:tentative="1">
      <w:start w:val="1"/>
      <w:numFmt w:val="bullet"/>
      <w:lvlText w:val=""/>
      <w:lvlJc w:val="left"/>
      <w:pPr>
        <w:ind w:left="6120" w:hanging="360"/>
      </w:pPr>
      <w:rPr>
        <w:rFonts w:ascii="Wingdings" w:hAnsi="Wingdings" w:hint="default"/>
      </w:rPr>
    </w:lvl>
  </w:abstractNum>
  <w:abstractNum w:abstractNumId="7"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9"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1"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5"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6" w15:restartNumberingAfterBreak="0">
    <w:nsid w:val="66231D1E"/>
    <w:multiLevelType w:val="hybridMultilevel"/>
    <w:tmpl w:val="81228C36"/>
    <w:lvl w:ilvl="0" w:tplc="9288D3E6">
      <w:start w:val="1"/>
      <w:numFmt w:val="bullet"/>
      <w:lvlText w:val=""/>
      <w:lvlJc w:val="left"/>
      <w:pPr>
        <w:ind w:left="1080" w:hanging="360"/>
      </w:pPr>
      <w:rPr>
        <w:rFonts w:ascii="Symbol" w:hAnsi="Symbol" w:cs="Symbol" w:hint="default"/>
        <w:b/>
        <w:i w:val="0"/>
        <w:sz w:val="16"/>
      </w:rPr>
    </w:lvl>
    <w:lvl w:ilvl="1" w:tplc="CC66E7D2" w:tentative="1">
      <w:start w:val="1"/>
      <w:numFmt w:val="bullet"/>
      <w:lvlText w:val="o"/>
      <w:lvlJc w:val="left"/>
      <w:pPr>
        <w:ind w:left="1800" w:hanging="360"/>
      </w:pPr>
      <w:rPr>
        <w:rFonts w:ascii="Courier New" w:hAnsi="Courier New" w:cs="Courier New" w:hint="default"/>
      </w:rPr>
    </w:lvl>
    <w:lvl w:ilvl="2" w:tplc="E0F6D804" w:tentative="1">
      <w:start w:val="1"/>
      <w:numFmt w:val="bullet"/>
      <w:lvlText w:val=""/>
      <w:lvlJc w:val="left"/>
      <w:pPr>
        <w:ind w:left="2520" w:hanging="360"/>
      </w:pPr>
      <w:rPr>
        <w:rFonts w:ascii="Wingdings" w:hAnsi="Wingdings" w:hint="default"/>
      </w:rPr>
    </w:lvl>
    <w:lvl w:ilvl="3" w:tplc="C4DCC0BA" w:tentative="1">
      <w:start w:val="1"/>
      <w:numFmt w:val="bullet"/>
      <w:lvlText w:val=""/>
      <w:lvlJc w:val="left"/>
      <w:pPr>
        <w:ind w:left="3240" w:hanging="360"/>
      </w:pPr>
      <w:rPr>
        <w:rFonts w:ascii="Symbol" w:hAnsi="Symbol" w:hint="default"/>
      </w:rPr>
    </w:lvl>
    <w:lvl w:ilvl="4" w:tplc="5B72AE00" w:tentative="1">
      <w:start w:val="1"/>
      <w:numFmt w:val="bullet"/>
      <w:lvlText w:val="o"/>
      <w:lvlJc w:val="left"/>
      <w:pPr>
        <w:ind w:left="3960" w:hanging="360"/>
      </w:pPr>
      <w:rPr>
        <w:rFonts w:ascii="Courier New" w:hAnsi="Courier New" w:cs="Courier New" w:hint="default"/>
      </w:rPr>
    </w:lvl>
    <w:lvl w:ilvl="5" w:tplc="C3B4725E" w:tentative="1">
      <w:start w:val="1"/>
      <w:numFmt w:val="bullet"/>
      <w:lvlText w:val=""/>
      <w:lvlJc w:val="left"/>
      <w:pPr>
        <w:ind w:left="4680" w:hanging="360"/>
      </w:pPr>
      <w:rPr>
        <w:rFonts w:ascii="Wingdings" w:hAnsi="Wingdings" w:hint="default"/>
      </w:rPr>
    </w:lvl>
    <w:lvl w:ilvl="6" w:tplc="01186FC6" w:tentative="1">
      <w:start w:val="1"/>
      <w:numFmt w:val="bullet"/>
      <w:lvlText w:val=""/>
      <w:lvlJc w:val="left"/>
      <w:pPr>
        <w:ind w:left="5400" w:hanging="360"/>
      </w:pPr>
      <w:rPr>
        <w:rFonts w:ascii="Symbol" w:hAnsi="Symbol" w:hint="default"/>
      </w:rPr>
    </w:lvl>
    <w:lvl w:ilvl="7" w:tplc="8F18187A" w:tentative="1">
      <w:start w:val="1"/>
      <w:numFmt w:val="bullet"/>
      <w:lvlText w:val="o"/>
      <w:lvlJc w:val="left"/>
      <w:pPr>
        <w:ind w:left="6120" w:hanging="360"/>
      </w:pPr>
      <w:rPr>
        <w:rFonts w:ascii="Courier New" w:hAnsi="Courier New" w:cs="Courier New" w:hint="default"/>
      </w:rPr>
    </w:lvl>
    <w:lvl w:ilvl="8" w:tplc="4E244E54" w:tentative="1">
      <w:start w:val="1"/>
      <w:numFmt w:val="bullet"/>
      <w:lvlText w:val=""/>
      <w:lvlJc w:val="left"/>
      <w:pPr>
        <w:ind w:left="6840" w:hanging="360"/>
      </w:pPr>
      <w:rPr>
        <w:rFonts w:ascii="Wingdings" w:hAnsi="Wingdings" w:hint="default"/>
      </w:rPr>
    </w:lvl>
  </w:abstractNum>
  <w:abstractNum w:abstractNumId="17"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9"/>
  </w:num>
  <w:num w:numId="3" w16cid:durableId="2115859497">
    <w:abstractNumId w:val="3"/>
  </w:num>
  <w:num w:numId="4" w16cid:durableId="731731613">
    <w:abstractNumId w:val="4"/>
  </w:num>
  <w:num w:numId="5" w16cid:durableId="699743016">
    <w:abstractNumId w:val="8"/>
  </w:num>
  <w:num w:numId="6" w16cid:durableId="1564245549">
    <w:abstractNumId w:val="14"/>
  </w:num>
  <w:num w:numId="7" w16cid:durableId="636570715">
    <w:abstractNumId w:val="18"/>
  </w:num>
  <w:num w:numId="8" w16cid:durableId="826357370">
    <w:abstractNumId w:val="10"/>
  </w:num>
  <w:num w:numId="9" w16cid:durableId="1563171777">
    <w:abstractNumId w:val="2"/>
  </w:num>
  <w:num w:numId="10" w16cid:durableId="1722052119">
    <w:abstractNumId w:val="15"/>
  </w:num>
  <w:num w:numId="11" w16cid:durableId="870728931">
    <w:abstractNumId w:val="0"/>
  </w:num>
  <w:num w:numId="12" w16cid:durableId="2138329036">
    <w:abstractNumId w:val="11"/>
  </w:num>
  <w:num w:numId="13" w16cid:durableId="2068410808">
    <w:abstractNumId w:val="7"/>
  </w:num>
  <w:num w:numId="14" w16cid:durableId="1676760950">
    <w:abstractNumId w:val="5"/>
  </w:num>
  <w:num w:numId="15" w16cid:durableId="118649714">
    <w:abstractNumId w:val="12"/>
  </w:num>
  <w:num w:numId="16" w16cid:durableId="1002515889">
    <w:abstractNumId w:val="13"/>
  </w:num>
  <w:num w:numId="17" w16cid:durableId="236519791">
    <w:abstractNumId w:val="17"/>
  </w:num>
  <w:num w:numId="18" w16cid:durableId="1163206427">
    <w:abstractNumId w:val="16"/>
  </w:num>
  <w:num w:numId="19" w16cid:durableId="1942757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C063E"/>
    <w:rsid w:val="000D2C9E"/>
    <w:rsid w:val="000D2FFB"/>
    <w:rsid w:val="000F5EDA"/>
    <w:rsid w:val="00105A0B"/>
    <w:rsid w:val="00125ED1"/>
    <w:rsid w:val="00162455"/>
    <w:rsid w:val="001A2B93"/>
    <w:rsid w:val="001B7501"/>
    <w:rsid w:val="001C2154"/>
    <w:rsid w:val="001C3777"/>
    <w:rsid w:val="001D28AF"/>
    <w:rsid w:val="00206F74"/>
    <w:rsid w:val="002639A8"/>
    <w:rsid w:val="00292C13"/>
    <w:rsid w:val="002C51E0"/>
    <w:rsid w:val="00301E3B"/>
    <w:rsid w:val="00312F10"/>
    <w:rsid w:val="003B057D"/>
    <w:rsid w:val="003B6091"/>
    <w:rsid w:val="00403931"/>
    <w:rsid w:val="00404A1E"/>
    <w:rsid w:val="00410A22"/>
    <w:rsid w:val="00465327"/>
    <w:rsid w:val="00487776"/>
    <w:rsid w:val="004F7F09"/>
    <w:rsid w:val="00551F53"/>
    <w:rsid w:val="005560BE"/>
    <w:rsid w:val="0056425E"/>
    <w:rsid w:val="0058530F"/>
    <w:rsid w:val="005C3706"/>
    <w:rsid w:val="0062415F"/>
    <w:rsid w:val="006263DC"/>
    <w:rsid w:val="006275FD"/>
    <w:rsid w:val="0063338E"/>
    <w:rsid w:val="00645522"/>
    <w:rsid w:val="0066659B"/>
    <w:rsid w:val="00687E16"/>
    <w:rsid w:val="006D236F"/>
    <w:rsid w:val="006D607E"/>
    <w:rsid w:val="006E04BF"/>
    <w:rsid w:val="00725FD8"/>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E1E29"/>
    <w:rsid w:val="00A17123"/>
    <w:rsid w:val="00A52B1C"/>
    <w:rsid w:val="00A8525B"/>
    <w:rsid w:val="00AB7DB8"/>
    <w:rsid w:val="00AE1B75"/>
    <w:rsid w:val="00B15350"/>
    <w:rsid w:val="00B17F4C"/>
    <w:rsid w:val="00B321B9"/>
    <w:rsid w:val="00B51F01"/>
    <w:rsid w:val="00B522DC"/>
    <w:rsid w:val="00B94D57"/>
    <w:rsid w:val="00B956B3"/>
    <w:rsid w:val="00BA7AC6"/>
    <w:rsid w:val="00BE5A89"/>
    <w:rsid w:val="00BF2A40"/>
    <w:rsid w:val="00C11583"/>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F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2796</Words>
  <Characters>15383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2023-03-15T08:40:00Z</cp:lastPrinted>
  <dcterms:created xsi:type="dcterms:W3CDTF">2023-03-15T08:45:00Z</dcterms:created>
  <dcterms:modified xsi:type="dcterms:W3CDTF">2023-03-15T08:45:00Z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