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B00D" w14:textId="77777777" w:rsidR="006D6DDD" w:rsidRPr="009E1E29" w:rsidRDefault="006D6DDD" w:rsidP="006D6DDD">
      <w:pPr>
        <w:ind w:left="-1134" w:right="-852"/>
        <w:rPr>
          <w:rFonts w:ascii="Segoe UI" w:hAnsi="Segoe UI" w:cs="Segoe UI"/>
          <w:sz w:val="24"/>
          <w:szCs w:val="24"/>
        </w:rPr>
      </w:pPr>
      <w:bookmarkStart w:id="0" w:name="_Hlk128906867"/>
      <w:r>
        <w:rPr>
          <w:rFonts w:ascii="Segoe UI" w:hAnsi="Segoe UI"/>
          <w:sz w:val="24"/>
        </w:rPr>
        <w:t>Incorporação das Cláusulas Contratuais-tipo no Acordo sobre o Tratamento de Dados</w:t>
      </w:r>
    </w:p>
    <w:p w14:paraId="089CD2AB" w14:textId="77777777" w:rsidR="006D6DDD" w:rsidRPr="00FD3B3B" w:rsidRDefault="006D6DDD" w:rsidP="006D6DDD">
      <w:pPr>
        <w:ind w:left="-1134" w:right="-852"/>
        <w:rPr>
          <w:rFonts w:ascii="Segoe UI" w:hAnsi="Segoe UI" w:cs="Segoe UI"/>
          <w:sz w:val="18"/>
          <w:szCs w:val="18"/>
        </w:rPr>
      </w:pPr>
      <w:r>
        <w:rPr>
          <w:rFonts w:ascii="Segoe UI" w:hAnsi="Segoe UI"/>
          <w:sz w:val="18"/>
        </w:rPr>
        <w:t xml:space="preserve">Última atualização em 22 de fevereiro de 2023 </w:t>
      </w:r>
    </w:p>
    <w:p w14:paraId="034AABD6" w14:textId="77777777" w:rsidR="006D6DDD" w:rsidRPr="00FD3B3B" w:rsidRDefault="006D6DDD" w:rsidP="006D6DDD">
      <w:pPr>
        <w:ind w:left="-1134" w:right="-852"/>
        <w:jc w:val="both"/>
        <w:rPr>
          <w:rFonts w:ascii="Segoe UI" w:hAnsi="Segoe UI" w:cs="Segoe UI"/>
          <w:sz w:val="18"/>
          <w:szCs w:val="18"/>
        </w:rPr>
      </w:pPr>
      <w:r>
        <w:rPr>
          <w:rFonts w:ascii="Segoe UI" w:hAnsi="Segoe UI"/>
          <w:sz w:val="18"/>
        </w:rPr>
        <w:t xml:space="preserve">Este documento é celebrado entre o Cliente e a </w:t>
      </w:r>
      <w:proofErr w:type="spellStart"/>
      <w:r>
        <w:rPr>
          <w:rFonts w:ascii="Segoe UI" w:hAnsi="Segoe UI"/>
          <w:sz w:val="18"/>
        </w:rPr>
        <w:t>Hydrafacial</w:t>
      </w:r>
      <w:proofErr w:type="spellEnd"/>
      <w:r>
        <w:rPr>
          <w:rFonts w:ascii="Segoe UI" w:hAnsi="Segoe UI"/>
          <w:sz w:val="18"/>
        </w:rPr>
        <w:t xml:space="preserve"> LLC ("</w:t>
      </w:r>
      <w:proofErr w:type="spellStart"/>
      <w:r>
        <w:rPr>
          <w:rFonts w:ascii="Segoe UI" w:hAnsi="Segoe UI"/>
          <w:sz w:val="18"/>
        </w:rPr>
        <w:t>Hydrafacial</w:t>
      </w:r>
      <w:proofErr w:type="spellEnd"/>
      <w:r>
        <w:rPr>
          <w:rFonts w:ascii="Segoe UI" w:hAnsi="Segoe UI"/>
          <w:sz w:val="18"/>
        </w:rPr>
        <w:t>") para incorporar as Cláusulas Contratuais-Tipo ("CCT da HF").</w:t>
      </w:r>
    </w:p>
    <w:p w14:paraId="62AEEFAE" w14:textId="77777777" w:rsidR="006D6DDD" w:rsidRPr="00FD3B3B" w:rsidRDefault="006D6DDD" w:rsidP="006D6DDD">
      <w:pPr>
        <w:ind w:left="-1134" w:right="-852"/>
        <w:jc w:val="both"/>
        <w:rPr>
          <w:rFonts w:ascii="Segoe UI" w:hAnsi="Segoe UI" w:cs="Segoe UI"/>
          <w:sz w:val="18"/>
          <w:szCs w:val="18"/>
        </w:rPr>
      </w:pPr>
      <w:r>
        <w:rPr>
          <w:rFonts w:ascii="Segoe UI" w:hAnsi="Segoe UI"/>
          <w:sz w:val="18"/>
        </w:rPr>
        <w:t xml:space="preserve">Considerando os pactos e acordos mútuos aqui incluídos, as Partes acordam no seguinte: </w:t>
      </w:r>
    </w:p>
    <w:p w14:paraId="6C2DD63B" w14:textId="77777777" w:rsidR="006D6DDD" w:rsidRPr="007D1C9B" w:rsidRDefault="006D6DDD" w:rsidP="006D6DDD">
      <w:pPr>
        <w:ind w:left="-1134" w:right="-852"/>
        <w:jc w:val="both"/>
        <w:rPr>
          <w:rFonts w:ascii="Segoe UI" w:hAnsi="Segoe UI" w:cs="Segoe UI"/>
          <w:b/>
          <w:bCs/>
          <w:sz w:val="20"/>
          <w:szCs w:val="20"/>
        </w:rPr>
      </w:pPr>
      <w:r>
        <w:rPr>
          <w:rFonts w:ascii="Segoe UI" w:hAnsi="Segoe UI"/>
          <w:b/>
          <w:sz w:val="20"/>
        </w:rPr>
        <w:t xml:space="preserve">Definições </w:t>
      </w:r>
    </w:p>
    <w:p w14:paraId="3580751E" w14:textId="77777777" w:rsidR="006D6DDD" w:rsidRPr="00E70C71" w:rsidRDefault="006D6DDD" w:rsidP="006D6DDD">
      <w:pPr>
        <w:ind w:left="-1134" w:right="-852"/>
        <w:jc w:val="both"/>
        <w:rPr>
          <w:rFonts w:ascii="Segoe UI" w:hAnsi="Segoe UI" w:cs="Segoe UI"/>
          <w:sz w:val="18"/>
          <w:szCs w:val="18"/>
        </w:rPr>
      </w:pPr>
      <w:r>
        <w:rPr>
          <w:rFonts w:ascii="Segoe UI" w:hAnsi="Segoe UI"/>
          <w:sz w:val="18"/>
        </w:rPr>
        <w:t xml:space="preserve">Salvo definição em contrário no Acordo sobre Tratamento de Dados, os termos listados abaixo e utilizados nas presentes CCT da HF terão os seguintes significados: </w:t>
      </w:r>
    </w:p>
    <w:p w14:paraId="1C19D817"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 xml:space="preserve">" Acordo de Compra" o acordo pré-existente assinado que formou a base da transação comercial entre o Cliente e 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e/ou as suas Afiliadas. </w:t>
      </w:r>
    </w:p>
    <w:p w14:paraId="2683BC2E"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 xml:space="preserve">" Afiliada" significa, em relação a uma Parte, qualquer entidade controlada por, ou sob controlo comum </w:t>
      </w:r>
      <w:proofErr w:type="gramStart"/>
      <w:r w:rsidRPr="006D6DDD">
        <w:rPr>
          <w:rFonts w:ascii="Segoe UI" w:hAnsi="Segoe UI"/>
          <w:sz w:val="18"/>
          <w:lang w:val="pt-PT"/>
        </w:rPr>
        <w:t>com, essa</w:t>
      </w:r>
      <w:proofErr w:type="gramEnd"/>
      <w:r w:rsidRPr="006D6DDD">
        <w:rPr>
          <w:rFonts w:ascii="Segoe UI" w:hAnsi="Segoe UI"/>
          <w:sz w:val="18"/>
          <w:lang w:val="pt-PT"/>
        </w:rPr>
        <w:t xml:space="preserve"> Parte, sendo o controlo definido como a propriedade direta ou indireta de mais de 50% (cinquenta por cento) do poder de voto de tal entidade. </w:t>
      </w:r>
    </w:p>
    <w:p w14:paraId="26D6F1AD"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 xml:space="preserve">"Cliente" utilizador </w:t>
      </w:r>
      <w:r w:rsidRPr="006D6DDD">
        <w:rPr>
          <w:rFonts w:ascii="Segoe UI" w:hAnsi="Segoe UI"/>
          <w:color w:val="000000"/>
          <w:sz w:val="18"/>
          <w:lang w:val="pt-PT"/>
        </w:rPr>
        <w:t xml:space="preserve">identificado na informação da conta </w:t>
      </w:r>
      <w:proofErr w:type="spellStart"/>
      <w:r w:rsidRPr="006D6DDD">
        <w:rPr>
          <w:rFonts w:ascii="Segoe UI" w:hAnsi="Segoe UI"/>
          <w:color w:val="000000"/>
          <w:sz w:val="18"/>
          <w:lang w:val="pt-PT"/>
        </w:rPr>
        <w:t>Hydrafacial</w:t>
      </w:r>
      <w:proofErr w:type="spellEnd"/>
      <w:r w:rsidRPr="006D6DDD">
        <w:rPr>
          <w:rFonts w:ascii="Segoe UI" w:hAnsi="Segoe UI"/>
          <w:color w:val="000000"/>
          <w:sz w:val="18"/>
          <w:lang w:val="pt-PT"/>
        </w:rPr>
        <w:t xml:space="preserve"> como Fornecedor (clínica/centro) ou nas assinaturas do Acordo de Compra</w:t>
      </w:r>
    </w:p>
    <w:p w14:paraId="1F023FD5"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"Lei de Proteção de Dados da UE" (a) o Regulamento Geral sobre a Proteção de Dados da UE (2016/679) (GDPR); (b) a (</w:t>
      </w:r>
      <w:proofErr w:type="spellStart"/>
      <w:r w:rsidRPr="006D6DDD">
        <w:rPr>
          <w:rFonts w:ascii="Segoe UI" w:hAnsi="Segoe UI"/>
          <w:sz w:val="18"/>
          <w:lang w:val="pt-PT"/>
        </w:rPr>
        <w:t>Directiva</w:t>
      </w:r>
      <w:proofErr w:type="spellEnd"/>
      <w:r w:rsidRPr="006D6DDD">
        <w:rPr>
          <w:rFonts w:ascii="Segoe UI" w:hAnsi="Segoe UI"/>
          <w:sz w:val="18"/>
          <w:lang w:val="pt-PT"/>
        </w:rPr>
        <w:t xml:space="preserve"> 2002/58/CE) EU (Diretiva e-Privacidade); e (c) toda e qualquer legislação dos Estados-Membros da UE feita ao abrigo, ou nos termos, de qualquer das anteriores; em cada caso, tal como emendada ou substituída de tempos a tempos. </w:t>
      </w:r>
    </w:p>
    <w:p w14:paraId="34579AE2"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 xml:space="preserve">"CCT da UE" as cláusulas contratuais-tipo estabelecidas pela decisão (UE) 2021/914 de 4 de </w:t>
      </w:r>
      <w:proofErr w:type="gramStart"/>
      <w:r w:rsidRPr="006D6DDD">
        <w:rPr>
          <w:rFonts w:ascii="Segoe UI" w:hAnsi="Segoe UI"/>
          <w:sz w:val="18"/>
          <w:lang w:val="pt-PT"/>
        </w:rPr>
        <w:t>Junho</w:t>
      </w:r>
      <w:proofErr w:type="gramEnd"/>
      <w:r w:rsidRPr="006D6DDD">
        <w:rPr>
          <w:rFonts w:ascii="Segoe UI" w:hAnsi="Segoe UI"/>
          <w:sz w:val="18"/>
          <w:lang w:val="pt-PT"/>
        </w:rPr>
        <w:t xml:space="preserve"> de 2021, sobre cláusulas contratuais-tipo para a transferência de dados pessoais para países terceiros, nos termos do Regulamento (UE) 2016/679 do Parlamento Europeu e do Conselho. </w:t>
      </w:r>
    </w:p>
    <w:p w14:paraId="1FDD950A"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 xml:space="preserve">"IDTA" a Adenda Internacional sobre Transferência de Dados para as CCT da UE, emitida pelo Gabinete do Comissário da Informação, ao abrigo do </w:t>
      </w:r>
      <w:proofErr w:type="spellStart"/>
      <w:r w:rsidRPr="006D6DDD">
        <w:rPr>
          <w:rFonts w:ascii="Segoe UI" w:hAnsi="Segoe UI"/>
          <w:sz w:val="18"/>
          <w:lang w:val="pt-PT"/>
        </w:rPr>
        <w:t>Art</w:t>
      </w:r>
      <w:proofErr w:type="spellEnd"/>
      <w:r w:rsidRPr="006D6DDD">
        <w:rPr>
          <w:rFonts w:ascii="Segoe UI" w:hAnsi="Segoe UI"/>
          <w:sz w:val="18"/>
          <w:lang w:val="pt-PT"/>
        </w:rPr>
        <w:t>. S119</w:t>
      </w:r>
      <w:proofErr w:type="gramStart"/>
      <w:r w:rsidRPr="006D6DDD">
        <w:rPr>
          <w:rFonts w:ascii="Segoe UI" w:hAnsi="Segoe UI"/>
          <w:sz w:val="18"/>
          <w:lang w:val="pt-PT"/>
        </w:rPr>
        <w:t>A(</w:t>
      </w:r>
      <w:proofErr w:type="gramEnd"/>
      <w:r w:rsidRPr="006D6DDD">
        <w:rPr>
          <w:rFonts w:ascii="Segoe UI" w:hAnsi="Segoe UI"/>
          <w:sz w:val="18"/>
          <w:lang w:val="pt-PT"/>
        </w:rPr>
        <w:t xml:space="preserve">1) da Data </w:t>
      </w:r>
      <w:proofErr w:type="spellStart"/>
      <w:r w:rsidRPr="006D6DDD">
        <w:rPr>
          <w:rFonts w:ascii="Segoe UI" w:hAnsi="Segoe UI"/>
          <w:sz w:val="18"/>
          <w:lang w:val="pt-PT"/>
        </w:rPr>
        <w:t>Protection</w:t>
      </w:r>
      <w:proofErr w:type="spellEnd"/>
      <w:r w:rsidRPr="006D6DDD">
        <w:rPr>
          <w:rFonts w:ascii="Segoe UI" w:hAnsi="Segoe UI"/>
          <w:sz w:val="18"/>
          <w:lang w:val="pt-PT"/>
        </w:rPr>
        <w:t xml:space="preserve"> </w:t>
      </w:r>
      <w:proofErr w:type="spellStart"/>
      <w:r w:rsidRPr="006D6DDD">
        <w:rPr>
          <w:rFonts w:ascii="Segoe UI" w:hAnsi="Segoe UI"/>
          <w:sz w:val="18"/>
          <w:lang w:val="pt-PT"/>
        </w:rPr>
        <w:t>Act</w:t>
      </w:r>
      <w:proofErr w:type="spellEnd"/>
      <w:r w:rsidRPr="006D6DDD">
        <w:rPr>
          <w:rFonts w:ascii="Segoe UI" w:hAnsi="Segoe UI"/>
          <w:sz w:val="18"/>
          <w:lang w:val="pt-PT"/>
        </w:rPr>
        <w:t xml:space="preserve"> 2018, Versão B1.0, em vigor a 21 de Março de 2022. </w:t>
      </w:r>
    </w:p>
    <w:p w14:paraId="12AB584F"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 xml:space="preserve">"Lei Suíça sobre a Proteção de Dados" a Lei Federal Suíça sobre a Proteção de Dados (FADP) de 1992, até 31 de </w:t>
      </w:r>
      <w:proofErr w:type="gramStart"/>
      <w:r w:rsidRPr="006D6DDD">
        <w:rPr>
          <w:rFonts w:ascii="Segoe UI" w:hAnsi="Segoe UI"/>
          <w:sz w:val="18"/>
          <w:lang w:val="pt-PT"/>
        </w:rPr>
        <w:t>Dezembro</w:t>
      </w:r>
      <w:proofErr w:type="gramEnd"/>
      <w:r w:rsidRPr="006D6DDD">
        <w:rPr>
          <w:rFonts w:ascii="Segoe UI" w:hAnsi="Segoe UI"/>
          <w:sz w:val="18"/>
          <w:lang w:val="pt-PT"/>
        </w:rPr>
        <w:t xml:space="preserve"> de 2022, e a partir de 1 de Janeiro de 2023, a Lei Federal Suíça (revista) sobre a Proteção de Dados (FADP revista) de Setembro de 2020, tal como alterada ou substituída de tempos a tempos.  </w:t>
      </w:r>
    </w:p>
    <w:p w14:paraId="5267809A" w14:textId="77777777" w:rsidR="006D6DDD" w:rsidRPr="006D6DDD" w:rsidRDefault="006D6DDD" w:rsidP="006D6DDD">
      <w:pPr>
        <w:pStyle w:val="Prrafodelista"/>
        <w:numPr>
          <w:ilvl w:val="0"/>
          <w:numId w:val="8"/>
        </w:numPr>
        <w:spacing w:after="0" w:line="240" w:lineRule="auto"/>
        <w:ind w:left="-851" w:right="-851" w:hanging="207"/>
        <w:jc w:val="both"/>
        <w:rPr>
          <w:rFonts w:ascii="Segoe UI" w:hAnsi="Segoe UI" w:cs="Segoe UI"/>
          <w:sz w:val="18"/>
          <w:szCs w:val="18"/>
          <w:lang w:val="pt-PT"/>
        </w:rPr>
      </w:pPr>
      <w:r w:rsidRPr="006D6DDD">
        <w:rPr>
          <w:rFonts w:ascii="Segoe UI" w:hAnsi="Segoe UI"/>
          <w:sz w:val="18"/>
          <w:lang w:val="pt-PT"/>
        </w:rPr>
        <w:t xml:space="preserve">"Lei de Proteção de Dados do Reino Unido" a legislação sobre proteção de dados adotada pelo Data </w:t>
      </w:r>
      <w:proofErr w:type="spellStart"/>
      <w:r w:rsidRPr="006D6DDD">
        <w:rPr>
          <w:rFonts w:ascii="Segoe UI" w:hAnsi="Segoe UI"/>
          <w:sz w:val="18"/>
          <w:lang w:val="pt-PT"/>
        </w:rPr>
        <w:t>Protection</w:t>
      </w:r>
      <w:proofErr w:type="spellEnd"/>
      <w:r w:rsidRPr="006D6DDD">
        <w:rPr>
          <w:rFonts w:ascii="Segoe UI" w:hAnsi="Segoe UI"/>
          <w:sz w:val="18"/>
          <w:lang w:val="pt-PT"/>
        </w:rPr>
        <w:t xml:space="preserve">, </w:t>
      </w:r>
      <w:proofErr w:type="spellStart"/>
      <w:r w:rsidRPr="006D6DDD">
        <w:rPr>
          <w:rFonts w:ascii="Segoe UI" w:hAnsi="Segoe UI"/>
          <w:sz w:val="18"/>
          <w:lang w:val="pt-PT"/>
        </w:rPr>
        <w:t>Privacy</w:t>
      </w:r>
      <w:proofErr w:type="spellEnd"/>
      <w:r w:rsidRPr="006D6DDD">
        <w:rPr>
          <w:rFonts w:ascii="Segoe UI" w:hAnsi="Segoe UI"/>
          <w:sz w:val="18"/>
          <w:lang w:val="pt-PT"/>
        </w:rPr>
        <w:t xml:space="preserve"> </w:t>
      </w:r>
      <w:proofErr w:type="spellStart"/>
      <w:r w:rsidRPr="006D6DDD">
        <w:rPr>
          <w:rFonts w:ascii="Segoe UI" w:hAnsi="Segoe UI"/>
          <w:sz w:val="18"/>
          <w:lang w:val="pt-PT"/>
        </w:rPr>
        <w:t>and</w:t>
      </w:r>
      <w:proofErr w:type="spellEnd"/>
      <w:r w:rsidRPr="006D6DDD">
        <w:rPr>
          <w:rFonts w:ascii="Segoe UI" w:hAnsi="Segoe UI"/>
          <w:sz w:val="18"/>
          <w:lang w:val="pt-PT"/>
        </w:rPr>
        <w:t xml:space="preserve"> </w:t>
      </w:r>
      <w:proofErr w:type="spellStart"/>
      <w:r w:rsidRPr="006D6DDD">
        <w:rPr>
          <w:rFonts w:ascii="Segoe UI" w:hAnsi="Segoe UI"/>
          <w:sz w:val="18"/>
          <w:lang w:val="pt-PT"/>
        </w:rPr>
        <w:t>Electronic</w:t>
      </w:r>
      <w:proofErr w:type="spellEnd"/>
      <w:r w:rsidRPr="006D6DDD">
        <w:rPr>
          <w:rFonts w:ascii="Segoe UI" w:hAnsi="Segoe UI"/>
          <w:sz w:val="18"/>
          <w:lang w:val="pt-PT"/>
        </w:rPr>
        <w:t xml:space="preserve"> </w:t>
      </w:r>
      <w:proofErr w:type="spellStart"/>
      <w:r w:rsidRPr="006D6DDD">
        <w:rPr>
          <w:rFonts w:ascii="Segoe UI" w:hAnsi="Segoe UI"/>
          <w:sz w:val="18"/>
          <w:lang w:val="pt-PT"/>
        </w:rPr>
        <w:t>Communications</w:t>
      </w:r>
      <w:proofErr w:type="spellEnd"/>
      <w:r w:rsidRPr="006D6DDD">
        <w:rPr>
          <w:rFonts w:ascii="Segoe UI" w:hAnsi="Segoe UI"/>
          <w:sz w:val="18"/>
          <w:lang w:val="pt-PT"/>
        </w:rPr>
        <w:t xml:space="preserve"> (</w:t>
      </w:r>
      <w:proofErr w:type="spellStart"/>
      <w:r w:rsidRPr="006D6DDD">
        <w:rPr>
          <w:rFonts w:ascii="Segoe UI" w:hAnsi="Segoe UI"/>
          <w:sz w:val="18"/>
          <w:lang w:val="pt-PT"/>
        </w:rPr>
        <w:t>Amendments</w:t>
      </w:r>
      <w:proofErr w:type="spellEnd"/>
      <w:r w:rsidRPr="006D6DDD">
        <w:rPr>
          <w:rFonts w:ascii="Segoe UI" w:hAnsi="Segoe UI"/>
          <w:sz w:val="18"/>
          <w:lang w:val="pt-PT"/>
        </w:rPr>
        <w:t xml:space="preserve"> etc.) (EU Exit) </w:t>
      </w:r>
      <w:proofErr w:type="spellStart"/>
      <w:r w:rsidRPr="006D6DDD">
        <w:rPr>
          <w:rFonts w:ascii="Segoe UI" w:hAnsi="Segoe UI"/>
          <w:sz w:val="18"/>
          <w:lang w:val="pt-PT"/>
        </w:rPr>
        <w:t>Regulations</w:t>
      </w:r>
      <w:proofErr w:type="spellEnd"/>
      <w:r w:rsidRPr="006D6DDD">
        <w:rPr>
          <w:rFonts w:ascii="Segoe UI" w:hAnsi="Segoe UI"/>
          <w:sz w:val="18"/>
          <w:lang w:val="pt-PT"/>
        </w:rPr>
        <w:t xml:space="preserve"> 2019/419, complementada pelos termos da Data </w:t>
      </w:r>
      <w:proofErr w:type="spellStart"/>
      <w:r w:rsidRPr="006D6DDD">
        <w:rPr>
          <w:rFonts w:ascii="Segoe UI" w:hAnsi="Segoe UI"/>
          <w:sz w:val="18"/>
          <w:lang w:val="pt-PT"/>
        </w:rPr>
        <w:t>Protection</w:t>
      </w:r>
      <w:proofErr w:type="spellEnd"/>
      <w:r w:rsidRPr="006D6DDD">
        <w:rPr>
          <w:rFonts w:ascii="Segoe UI" w:hAnsi="Segoe UI"/>
          <w:sz w:val="18"/>
          <w:lang w:val="pt-PT"/>
        </w:rPr>
        <w:t xml:space="preserve"> </w:t>
      </w:r>
      <w:proofErr w:type="spellStart"/>
      <w:r w:rsidRPr="006D6DDD">
        <w:rPr>
          <w:rFonts w:ascii="Segoe UI" w:hAnsi="Segoe UI"/>
          <w:sz w:val="18"/>
          <w:lang w:val="pt-PT"/>
        </w:rPr>
        <w:t>Act</w:t>
      </w:r>
      <w:proofErr w:type="spellEnd"/>
      <w:r w:rsidRPr="006D6DDD">
        <w:rPr>
          <w:rFonts w:ascii="Segoe UI" w:hAnsi="Segoe UI"/>
          <w:sz w:val="18"/>
          <w:lang w:val="pt-PT"/>
        </w:rPr>
        <w:t xml:space="preserve"> 2018 e do UK GDPR (</w:t>
      </w:r>
      <w:proofErr w:type="spellStart"/>
      <w:r w:rsidRPr="006D6DDD">
        <w:rPr>
          <w:rFonts w:ascii="Segoe UI" w:hAnsi="Segoe UI"/>
          <w:sz w:val="18"/>
          <w:lang w:val="pt-PT"/>
        </w:rPr>
        <w:t>Retained</w:t>
      </w:r>
      <w:proofErr w:type="spellEnd"/>
      <w:r w:rsidRPr="006D6DDD">
        <w:rPr>
          <w:rFonts w:ascii="Segoe UI" w:hAnsi="Segoe UI"/>
          <w:sz w:val="18"/>
          <w:lang w:val="pt-PT"/>
        </w:rPr>
        <w:t xml:space="preserve"> </w:t>
      </w:r>
      <w:proofErr w:type="spellStart"/>
      <w:r w:rsidRPr="006D6DDD">
        <w:rPr>
          <w:rFonts w:ascii="Segoe UI" w:hAnsi="Segoe UI"/>
          <w:sz w:val="18"/>
          <w:lang w:val="pt-PT"/>
        </w:rPr>
        <w:t>Regulation</w:t>
      </w:r>
      <w:proofErr w:type="spellEnd"/>
      <w:r w:rsidRPr="006D6DDD">
        <w:rPr>
          <w:rFonts w:ascii="Segoe UI" w:hAnsi="Segoe UI"/>
          <w:sz w:val="18"/>
          <w:lang w:val="pt-PT"/>
        </w:rPr>
        <w:t xml:space="preserve"> (EU) 2016/679 (UK GDPR), nos termos do artigo 3 da </w:t>
      </w:r>
      <w:proofErr w:type="spellStart"/>
      <w:r w:rsidRPr="006D6DDD">
        <w:rPr>
          <w:rFonts w:ascii="Segoe UI" w:hAnsi="Segoe UI"/>
          <w:sz w:val="18"/>
          <w:lang w:val="pt-PT"/>
        </w:rPr>
        <w:t>European</w:t>
      </w:r>
      <w:proofErr w:type="spellEnd"/>
      <w:r w:rsidRPr="006D6DDD">
        <w:rPr>
          <w:rFonts w:ascii="Segoe UI" w:hAnsi="Segoe UI"/>
          <w:sz w:val="18"/>
          <w:lang w:val="pt-PT"/>
        </w:rPr>
        <w:t xml:space="preserve"> </w:t>
      </w:r>
      <w:proofErr w:type="spellStart"/>
      <w:r w:rsidRPr="006D6DDD">
        <w:rPr>
          <w:rFonts w:ascii="Segoe UI" w:hAnsi="Segoe UI"/>
          <w:sz w:val="18"/>
          <w:lang w:val="pt-PT"/>
        </w:rPr>
        <w:t>Union</w:t>
      </w:r>
      <w:proofErr w:type="spellEnd"/>
      <w:r w:rsidRPr="006D6DDD">
        <w:rPr>
          <w:rFonts w:ascii="Segoe UI" w:hAnsi="Segoe UI"/>
          <w:sz w:val="18"/>
          <w:lang w:val="pt-PT"/>
        </w:rPr>
        <w:t xml:space="preserve"> (</w:t>
      </w:r>
      <w:proofErr w:type="spellStart"/>
      <w:r w:rsidRPr="006D6DDD">
        <w:rPr>
          <w:rFonts w:ascii="Segoe UI" w:hAnsi="Segoe UI"/>
          <w:sz w:val="18"/>
          <w:lang w:val="pt-PT"/>
        </w:rPr>
        <w:t>Withdrawal</w:t>
      </w:r>
      <w:proofErr w:type="spellEnd"/>
      <w:r w:rsidRPr="006D6DDD">
        <w:rPr>
          <w:rFonts w:ascii="Segoe UI" w:hAnsi="Segoe UI"/>
          <w:sz w:val="18"/>
          <w:lang w:val="pt-PT"/>
        </w:rPr>
        <w:t xml:space="preserve">) </w:t>
      </w:r>
      <w:proofErr w:type="spellStart"/>
      <w:r w:rsidRPr="006D6DDD">
        <w:rPr>
          <w:rFonts w:ascii="Segoe UI" w:hAnsi="Segoe UI"/>
          <w:sz w:val="18"/>
          <w:lang w:val="pt-PT"/>
        </w:rPr>
        <w:t>Act</w:t>
      </w:r>
      <w:proofErr w:type="spellEnd"/>
      <w:r w:rsidRPr="006D6DDD">
        <w:rPr>
          <w:rFonts w:ascii="Segoe UI" w:hAnsi="Segoe UI"/>
          <w:sz w:val="18"/>
          <w:lang w:val="pt-PT"/>
        </w:rPr>
        <w:t xml:space="preserve"> 2018), tal como alterada ou substituída de tempos a tempos. </w:t>
      </w:r>
    </w:p>
    <w:p w14:paraId="67BD6CBC" w14:textId="77777777" w:rsidR="006D6DDD" w:rsidRPr="006D6DDD" w:rsidRDefault="006D6DDD" w:rsidP="006D6DDD">
      <w:pPr>
        <w:pStyle w:val="Prrafodelista"/>
        <w:spacing w:after="0" w:line="240" w:lineRule="auto"/>
        <w:ind w:left="-567" w:right="-851"/>
        <w:jc w:val="both"/>
        <w:rPr>
          <w:rFonts w:ascii="Segoe UI" w:hAnsi="Segoe UI" w:cs="Segoe UI"/>
          <w:sz w:val="18"/>
          <w:szCs w:val="18"/>
          <w:lang w:val="pt-PT"/>
        </w:rPr>
      </w:pPr>
    </w:p>
    <w:p w14:paraId="69014B80" w14:textId="77777777" w:rsidR="006D6DDD" w:rsidRPr="00FD3B3B" w:rsidRDefault="006D6DDD" w:rsidP="006D6DDD">
      <w:pPr>
        <w:ind w:left="-1134" w:right="-852"/>
        <w:jc w:val="both"/>
        <w:rPr>
          <w:rFonts w:ascii="Segoe UI" w:hAnsi="Segoe UI" w:cs="Segoe UI"/>
          <w:sz w:val="18"/>
          <w:szCs w:val="18"/>
        </w:rPr>
      </w:pPr>
      <w:r>
        <w:rPr>
          <w:rFonts w:ascii="Segoe UI" w:hAnsi="Segoe UI"/>
          <w:sz w:val="18"/>
        </w:rPr>
        <w:t xml:space="preserve">Todos os outros termos em maiúsculas utilizados, mas não definidos nestas CCT da HF, terão os significados que lhes são atribuídos no Acordo de Tratamento de Dados ou no Acordo de Compra. </w:t>
      </w:r>
    </w:p>
    <w:p w14:paraId="71BA5A38" w14:textId="77777777" w:rsidR="006D6DDD" w:rsidRPr="00011431" w:rsidRDefault="006D6DDD" w:rsidP="006D6DDD">
      <w:pPr>
        <w:pStyle w:val="Prrafodelista"/>
        <w:numPr>
          <w:ilvl w:val="0"/>
          <w:numId w:val="1"/>
        </w:numPr>
        <w:ind w:left="-851" w:right="-852" w:hanging="283"/>
        <w:jc w:val="both"/>
        <w:rPr>
          <w:rFonts w:ascii="Segoe UI" w:hAnsi="Segoe UI" w:cs="Segoe UI"/>
          <w:b/>
          <w:bCs/>
          <w:sz w:val="20"/>
          <w:szCs w:val="20"/>
        </w:rPr>
      </w:pPr>
      <w:r>
        <w:rPr>
          <w:rFonts w:ascii="Segoe UI" w:hAnsi="Segoe UI"/>
          <w:b/>
          <w:sz w:val="20"/>
        </w:rPr>
        <w:t xml:space="preserve">CCT da UE </w:t>
      </w:r>
    </w:p>
    <w:p w14:paraId="152405B1" w14:textId="77777777" w:rsidR="006D6DDD" w:rsidRPr="00FD3B3B" w:rsidRDefault="006D6DDD" w:rsidP="006D6DDD">
      <w:pPr>
        <w:ind w:left="-1134" w:right="-852"/>
        <w:jc w:val="both"/>
        <w:rPr>
          <w:rFonts w:ascii="Segoe UI" w:hAnsi="Segoe UI" w:cs="Segoe UI"/>
          <w:sz w:val="18"/>
          <w:szCs w:val="18"/>
        </w:rPr>
      </w:pPr>
      <w:r>
        <w:rPr>
          <w:rFonts w:ascii="Segoe UI" w:hAnsi="Segoe UI"/>
          <w:sz w:val="18"/>
        </w:rPr>
        <w:t xml:space="preserve">Incorporação ao Módulo Dois das CCT da UE (transfere responsável pelo tratamento para subcontratante, onde o Cliente é um responsável pelo tratamento dos Dados transferidos) e Módulo Três (transfere subcontratante para subcontratante, onde o Cliente é um responsável pelo tratamento dos Dados transferidos) das CCT da UE por referência, que são completadas como se segue: </w:t>
      </w:r>
    </w:p>
    <w:p w14:paraId="21FB07C8"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1,1. </w:t>
      </w:r>
      <w:r>
        <w:rPr>
          <w:rFonts w:ascii="Segoe UI" w:hAnsi="Segoe UI"/>
          <w:sz w:val="18"/>
          <w:u w:val="single"/>
        </w:rPr>
        <w:t>Cláusula de adesão</w:t>
      </w:r>
      <w:r>
        <w:rPr>
          <w:rFonts w:ascii="Segoe UI" w:hAnsi="Segoe UI"/>
          <w:sz w:val="18"/>
        </w:rPr>
        <w:t xml:space="preserve">. A opção da cláusula 7 não será aplicável. </w:t>
      </w:r>
    </w:p>
    <w:p w14:paraId="36664B24"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1,2. </w:t>
      </w:r>
      <w:r>
        <w:rPr>
          <w:rFonts w:ascii="Segoe UI" w:hAnsi="Segoe UI"/>
          <w:sz w:val="18"/>
          <w:u w:val="single"/>
        </w:rPr>
        <w:t>Instruções</w:t>
      </w:r>
      <w:r>
        <w:rPr>
          <w:rFonts w:ascii="Segoe UI" w:hAnsi="Segoe UI"/>
          <w:sz w:val="18"/>
        </w:rPr>
        <w:t xml:space="preserve">. Para efeitos da cláusula 8.1(b), as Partes acordam que as instruções documentadas fornecidas pelo Cliente, incluindo as fornecidas em nome do responsável pelo tratamento, são estabelecidas no Acordo de Tratamento de Dados, inclusive no que respeita a transferências internacionais de dados. </w:t>
      </w:r>
    </w:p>
    <w:p w14:paraId="0D5D627F"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1,3. </w:t>
      </w:r>
      <w:r>
        <w:rPr>
          <w:rFonts w:ascii="Segoe UI" w:hAnsi="Segoe UI"/>
          <w:sz w:val="18"/>
          <w:u w:val="single"/>
        </w:rPr>
        <w:t>Garantia de Apagamento</w:t>
      </w:r>
      <w:r>
        <w:rPr>
          <w:rFonts w:ascii="Segoe UI" w:hAnsi="Segoe UI"/>
          <w:sz w:val="18"/>
        </w:rPr>
        <w:t xml:space="preserve">. Nos termos da Cláusula 8.5, as Partes concordam que o Cliente garantirá à </w:t>
      </w:r>
      <w:proofErr w:type="spellStart"/>
      <w:r>
        <w:rPr>
          <w:rFonts w:ascii="Segoe UI" w:hAnsi="Segoe UI"/>
          <w:sz w:val="18"/>
        </w:rPr>
        <w:t>Hydrafacial</w:t>
      </w:r>
      <w:proofErr w:type="spellEnd"/>
      <w:r>
        <w:rPr>
          <w:rFonts w:ascii="Segoe UI" w:hAnsi="Segoe UI"/>
          <w:sz w:val="18"/>
        </w:rPr>
        <w:t xml:space="preserve"> que apagou os dados pessoais, mediante pedido escrito da </w:t>
      </w:r>
      <w:proofErr w:type="spellStart"/>
      <w:r>
        <w:rPr>
          <w:rFonts w:ascii="Segoe UI" w:hAnsi="Segoe UI"/>
          <w:sz w:val="18"/>
        </w:rPr>
        <w:t>Hydrafacial</w:t>
      </w:r>
      <w:proofErr w:type="spellEnd"/>
      <w:r>
        <w:rPr>
          <w:rFonts w:ascii="Segoe UI" w:hAnsi="Segoe UI"/>
          <w:sz w:val="18"/>
        </w:rPr>
        <w:t xml:space="preserve">. </w:t>
      </w:r>
    </w:p>
    <w:p w14:paraId="52986160"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1,4. </w:t>
      </w:r>
      <w:r>
        <w:rPr>
          <w:rFonts w:ascii="Segoe UI" w:hAnsi="Segoe UI"/>
          <w:sz w:val="18"/>
          <w:u w:val="single"/>
        </w:rPr>
        <w:t>Verificação de Conformidade</w:t>
      </w:r>
      <w:r>
        <w:rPr>
          <w:rFonts w:ascii="Segoe UI" w:hAnsi="Segoe UI"/>
          <w:sz w:val="18"/>
        </w:rPr>
        <w:t xml:space="preserve">. As Partes entendem que os direitos de auditoria previstos na cláusula 8.9 serão exercidos em conformidade com as disposições relativas às auditorias previstas no Acordo de Tratamento de Dados. </w:t>
      </w:r>
    </w:p>
    <w:p w14:paraId="3ADC8567"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1,5. </w:t>
      </w:r>
      <w:r>
        <w:rPr>
          <w:rFonts w:ascii="Segoe UI" w:hAnsi="Segoe UI"/>
          <w:sz w:val="18"/>
          <w:u w:val="single"/>
        </w:rPr>
        <w:t>Subcontratantes</w:t>
      </w:r>
      <w:r>
        <w:rPr>
          <w:rFonts w:ascii="Segoe UI" w:hAnsi="Segoe UI"/>
          <w:sz w:val="18"/>
        </w:rPr>
        <w:t xml:space="preserve">. Na Cláusula 9(a), a Opção 2 será aplicável e o Cliente informará o Cliente de alterações nos subcontratantes trinta (30) dias antes da alteração, em conformidade com os termos estabelecidos no Acordo ou na Adenda sobre Tratamento de Dados. </w:t>
      </w:r>
    </w:p>
    <w:p w14:paraId="38F69EFA"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lastRenderedPageBreak/>
        <w:t xml:space="preserve">1,6. </w:t>
      </w:r>
      <w:r>
        <w:rPr>
          <w:rFonts w:ascii="Segoe UI" w:hAnsi="Segoe UI"/>
          <w:sz w:val="18"/>
          <w:u w:val="single"/>
        </w:rPr>
        <w:t>Reparação</w:t>
      </w:r>
      <w:r>
        <w:rPr>
          <w:rFonts w:ascii="Segoe UI" w:hAnsi="Segoe UI"/>
          <w:sz w:val="18"/>
        </w:rPr>
        <w:t xml:space="preserve">. Na Cláusula 11, a língua opcional não se aplicará. </w:t>
      </w:r>
    </w:p>
    <w:p w14:paraId="683DBF80"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1,7. </w:t>
      </w:r>
      <w:r>
        <w:rPr>
          <w:rFonts w:ascii="Segoe UI" w:hAnsi="Segoe UI"/>
          <w:sz w:val="18"/>
          <w:u w:val="single"/>
        </w:rPr>
        <w:t>Responsabilidade</w:t>
      </w:r>
      <w:r>
        <w:rPr>
          <w:rFonts w:ascii="Segoe UI" w:hAnsi="Segoe UI"/>
          <w:sz w:val="18"/>
        </w:rPr>
        <w:t xml:space="preserve">. As Partes concordam que a responsabilidade do Cliente perante a </w:t>
      </w:r>
      <w:proofErr w:type="spellStart"/>
      <w:r>
        <w:rPr>
          <w:rFonts w:ascii="Segoe UI" w:hAnsi="Segoe UI"/>
          <w:sz w:val="18"/>
        </w:rPr>
        <w:t>Hydrafacial</w:t>
      </w:r>
      <w:proofErr w:type="spellEnd"/>
      <w:r>
        <w:rPr>
          <w:rFonts w:ascii="Segoe UI" w:hAnsi="Segoe UI"/>
          <w:sz w:val="18"/>
        </w:rPr>
        <w:t xml:space="preserve">, nos termos da Cláusula 12, estará sujeita às limitações e exclusões de responsabilidade previstas no Acordo de Tratamento de Dados. </w:t>
      </w:r>
    </w:p>
    <w:p w14:paraId="23E873CF"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1,8. </w:t>
      </w:r>
      <w:r>
        <w:rPr>
          <w:rFonts w:ascii="Segoe UI" w:hAnsi="Segoe UI"/>
          <w:sz w:val="18"/>
          <w:u w:val="single"/>
        </w:rPr>
        <w:t>Lei Regente</w:t>
      </w:r>
      <w:r>
        <w:rPr>
          <w:rFonts w:ascii="Segoe UI" w:hAnsi="Segoe UI"/>
          <w:sz w:val="18"/>
        </w:rPr>
        <w:t xml:space="preserve">. Para efeitos da Cláusula 17 (Opção 1), as Partes concordam que as CCT da UE serão regidas pelas leis de Espanha. </w:t>
      </w:r>
    </w:p>
    <w:p w14:paraId="27AF8BAA"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1,9. </w:t>
      </w:r>
      <w:r>
        <w:rPr>
          <w:rFonts w:ascii="Segoe UI" w:hAnsi="Segoe UI"/>
          <w:sz w:val="18"/>
          <w:u w:val="single"/>
        </w:rPr>
        <w:t>Fórum e Jurisdição</w:t>
      </w:r>
      <w:r>
        <w:rPr>
          <w:rFonts w:ascii="Segoe UI" w:hAnsi="Segoe UI"/>
          <w:sz w:val="18"/>
        </w:rPr>
        <w:t xml:space="preserve">. Para efeitos da Cláusula 18(a) e (b), as Partes acordam que qualquer litígio resultante destas CCT da UE será resolvido pelos tribunais de Espanha. </w:t>
      </w:r>
    </w:p>
    <w:p w14:paraId="148DCCD5"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1,10. </w:t>
      </w:r>
      <w:r>
        <w:rPr>
          <w:rFonts w:ascii="Segoe UI" w:hAnsi="Segoe UI"/>
          <w:sz w:val="18"/>
          <w:u w:val="single"/>
        </w:rPr>
        <w:t>Anexos</w:t>
      </w:r>
      <w:r>
        <w:rPr>
          <w:rFonts w:ascii="Segoe UI" w:hAnsi="Segoe UI"/>
          <w:sz w:val="18"/>
        </w:rPr>
        <w:t xml:space="preserve">. Os Anexos I, II e III das CCT da UE serão considerados preenchidos com as informações constantes do Apêndice 1 das presentes CCT da HF. </w:t>
      </w:r>
    </w:p>
    <w:p w14:paraId="1EF7B337"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1,11. </w:t>
      </w:r>
      <w:r>
        <w:rPr>
          <w:rFonts w:ascii="Segoe UI" w:hAnsi="Segoe UI"/>
          <w:sz w:val="18"/>
          <w:u w:val="single"/>
        </w:rPr>
        <w:t>Conflito</w:t>
      </w:r>
      <w:r>
        <w:rPr>
          <w:rFonts w:ascii="Segoe UI" w:hAnsi="Segoe UI"/>
          <w:sz w:val="18"/>
        </w:rPr>
        <w:t xml:space="preserve">. Em caso de qualquer conflito ou inconsistência entre o conteúdo destas CCT da HF ou o Acordo de Tratamento de Dados no qual estão incorporadas e as CCT, as CCT prevalecerão. </w:t>
      </w:r>
    </w:p>
    <w:p w14:paraId="1FA3026D" w14:textId="77777777" w:rsidR="006D6DDD" w:rsidRPr="00011431" w:rsidRDefault="006D6DDD" w:rsidP="006D6DDD">
      <w:pPr>
        <w:pStyle w:val="Prrafodelista"/>
        <w:numPr>
          <w:ilvl w:val="0"/>
          <w:numId w:val="1"/>
        </w:numPr>
        <w:ind w:left="-851" w:right="-852" w:hanging="283"/>
        <w:jc w:val="both"/>
        <w:rPr>
          <w:rFonts w:ascii="Segoe UI" w:hAnsi="Segoe UI" w:cs="Segoe UI"/>
          <w:b/>
          <w:bCs/>
          <w:sz w:val="20"/>
          <w:szCs w:val="20"/>
        </w:rPr>
      </w:pPr>
      <w:r>
        <w:rPr>
          <w:rFonts w:ascii="Segoe UI" w:hAnsi="Segoe UI"/>
          <w:b/>
          <w:sz w:val="20"/>
        </w:rPr>
        <w:t xml:space="preserve">CCT do UK </w:t>
      </w:r>
    </w:p>
    <w:p w14:paraId="4BA0C0FA" w14:textId="77777777" w:rsidR="006D6DDD" w:rsidRPr="00FD3B3B" w:rsidRDefault="006D6DDD" w:rsidP="006D6DDD">
      <w:pPr>
        <w:ind w:left="-1134" w:right="-852"/>
        <w:jc w:val="both"/>
        <w:rPr>
          <w:rFonts w:ascii="Segoe UI" w:hAnsi="Segoe UI" w:cs="Segoe UI"/>
          <w:sz w:val="18"/>
          <w:szCs w:val="18"/>
        </w:rPr>
      </w:pPr>
      <w:r>
        <w:rPr>
          <w:rFonts w:ascii="Segoe UI" w:hAnsi="Segoe UI"/>
          <w:sz w:val="18"/>
        </w:rPr>
        <w:t xml:space="preserve">Na medida em que quaisquer dados pessoais transferidos para a </w:t>
      </w:r>
      <w:proofErr w:type="spellStart"/>
      <w:r>
        <w:rPr>
          <w:rFonts w:ascii="Segoe UI" w:hAnsi="Segoe UI"/>
          <w:sz w:val="18"/>
        </w:rPr>
        <w:t>Hydrafacial</w:t>
      </w:r>
      <w:proofErr w:type="spellEnd"/>
      <w:r>
        <w:rPr>
          <w:rFonts w:ascii="Segoe UI" w:hAnsi="Segoe UI"/>
          <w:sz w:val="18"/>
        </w:rPr>
        <w:t xml:space="preserve"> ao abrigo do Acordo de Tratamento de Dados são regidos pela Lei de Proteção de Dados do Reino Unido e são originários do Reino Unido, o IDTA será considerado executado e integrará e complementará as CCT da UE da seguinte forma: </w:t>
      </w:r>
    </w:p>
    <w:p w14:paraId="71180531"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2,1. </w:t>
      </w:r>
      <w:r>
        <w:rPr>
          <w:rFonts w:ascii="Segoe UI" w:hAnsi="Segoe UI"/>
          <w:sz w:val="18"/>
          <w:u w:val="single"/>
        </w:rPr>
        <w:t>Partes</w:t>
      </w:r>
      <w:r>
        <w:rPr>
          <w:rFonts w:ascii="Segoe UI" w:hAnsi="Segoe UI"/>
          <w:sz w:val="18"/>
        </w:rPr>
        <w:t xml:space="preserve">. Parte 1, Tabela 1 é preenchida com os detalhes apresentados no Apêndice 1 a estas CCT da HF. </w:t>
      </w:r>
    </w:p>
    <w:p w14:paraId="418C28DA"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2,2. </w:t>
      </w:r>
      <w:r>
        <w:rPr>
          <w:rFonts w:ascii="Segoe UI" w:hAnsi="Segoe UI"/>
          <w:sz w:val="18"/>
          <w:u w:val="single"/>
        </w:rPr>
        <w:t>CCT</w:t>
      </w:r>
      <w:r>
        <w:rPr>
          <w:rFonts w:ascii="Segoe UI" w:hAnsi="Segoe UI"/>
          <w:sz w:val="18"/>
        </w:rPr>
        <w:t xml:space="preserve">, Módulos e Cláusulas. Parte 1, Tabela 2 é preenchida com as informações apresentadas na Secção 1 acima. </w:t>
      </w:r>
    </w:p>
    <w:p w14:paraId="39081D5F"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2,3. </w:t>
      </w:r>
      <w:r>
        <w:rPr>
          <w:rFonts w:ascii="Segoe UI" w:hAnsi="Segoe UI"/>
          <w:sz w:val="18"/>
          <w:u w:val="single"/>
        </w:rPr>
        <w:t>Anexos</w:t>
      </w:r>
      <w:r>
        <w:rPr>
          <w:rFonts w:ascii="Segoe UI" w:hAnsi="Segoe UI"/>
          <w:sz w:val="18"/>
        </w:rPr>
        <w:t xml:space="preserve">. A "Informação do Apêndice" mencionada na Parte 1, Tabela 3, é preenchida com a informação definida no Apêndice 1 a estas CCT da HF. </w:t>
      </w:r>
    </w:p>
    <w:p w14:paraId="075B87C1"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2,4. </w:t>
      </w:r>
      <w:r>
        <w:rPr>
          <w:rFonts w:ascii="Segoe UI" w:hAnsi="Segoe UI"/>
          <w:sz w:val="18"/>
          <w:u w:val="single"/>
        </w:rPr>
        <w:t>Finalização</w:t>
      </w:r>
      <w:r>
        <w:rPr>
          <w:rFonts w:ascii="Segoe UI" w:hAnsi="Segoe UI"/>
          <w:sz w:val="18"/>
        </w:rPr>
        <w:t xml:space="preserve">. O cliente, </w:t>
      </w:r>
      <w:proofErr w:type="gramStart"/>
      <w:r>
        <w:rPr>
          <w:rFonts w:ascii="Segoe UI" w:hAnsi="Segoe UI"/>
          <w:sz w:val="18"/>
        </w:rPr>
        <w:t>como Importador</w:t>
      </w:r>
      <w:proofErr w:type="gramEnd"/>
      <w:r>
        <w:rPr>
          <w:rFonts w:ascii="Segoe UI" w:hAnsi="Segoe UI"/>
          <w:sz w:val="18"/>
        </w:rPr>
        <w:t xml:space="preserve">, pode finalizar este IDTA em conformidade com a Secção 19 do IDTA. </w:t>
      </w:r>
    </w:p>
    <w:p w14:paraId="5D739A1A" w14:textId="77777777" w:rsidR="006D6DDD" w:rsidRPr="00011431" w:rsidRDefault="006D6DDD" w:rsidP="006D6DDD">
      <w:pPr>
        <w:pStyle w:val="Prrafodelista"/>
        <w:numPr>
          <w:ilvl w:val="0"/>
          <w:numId w:val="1"/>
        </w:numPr>
        <w:ind w:left="-851" w:right="-852" w:hanging="283"/>
        <w:jc w:val="both"/>
        <w:rPr>
          <w:rFonts w:ascii="Segoe UI" w:hAnsi="Segoe UI" w:cs="Segoe UI"/>
          <w:b/>
          <w:bCs/>
          <w:sz w:val="20"/>
          <w:szCs w:val="20"/>
        </w:rPr>
      </w:pPr>
      <w:r>
        <w:rPr>
          <w:rFonts w:ascii="Segoe UI" w:hAnsi="Segoe UI"/>
          <w:b/>
          <w:sz w:val="20"/>
        </w:rPr>
        <w:t xml:space="preserve">CCT da </w:t>
      </w:r>
      <w:proofErr w:type="spellStart"/>
      <w:r>
        <w:rPr>
          <w:rFonts w:ascii="Segoe UI" w:hAnsi="Segoe UI"/>
          <w:b/>
          <w:sz w:val="20"/>
        </w:rPr>
        <w:t>Suíça</w:t>
      </w:r>
      <w:proofErr w:type="spellEnd"/>
      <w:r>
        <w:rPr>
          <w:rFonts w:ascii="Segoe UI" w:hAnsi="Segoe UI"/>
          <w:b/>
          <w:sz w:val="20"/>
        </w:rPr>
        <w:t xml:space="preserve"> </w:t>
      </w:r>
    </w:p>
    <w:p w14:paraId="36EBD0FB" w14:textId="77777777" w:rsidR="006D6DDD" w:rsidRPr="00FD3B3B" w:rsidRDefault="006D6DDD" w:rsidP="006D6DDD">
      <w:pPr>
        <w:ind w:left="-1134" w:right="-852"/>
        <w:jc w:val="both"/>
        <w:rPr>
          <w:rFonts w:ascii="Segoe UI" w:hAnsi="Segoe UI" w:cs="Segoe UI"/>
          <w:sz w:val="18"/>
          <w:szCs w:val="18"/>
        </w:rPr>
      </w:pPr>
      <w:r>
        <w:rPr>
          <w:rFonts w:ascii="Segoe UI" w:hAnsi="Segoe UI"/>
          <w:sz w:val="18"/>
        </w:rPr>
        <w:t xml:space="preserve">Na medida em que quaisquer dados pessoais transferidos a </w:t>
      </w:r>
      <w:proofErr w:type="spellStart"/>
      <w:r>
        <w:rPr>
          <w:rFonts w:ascii="Segoe UI" w:hAnsi="Segoe UI"/>
          <w:sz w:val="18"/>
        </w:rPr>
        <w:t>Hydrafacial</w:t>
      </w:r>
      <w:proofErr w:type="spellEnd"/>
      <w:r>
        <w:rPr>
          <w:rFonts w:ascii="Segoe UI" w:hAnsi="Segoe UI"/>
          <w:sz w:val="18"/>
        </w:rPr>
        <w:t xml:space="preserve"> ao abrigo do Acordo de </w:t>
      </w:r>
      <w:proofErr w:type="spellStart"/>
      <w:r>
        <w:rPr>
          <w:rFonts w:ascii="Segoe UI" w:hAnsi="Segoe UI"/>
          <w:sz w:val="18"/>
        </w:rPr>
        <w:t>Protecção</w:t>
      </w:r>
      <w:proofErr w:type="spellEnd"/>
      <w:r>
        <w:rPr>
          <w:rFonts w:ascii="Segoe UI" w:hAnsi="Segoe UI"/>
          <w:sz w:val="18"/>
        </w:rPr>
        <w:t xml:space="preserve"> de Dados são regidos pela Lei Suíça de Proteção de Dados e são originários da Suíça, as CCT da UE aplicar-se-ão com as seguintes adaptações: </w:t>
      </w:r>
    </w:p>
    <w:p w14:paraId="0FBCF87D"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3,1. </w:t>
      </w:r>
      <w:r>
        <w:rPr>
          <w:rFonts w:ascii="Segoe UI" w:hAnsi="Segoe UI"/>
          <w:sz w:val="18"/>
          <w:u w:val="single"/>
        </w:rPr>
        <w:t>Local de jurisdição</w:t>
      </w:r>
      <w:r>
        <w:rPr>
          <w:rFonts w:ascii="Segoe UI" w:hAnsi="Segoe UI"/>
          <w:sz w:val="18"/>
        </w:rPr>
        <w:t xml:space="preserve">. O termo "Estado Membro" não deve ser interpretado de forma a excluir os titulares dos dados na Suíça da possibilidade de exercerem os seus direitos na Suíça, em conformidade com a cláusula 18(c) das CCT da UE. </w:t>
      </w:r>
    </w:p>
    <w:p w14:paraId="5F959BF0"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3,2. </w:t>
      </w:r>
      <w:r>
        <w:rPr>
          <w:rFonts w:ascii="Segoe UI" w:hAnsi="Segoe UI"/>
          <w:sz w:val="18"/>
          <w:u w:val="single"/>
        </w:rPr>
        <w:t>Autoridade de Supervisão</w:t>
      </w:r>
      <w:r>
        <w:rPr>
          <w:rFonts w:ascii="Segoe UI" w:hAnsi="Segoe UI"/>
          <w:sz w:val="18"/>
        </w:rPr>
        <w:t xml:space="preserve">. O Comissário Federal de Proteção de Dados e Informação da Suíça será competente, em conformidade com a Cláusula 13 das CCT da UE, sempre que a transferência de dados pessoais esteja sujeita à Lei Suíça de Proteção de Dados. </w:t>
      </w:r>
    </w:p>
    <w:p w14:paraId="098C3FCD" w14:textId="77777777" w:rsidR="006D6DDD" w:rsidRPr="006D6DDD" w:rsidRDefault="006D6DDD" w:rsidP="006D6DDD">
      <w:pPr>
        <w:pStyle w:val="Prrafodelista"/>
        <w:numPr>
          <w:ilvl w:val="0"/>
          <w:numId w:val="1"/>
        </w:numPr>
        <w:ind w:left="-851" w:right="-852" w:hanging="283"/>
        <w:jc w:val="both"/>
        <w:rPr>
          <w:rFonts w:ascii="Segoe UI" w:hAnsi="Segoe UI" w:cs="Segoe UI"/>
          <w:sz w:val="18"/>
          <w:szCs w:val="18"/>
          <w:lang w:val="pt-PT"/>
        </w:rPr>
      </w:pPr>
      <w:r w:rsidRPr="006D6DDD">
        <w:rPr>
          <w:rFonts w:ascii="Segoe UI" w:hAnsi="Segoe UI"/>
          <w:sz w:val="18"/>
          <w:lang w:val="pt-PT"/>
        </w:rPr>
        <w:t xml:space="preserve">As presentes CCT da HF terminarão e substituirão quaisquer versões anteriores das cláusulas contratuais-tipo que fazem parte do Acordo de Proteção de Dados imediatamente antes da entrada em vigor das presentes CCT da HF. </w:t>
      </w:r>
    </w:p>
    <w:p w14:paraId="64784761" w14:textId="77777777" w:rsidR="006D6DDD" w:rsidRPr="006D6DDD" w:rsidRDefault="006D6DDD" w:rsidP="006D6DDD">
      <w:pPr>
        <w:pStyle w:val="Prrafodelista"/>
        <w:ind w:left="-851" w:right="-852"/>
        <w:jc w:val="both"/>
        <w:rPr>
          <w:rFonts w:ascii="Segoe UI" w:hAnsi="Segoe UI" w:cs="Segoe UI"/>
          <w:sz w:val="18"/>
          <w:szCs w:val="18"/>
          <w:lang w:val="pt-PT"/>
        </w:rPr>
      </w:pPr>
    </w:p>
    <w:p w14:paraId="75573F02" w14:textId="77777777" w:rsidR="006D6DDD" w:rsidRPr="006D6DDD" w:rsidRDefault="006D6DDD" w:rsidP="006D6DDD">
      <w:pPr>
        <w:pStyle w:val="Prrafodelista"/>
        <w:numPr>
          <w:ilvl w:val="0"/>
          <w:numId w:val="1"/>
        </w:numPr>
        <w:ind w:left="-851" w:right="-852" w:hanging="283"/>
        <w:jc w:val="both"/>
        <w:rPr>
          <w:rFonts w:ascii="Segoe UI" w:hAnsi="Segoe UI" w:cs="Segoe UI"/>
          <w:sz w:val="18"/>
          <w:szCs w:val="18"/>
          <w:lang w:val="pt-PT"/>
        </w:rPr>
      </w:pPr>
      <w:r w:rsidRPr="006D6DDD">
        <w:rPr>
          <w:rFonts w:ascii="Segoe UI" w:hAnsi="Segoe UI"/>
          <w:sz w:val="18"/>
          <w:lang w:val="pt-PT"/>
        </w:rPr>
        <w:t xml:space="preserve">Salvo conforme estabelecido nas presentes CCT da HF, o Acordo de Proteção de Dados não é </w:t>
      </w:r>
      <w:proofErr w:type="spellStart"/>
      <w:r w:rsidRPr="006D6DDD">
        <w:rPr>
          <w:rFonts w:ascii="Segoe UI" w:hAnsi="Segoe UI"/>
          <w:sz w:val="18"/>
          <w:lang w:val="pt-PT"/>
        </w:rPr>
        <w:t>afecado</w:t>
      </w:r>
      <w:proofErr w:type="spellEnd"/>
      <w:r w:rsidRPr="006D6DDD">
        <w:rPr>
          <w:rFonts w:ascii="Segoe UI" w:hAnsi="Segoe UI"/>
          <w:sz w:val="18"/>
          <w:lang w:val="pt-PT"/>
        </w:rPr>
        <w:t xml:space="preserve"> e continuará em pleno vigor e efeito de acordo com os seus termos, e as CCT da HF estarão de outra forma sujeitas aos termos e condições do Acordo de Compra. Em caso de conflito entre estas CCT da HF e o Acordo de Tratamento de Dados, ou qualquer alteração anterior, prevalecerão os termos destas CCT da HF. </w:t>
      </w:r>
    </w:p>
    <w:p w14:paraId="2F1929B6" w14:textId="77777777" w:rsidR="006D6DDD" w:rsidRPr="006D6DDD" w:rsidRDefault="006D6DDD" w:rsidP="006D6DDD">
      <w:pPr>
        <w:pStyle w:val="Prrafodelista"/>
        <w:rPr>
          <w:rFonts w:ascii="Segoe UI" w:hAnsi="Segoe UI" w:cs="Segoe UI"/>
          <w:sz w:val="18"/>
          <w:szCs w:val="18"/>
          <w:lang w:val="pt-PT"/>
        </w:rPr>
      </w:pPr>
    </w:p>
    <w:p w14:paraId="7361F9DD" w14:textId="77777777" w:rsidR="006D6DDD" w:rsidRPr="006D6DDD" w:rsidRDefault="006D6DDD" w:rsidP="006D6DDD">
      <w:pPr>
        <w:pStyle w:val="Prrafodelista"/>
        <w:numPr>
          <w:ilvl w:val="0"/>
          <w:numId w:val="1"/>
        </w:numPr>
        <w:ind w:left="-851" w:right="-852" w:hanging="283"/>
        <w:jc w:val="both"/>
        <w:rPr>
          <w:rFonts w:ascii="Segoe UI" w:hAnsi="Segoe UI" w:cs="Segoe UI"/>
          <w:sz w:val="18"/>
          <w:szCs w:val="18"/>
          <w:lang w:val="pt-PT"/>
        </w:rPr>
      </w:pPr>
      <w:r w:rsidRPr="006D6DDD">
        <w:rPr>
          <w:rFonts w:ascii="Segoe UI" w:hAnsi="Segoe UI"/>
          <w:sz w:val="18"/>
          <w:lang w:val="pt-PT"/>
        </w:rPr>
        <w:t xml:space="preserve"> Estas CCT da HF só serão válidas se o acordo pré-existente do Cliente for com 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LLC, ou as Afiliadas ou Sucursais. </w:t>
      </w:r>
    </w:p>
    <w:p w14:paraId="10BB8FD2" w14:textId="77777777" w:rsidR="006D6DDD" w:rsidRPr="006D6DDD" w:rsidRDefault="006D6DDD" w:rsidP="006D6DDD">
      <w:pPr>
        <w:pStyle w:val="Prrafodelista"/>
        <w:rPr>
          <w:rFonts w:ascii="Segoe UI" w:hAnsi="Segoe UI" w:cs="Segoe UI"/>
          <w:sz w:val="18"/>
          <w:szCs w:val="18"/>
          <w:lang w:val="pt-PT"/>
        </w:rPr>
      </w:pPr>
    </w:p>
    <w:p w14:paraId="06891A93" w14:textId="77777777" w:rsidR="006D6DDD" w:rsidRPr="006D6DDD" w:rsidRDefault="006D6DDD" w:rsidP="006D6DDD">
      <w:pPr>
        <w:pStyle w:val="Prrafodelista"/>
        <w:numPr>
          <w:ilvl w:val="0"/>
          <w:numId w:val="1"/>
        </w:numPr>
        <w:ind w:left="-851" w:right="-852" w:hanging="283"/>
        <w:jc w:val="both"/>
        <w:rPr>
          <w:rFonts w:ascii="Segoe UI" w:hAnsi="Segoe UI" w:cs="Segoe UI"/>
          <w:sz w:val="18"/>
          <w:szCs w:val="18"/>
          <w:lang w:val="pt-PT"/>
        </w:rPr>
      </w:pPr>
      <w:r w:rsidRPr="006D6DDD">
        <w:rPr>
          <w:rFonts w:ascii="Segoe UI" w:hAnsi="Segoe UI"/>
          <w:sz w:val="18"/>
          <w:lang w:val="pt-PT"/>
        </w:rPr>
        <w:t xml:space="preserve">Estas CCT da HF produzirão efeitos (i) após a entrega de uma cópia integralmente assinada a dpo@hydrafacial.com e a confirmação de receção da mesma por parte da </w:t>
      </w:r>
      <w:proofErr w:type="spellStart"/>
      <w:r w:rsidRPr="006D6DDD">
        <w:rPr>
          <w:rFonts w:ascii="Segoe UI" w:hAnsi="Segoe UI"/>
          <w:sz w:val="18"/>
          <w:lang w:val="pt-PT"/>
        </w:rPr>
        <w:t>Hydrafacial</w:t>
      </w:r>
      <w:proofErr w:type="spellEnd"/>
      <w:r w:rsidRPr="006D6DDD">
        <w:rPr>
          <w:rFonts w:ascii="Segoe UI" w:hAnsi="Segoe UI"/>
          <w:sz w:val="18"/>
          <w:lang w:val="pt-PT"/>
        </w:rPr>
        <w:t>; ou (</w:t>
      </w:r>
      <w:proofErr w:type="spellStart"/>
      <w:r w:rsidRPr="006D6DDD">
        <w:rPr>
          <w:rFonts w:ascii="Segoe UI" w:hAnsi="Segoe UI"/>
          <w:sz w:val="18"/>
          <w:lang w:val="pt-PT"/>
        </w:rPr>
        <w:t>ii</w:t>
      </w:r>
      <w:proofErr w:type="spellEnd"/>
      <w:r w:rsidRPr="006D6DDD">
        <w:rPr>
          <w:rFonts w:ascii="Segoe UI" w:hAnsi="Segoe UI"/>
          <w:sz w:val="18"/>
          <w:lang w:val="pt-PT"/>
        </w:rPr>
        <w:t xml:space="preserve">) quando as CCT da HF forem automaticamente consideradas incorporadas no Acordo, a partir da data da primeira transferência de Dados para um país fora do EEE, Reino Unido, Suíça, ou um País Adequado, conforme o caso. </w:t>
      </w:r>
    </w:p>
    <w:p w14:paraId="54CD1E1E" w14:textId="77777777" w:rsidR="006D6DDD" w:rsidRDefault="006D6DDD" w:rsidP="006D6DDD">
      <w:pPr>
        <w:ind w:left="-1134" w:right="-852"/>
        <w:jc w:val="both"/>
        <w:rPr>
          <w:rFonts w:ascii="Segoe UI" w:hAnsi="Segoe UI" w:cs="Segoe UI"/>
          <w:sz w:val="18"/>
          <w:szCs w:val="18"/>
        </w:rPr>
      </w:pPr>
      <w:r>
        <w:rPr>
          <w:rFonts w:ascii="Segoe UI" w:hAnsi="Segoe UI"/>
          <w:sz w:val="18"/>
        </w:rPr>
        <w:lastRenderedPageBreak/>
        <w:t>EM TESTEMUNHO DO QUE, as Partes aqui presentes assinaram as presentes CCT da HF à data da última assinatura abaixo. Tais assinaturas nas presentes CCT da HF constituirão a aceitação e assinatura das CCT, incluindo, quando aplicável, o IDTA e as emendas suíças.</w:t>
      </w:r>
    </w:p>
    <w:p w14:paraId="73BEBDB2" w14:textId="1754882C" w:rsidR="006D6DDD" w:rsidRPr="00885C20" w:rsidRDefault="006D6DDD" w:rsidP="006D6DDD">
      <w:pPr>
        <w:ind w:left="-993" w:right="-852"/>
        <w:jc w:val="both"/>
        <w:rPr>
          <w:rFonts w:ascii="Segoe UI" w:hAnsi="Segoe UI" w:cs="Segoe UI"/>
          <w:sz w:val="28"/>
          <w:szCs w:val="28"/>
        </w:rPr>
      </w:pPr>
      <w:r>
        <w:rPr>
          <w:rFonts w:ascii="Segoe UI" w:hAnsi="Segoe UI"/>
          <w:sz w:val="28"/>
        </w:rPr>
        <w:t>Apêndice 1</w:t>
      </w:r>
    </w:p>
    <w:p w14:paraId="778040BC" w14:textId="77777777" w:rsidR="006D6DDD" w:rsidRPr="00885C20" w:rsidRDefault="006D6DDD" w:rsidP="006D6DDD">
      <w:pPr>
        <w:pStyle w:val="Prrafodelista"/>
        <w:numPr>
          <w:ilvl w:val="0"/>
          <w:numId w:val="4"/>
        </w:numPr>
        <w:ind w:left="-567" w:right="-852"/>
        <w:jc w:val="both"/>
        <w:rPr>
          <w:rFonts w:ascii="Segoe UI" w:hAnsi="Segoe UI" w:cs="Segoe UI"/>
          <w:sz w:val="20"/>
          <w:szCs w:val="20"/>
        </w:rPr>
      </w:pPr>
      <w:proofErr w:type="spellStart"/>
      <w:r>
        <w:rPr>
          <w:rFonts w:ascii="Segoe UI" w:hAnsi="Segoe UI"/>
          <w:sz w:val="20"/>
        </w:rPr>
        <w:t>Detalhes</w:t>
      </w:r>
      <w:proofErr w:type="spellEnd"/>
      <w:r>
        <w:rPr>
          <w:rFonts w:ascii="Segoe UI" w:hAnsi="Segoe UI"/>
          <w:sz w:val="20"/>
        </w:rPr>
        <w:t xml:space="preserve"> do </w:t>
      </w:r>
      <w:proofErr w:type="spellStart"/>
      <w:r>
        <w:rPr>
          <w:rFonts w:ascii="Segoe UI" w:hAnsi="Segoe UI"/>
          <w:sz w:val="20"/>
        </w:rPr>
        <w:t>tratamento</w:t>
      </w:r>
      <w:proofErr w:type="spellEnd"/>
    </w:p>
    <w:p w14:paraId="0E405BDE" w14:textId="77777777" w:rsidR="006D6DDD" w:rsidRPr="00885C20" w:rsidRDefault="006D6DDD" w:rsidP="006D6DDD">
      <w:pPr>
        <w:pStyle w:val="Prrafodelista"/>
        <w:ind w:left="-273" w:right="-852"/>
        <w:jc w:val="both"/>
        <w:rPr>
          <w:rFonts w:ascii="Segoe UI" w:hAnsi="Segoe UI" w:cs="Segoe UI"/>
          <w:sz w:val="18"/>
          <w:szCs w:val="18"/>
          <w:lang w:val="en-US"/>
        </w:rPr>
      </w:pPr>
    </w:p>
    <w:p w14:paraId="561118F5" w14:textId="77777777" w:rsidR="006D6DDD" w:rsidRPr="00885C20" w:rsidRDefault="006D6DDD" w:rsidP="006D6DDD">
      <w:pPr>
        <w:pStyle w:val="Prrafodelista"/>
        <w:numPr>
          <w:ilvl w:val="0"/>
          <w:numId w:val="5"/>
        </w:numPr>
        <w:ind w:left="-426" w:right="-852"/>
        <w:jc w:val="both"/>
        <w:rPr>
          <w:rFonts w:ascii="Segoe UI" w:hAnsi="Segoe UI" w:cs="Segoe UI"/>
          <w:sz w:val="20"/>
          <w:szCs w:val="20"/>
        </w:rPr>
      </w:pPr>
      <w:r>
        <w:rPr>
          <w:rFonts w:ascii="Segoe UI" w:hAnsi="Segoe UI"/>
          <w:sz w:val="20"/>
        </w:rPr>
        <w:t>Lista das Partes</w:t>
      </w:r>
    </w:p>
    <w:tbl>
      <w:tblPr>
        <w:tblpPr w:leftFromText="141" w:rightFromText="141" w:vertAnchor="page" w:horzAnchor="margin" w:tblpXSpec="center" w:tblpY="4456"/>
        <w:tblW w:w="10773" w:type="dxa"/>
        <w:tblCellMar>
          <w:left w:w="70" w:type="dxa"/>
          <w:right w:w="70" w:type="dxa"/>
        </w:tblCellMar>
        <w:tblLook w:val="04A0" w:firstRow="1" w:lastRow="0" w:firstColumn="1" w:lastColumn="0" w:noHBand="0" w:noVBand="1"/>
      </w:tblPr>
      <w:tblGrid>
        <w:gridCol w:w="3544"/>
        <w:gridCol w:w="3544"/>
        <w:gridCol w:w="3685"/>
      </w:tblGrid>
      <w:tr w:rsidR="006D6DDD" w14:paraId="1FFEAC6B" w14:textId="77777777" w:rsidTr="006D6DDD">
        <w:trPr>
          <w:trHeight w:val="290"/>
        </w:trPr>
        <w:tc>
          <w:tcPr>
            <w:tcW w:w="3544" w:type="dxa"/>
            <w:tcBorders>
              <w:top w:val="nil"/>
              <w:left w:val="nil"/>
              <w:bottom w:val="nil"/>
              <w:right w:val="nil"/>
            </w:tcBorders>
            <w:shd w:val="clear" w:color="auto" w:fill="auto"/>
            <w:noWrap/>
            <w:vAlign w:val="bottom"/>
            <w:hideMark/>
          </w:tcPr>
          <w:p w14:paraId="7FA3A0EF" w14:textId="77777777" w:rsidR="006D6DDD" w:rsidRPr="00E60FF1" w:rsidRDefault="006D6DDD" w:rsidP="006D6DDD">
            <w:pPr>
              <w:spacing w:after="0" w:line="240" w:lineRule="auto"/>
              <w:rPr>
                <w:rFonts w:ascii="Times New Roman" w:eastAsia="Times New Roman" w:hAnsi="Times New Roman" w:cs="Times New Roman"/>
                <w:lang w:val="en-US" w:eastAsia="es-ES"/>
              </w:rPr>
            </w:pPr>
          </w:p>
        </w:tc>
        <w:tc>
          <w:tcPr>
            <w:tcW w:w="354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361DC59" w14:textId="77777777" w:rsidR="006D6DDD" w:rsidRPr="00E60FF1" w:rsidRDefault="006D6DDD" w:rsidP="006D6DDD">
            <w:pPr>
              <w:spacing w:after="0" w:line="240" w:lineRule="auto"/>
              <w:jc w:val="center"/>
              <w:rPr>
                <w:rFonts w:ascii="Calibri" w:eastAsia="Times New Roman" w:hAnsi="Calibri" w:cs="Calibri"/>
                <w:b/>
                <w:bCs/>
                <w:color w:val="FFFFFF"/>
                <w:sz w:val="20"/>
                <w:szCs w:val="20"/>
              </w:rPr>
            </w:pPr>
            <w:r>
              <w:rPr>
                <w:rFonts w:ascii="Calibri" w:hAnsi="Calibri"/>
                <w:b/>
                <w:color w:val="FFFFFF"/>
                <w:sz w:val="20"/>
              </w:rPr>
              <w:t>Exportador dos Dados</w:t>
            </w:r>
          </w:p>
        </w:tc>
        <w:tc>
          <w:tcPr>
            <w:tcW w:w="3685" w:type="dxa"/>
            <w:tcBorders>
              <w:top w:val="single" w:sz="4" w:space="0" w:color="auto"/>
              <w:left w:val="nil"/>
              <w:bottom w:val="single" w:sz="4" w:space="0" w:color="auto"/>
              <w:right w:val="single" w:sz="4" w:space="0" w:color="auto"/>
            </w:tcBorders>
            <w:shd w:val="clear" w:color="000000" w:fill="000000"/>
            <w:noWrap/>
            <w:vAlign w:val="bottom"/>
            <w:hideMark/>
          </w:tcPr>
          <w:p w14:paraId="1C4F0EFC" w14:textId="77777777" w:rsidR="006D6DDD" w:rsidRPr="00E60FF1" w:rsidRDefault="006D6DDD" w:rsidP="006D6DDD">
            <w:pPr>
              <w:spacing w:after="0" w:line="240" w:lineRule="auto"/>
              <w:jc w:val="center"/>
              <w:rPr>
                <w:rFonts w:ascii="Calibri" w:eastAsia="Times New Roman" w:hAnsi="Calibri" w:cs="Calibri"/>
                <w:b/>
                <w:bCs/>
                <w:color w:val="FFFFFF"/>
                <w:sz w:val="20"/>
                <w:szCs w:val="20"/>
              </w:rPr>
            </w:pPr>
            <w:r>
              <w:rPr>
                <w:rFonts w:ascii="Calibri" w:hAnsi="Calibri"/>
                <w:b/>
                <w:color w:val="FFFFFF"/>
                <w:sz w:val="20"/>
              </w:rPr>
              <w:t>Importador dos Dados</w:t>
            </w:r>
          </w:p>
        </w:tc>
      </w:tr>
      <w:tr w:rsidR="006D6DDD" w14:paraId="36E35A35" w14:textId="77777777" w:rsidTr="006D6DDD">
        <w:trPr>
          <w:trHeight w:val="539"/>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08295AAB"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Nome e denominação comercial (se diferente)</w:t>
            </w:r>
          </w:p>
        </w:tc>
        <w:tc>
          <w:tcPr>
            <w:tcW w:w="3544" w:type="dxa"/>
            <w:tcBorders>
              <w:top w:val="nil"/>
              <w:left w:val="nil"/>
              <w:bottom w:val="single" w:sz="4" w:space="0" w:color="auto"/>
              <w:right w:val="single" w:sz="4" w:space="0" w:color="auto"/>
            </w:tcBorders>
            <w:shd w:val="clear" w:color="auto" w:fill="auto"/>
            <w:hideMark/>
          </w:tcPr>
          <w:p w14:paraId="358804C6" w14:textId="77777777" w:rsidR="006D6DDD" w:rsidRPr="00E60FF1" w:rsidRDefault="006D6DDD" w:rsidP="006D6DDD">
            <w:pPr>
              <w:spacing w:after="0" w:line="240" w:lineRule="auto"/>
              <w:rPr>
                <w:rFonts w:ascii="Segoe UI" w:eastAsia="Times New Roman" w:hAnsi="Segoe UI" w:cs="Segoe UI"/>
                <w:color w:val="000000"/>
                <w:sz w:val="16"/>
                <w:szCs w:val="16"/>
              </w:rPr>
            </w:pPr>
            <w:proofErr w:type="spellStart"/>
            <w:r>
              <w:rPr>
                <w:rFonts w:ascii="Segoe UI" w:hAnsi="Segoe UI"/>
                <w:color w:val="000000"/>
                <w:sz w:val="16"/>
              </w:rPr>
              <w:t>Cliente"</w:t>
            </w:r>
            <w:r>
              <w:rPr>
                <w:rFonts w:ascii="Segoe UI" w:hAnsi="Segoe UI"/>
                <w:sz w:val="18"/>
              </w:rPr>
              <w:t>utilizador</w:t>
            </w:r>
            <w:proofErr w:type="spellEnd"/>
            <w:r>
              <w:rPr>
                <w:rFonts w:ascii="Segoe UI" w:hAnsi="Segoe UI"/>
                <w:sz w:val="18"/>
              </w:rPr>
              <w:t xml:space="preserve"> </w:t>
            </w:r>
            <w:r>
              <w:rPr>
                <w:rFonts w:ascii="Segoe UI" w:hAnsi="Segoe UI"/>
                <w:color w:val="000000"/>
                <w:sz w:val="16"/>
              </w:rPr>
              <w:t xml:space="preserve">  identificado na informação da conta </w:t>
            </w:r>
            <w:proofErr w:type="spellStart"/>
            <w:r>
              <w:rPr>
                <w:rFonts w:ascii="Segoe UI" w:hAnsi="Segoe UI"/>
                <w:color w:val="000000"/>
                <w:sz w:val="16"/>
              </w:rPr>
              <w:t>Hydrafacial</w:t>
            </w:r>
            <w:proofErr w:type="spellEnd"/>
            <w:r>
              <w:rPr>
                <w:rFonts w:ascii="Segoe UI" w:hAnsi="Segoe UI"/>
                <w:color w:val="000000"/>
                <w:sz w:val="16"/>
              </w:rPr>
              <w:t xml:space="preserve"> como Fornecedor (clínica/centro) ou nas assinaturas do Acordo de Compra.</w:t>
            </w:r>
          </w:p>
        </w:tc>
        <w:tc>
          <w:tcPr>
            <w:tcW w:w="3685" w:type="dxa"/>
            <w:tcBorders>
              <w:top w:val="nil"/>
              <w:left w:val="nil"/>
              <w:bottom w:val="single" w:sz="4" w:space="0" w:color="auto"/>
              <w:right w:val="single" w:sz="4" w:space="0" w:color="auto"/>
            </w:tcBorders>
            <w:shd w:val="clear" w:color="auto" w:fill="auto"/>
            <w:hideMark/>
          </w:tcPr>
          <w:p w14:paraId="3E2BF1AD" w14:textId="77777777" w:rsidR="006D6DDD" w:rsidRPr="00E60FF1" w:rsidRDefault="006D6DDD" w:rsidP="006D6DDD">
            <w:pPr>
              <w:spacing w:after="0" w:line="240" w:lineRule="auto"/>
              <w:rPr>
                <w:rFonts w:ascii="Segoe UI" w:eastAsia="Times New Roman" w:hAnsi="Segoe UI" w:cs="Segoe UI"/>
                <w:color w:val="000000"/>
                <w:sz w:val="16"/>
                <w:szCs w:val="16"/>
              </w:rPr>
            </w:pPr>
            <w:proofErr w:type="spellStart"/>
            <w:r>
              <w:rPr>
                <w:rFonts w:ascii="Segoe UI" w:hAnsi="Segoe UI"/>
                <w:color w:val="000000"/>
                <w:sz w:val="16"/>
              </w:rPr>
              <w:t>Hydrafacial</w:t>
            </w:r>
            <w:proofErr w:type="spellEnd"/>
            <w:r>
              <w:rPr>
                <w:rFonts w:ascii="Segoe UI" w:hAnsi="Segoe UI"/>
                <w:color w:val="000000"/>
                <w:sz w:val="16"/>
              </w:rPr>
              <w:t xml:space="preserve"> LLC </w:t>
            </w:r>
          </w:p>
        </w:tc>
      </w:tr>
      <w:tr w:rsidR="006D6DDD" w14:paraId="7540A27C" w14:textId="77777777" w:rsidTr="006D6DDD">
        <w:trPr>
          <w:trHeight w:val="560"/>
        </w:trPr>
        <w:tc>
          <w:tcPr>
            <w:tcW w:w="3544" w:type="dxa"/>
            <w:tcBorders>
              <w:top w:val="nil"/>
              <w:left w:val="single" w:sz="4" w:space="0" w:color="auto"/>
              <w:bottom w:val="single" w:sz="4" w:space="0" w:color="auto"/>
              <w:right w:val="single" w:sz="4" w:space="0" w:color="auto"/>
            </w:tcBorders>
            <w:shd w:val="clear" w:color="auto" w:fill="auto"/>
            <w:hideMark/>
          </w:tcPr>
          <w:p w14:paraId="4B086D5C"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 xml:space="preserve">Número de registo oficial (se existir) </w:t>
            </w:r>
            <w:r>
              <w:rPr>
                <w:rFonts w:ascii="Segoe UI" w:hAnsi="Segoe UI"/>
                <w:color w:val="000000"/>
                <w:sz w:val="16"/>
              </w:rPr>
              <w:cr/>
            </w:r>
            <w:r>
              <w:rPr>
                <w:rFonts w:ascii="Segoe UI" w:hAnsi="Segoe UI"/>
                <w:color w:val="000000"/>
                <w:sz w:val="16"/>
              </w:rPr>
              <w:br/>
              <w:t>(número da empresa ou identificador semelhante)</w:t>
            </w:r>
          </w:p>
        </w:tc>
        <w:tc>
          <w:tcPr>
            <w:tcW w:w="3544" w:type="dxa"/>
            <w:tcBorders>
              <w:top w:val="nil"/>
              <w:left w:val="nil"/>
              <w:bottom w:val="single" w:sz="4" w:space="0" w:color="auto"/>
              <w:right w:val="single" w:sz="4" w:space="0" w:color="auto"/>
            </w:tcBorders>
            <w:shd w:val="clear" w:color="auto" w:fill="auto"/>
            <w:hideMark/>
          </w:tcPr>
          <w:p w14:paraId="1D582E8D"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Conforme identificado na informação da conta de utilizador ou na assinatura do Acordo de Compra</w:t>
            </w:r>
          </w:p>
        </w:tc>
        <w:tc>
          <w:tcPr>
            <w:tcW w:w="3685" w:type="dxa"/>
            <w:tcBorders>
              <w:top w:val="nil"/>
              <w:left w:val="nil"/>
              <w:bottom w:val="single" w:sz="4" w:space="0" w:color="auto"/>
              <w:right w:val="single" w:sz="4" w:space="0" w:color="auto"/>
            </w:tcBorders>
            <w:shd w:val="clear" w:color="auto" w:fill="auto"/>
            <w:noWrap/>
            <w:hideMark/>
          </w:tcPr>
          <w:p w14:paraId="5AFE9FAD"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201233810062</w:t>
            </w:r>
          </w:p>
        </w:tc>
      </w:tr>
      <w:tr w:rsidR="006D6DDD" w:rsidRPr="006D6DDD" w14:paraId="345D7F2E" w14:textId="77777777" w:rsidTr="006D6DDD">
        <w:trPr>
          <w:trHeight w:val="554"/>
        </w:trPr>
        <w:tc>
          <w:tcPr>
            <w:tcW w:w="3544" w:type="dxa"/>
            <w:tcBorders>
              <w:top w:val="nil"/>
              <w:left w:val="single" w:sz="4" w:space="0" w:color="auto"/>
              <w:bottom w:val="single" w:sz="4" w:space="0" w:color="auto"/>
              <w:right w:val="single" w:sz="4" w:space="0" w:color="auto"/>
            </w:tcBorders>
            <w:shd w:val="clear" w:color="auto" w:fill="auto"/>
            <w:noWrap/>
            <w:hideMark/>
          </w:tcPr>
          <w:p w14:paraId="4BA66BCD"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Morada</w:t>
            </w:r>
          </w:p>
        </w:tc>
        <w:tc>
          <w:tcPr>
            <w:tcW w:w="3544" w:type="dxa"/>
            <w:tcBorders>
              <w:top w:val="nil"/>
              <w:left w:val="nil"/>
              <w:bottom w:val="single" w:sz="4" w:space="0" w:color="auto"/>
              <w:right w:val="single" w:sz="4" w:space="0" w:color="auto"/>
            </w:tcBorders>
            <w:shd w:val="clear" w:color="auto" w:fill="auto"/>
            <w:hideMark/>
          </w:tcPr>
          <w:p w14:paraId="4A8281F2"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Conforme identificado na informação da conta de utilizador ou na assinatura do Acordo de Compra</w:t>
            </w:r>
          </w:p>
        </w:tc>
        <w:tc>
          <w:tcPr>
            <w:tcW w:w="3685" w:type="dxa"/>
            <w:tcBorders>
              <w:top w:val="nil"/>
              <w:left w:val="nil"/>
              <w:bottom w:val="single" w:sz="4" w:space="0" w:color="auto"/>
              <w:right w:val="single" w:sz="4" w:space="0" w:color="auto"/>
            </w:tcBorders>
            <w:shd w:val="clear" w:color="auto" w:fill="auto"/>
            <w:noWrap/>
            <w:hideMark/>
          </w:tcPr>
          <w:p w14:paraId="0BBFFF07" w14:textId="77777777" w:rsidR="006D6DDD" w:rsidRPr="006D6DDD" w:rsidRDefault="006D6DDD" w:rsidP="006D6DDD">
            <w:pPr>
              <w:spacing w:after="0" w:line="240" w:lineRule="auto"/>
              <w:rPr>
                <w:rFonts w:ascii="Segoe UI" w:eastAsia="Times New Roman" w:hAnsi="Segoe UI" w:cs="Segoe UI"/>
                <w:color w:val="000000"/>
                <w:sz w:val="16"/>
                <w:szCs w:val="16"/>
                <w:lang w:val="en-US"/>
              </w:rPr>
            </w:pPr>
            <w:r w:rsidRPr="006D6DDD">
              <w:rPr>
                <w:rFonts w:ascii="Segoe UI" w:hAnsi="Segoe UI"/>
                <w:color w:val="000000"/>
                <w:sz w:val="16"/>
                <w:lang w:val="en-US"/>
              </w:rPr>
              <w:t xml:space="preserve">2165 E. Spring Street, </w:t>
            </w:r>
          </w:p>
          <w:p w14:paraId="5FA76869" w14:textId="77777777" w:rsidR="006D6DDD" w:rsidRPr="006D6DDD" w:rsidRDefault="006D6DDD" w:rsidP="006D6DDD">
            <w:pPr>
              <w:spacing w:after="0" w:line="240" w:lineRule="auto"/>
              <w:rPr>
                <w:rFonts w:ascii="Segoe UI" w:eastAsia="Times New Roman" w:hAnsi="Segoe UI" w:cs="Segoe UI"/>
                <w:color w:val="000000"/>
                <w:sz w:val="16"/>
                <w:szCs w:val="16"/>
                <w:lang w:val="en-US"/>
              </w:rPr>
            </w:pPr>
            <w:r w:rsidRPr="006D6DDD">
              <w:rPr>
                <w:rFonts w:ascii="Segoe UI" w:hAnsi="Segoe UI"/>
                <w:color w:val="000000"/>
                <w:sz w:val="16"/>
                <w:lang w:val="en-US"/>
              </w:rPr>
              <w:t>Long Beach, CA 90806</w:t>
            </w:r>
          </w:p>
        </w:tc>
      </w:tr>
      <w:tr w:rsidR="006D6DDD" w14:paraId="12814728" w14:textId="77777777" w:rsidTr="006D6DDD">
        <w:trPr>
          <w:trHeight w:val="562"/>
        </w:trPr>
        <w:tc>
          <w:tcPr>
            <w:tcW w:w="3544" w:type="dxa"/>
            <w:tcBorders>
              <w:top w:val="nil"/>
              <w:left w:val="single" w:sz="4" w:space="0" w:color="auto"/>
              <w:bottom w:val="single" w:sz="4" w:space="0" w:color="auto"/>
              <w:right w:val="single" w:sz="4" w:space="0" w:color="auto"/>
            </w:tcBorders>
            <w:shd w:val="clear" w:color="auto" w:fill="auto"/>
            <w:hideMark/>
          </w:tcPr>
          <w:p w14:paraId="01E4C4EE"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 xml:space="preserve">Nome da pessoa de contacto, cargo e </w:t>
            </w:r>
            <w:r>
              <w:rPr>
                <w:rFonts w:ascii="Segoe UI" w:hAnsi="Segoe UI"/>
                <w:color w:val="000000"/>
                <w:sz w:val="16"/>
              </w:rPr>
              <w:cr/>
            </w:r>
            <w:r>
              <w:rPr>
                <w:rFonts w:ascii="Segoe UI" w:hAnsi="Segoe UI"/>
                <w:color w:val="000000"/>
                <w:sz w:val="16"/>
              </w:rPr>
              <w:br/>
              <w:t>detalhes de contacto</w:t>
            </w:r>
          </w:p>
        </w:tc>
        <w:tc>
          <w:tcPr>
            <w:tcW w:w="3544" w:type="dxa"/>
            <w:tcBorders>
              <w:top w:val="nil"/>
              <w:left w:val="nil"/>
              <w:bottom w:val="single" w:sz="4" w:space="0" w:color="auto"/>
              <w:right w:val="single" w:sz="4" w:space="0" w:color="auto"/>
            </w:tcBorders>
            <w:shd w:val="clear" w:color="auto" w:fill="auto"/>
            <w:hideMark/>
          </w:tcPr>
          <w:p w14:paraId="4063A14C"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Conforme identificado na informação da conta de utilizador ou na assinatura do Acordo de Compra</w:t>
            </w:r>
          </w:p>
        </w:tc>
        <w:tc>
          <w:tcPr>
            <w:tcW w:w="3685" w:type="dxa"/>
            <w:tcBorders>
              <w:top w:val="nil"/>
              <w:left w:val="nil"/>
              <w:bottom w:val="single" w:sz="4" w:space="0" w:color="auto"/>
              <w:right w:val="single" w:sz="4" w:space="0" w:color="auto"/>
            </w:tcBorders>
            <w:shd w:val="clear" w:color="auto" w:fill="auto"/>
            <w:noWrap/>
            <w:hideMark/>
          </w:tcPr>
          <w:p w14:paraId="492FBB5A" w14:textId="77777777" w:rsidR="006D6DDD"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 Ignacio de la Corte, DPO</w:t>
            </w:r>
          </w:p>
          <w:p w14:paraId="473334E6"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dpo@hydrafacial.com</w:t>
            </w:r>
          </w:p>
        </w:tc>
      </w:tr>
      <w:tr w:rsidR="006D6DDD" w14:paraId="3253EB9C" w14:textId="77777777" w:rsidTr="006D6DDD">
        <w:trPr>
          <w:trHeight w:val="223"/>
        </w:trPr>
        <w:tc>
          <w:tcPr>
            <w:tcW w:w="3544" w:type="dxa"/>
            <w:tcBorders>
              <w:top w:val="nil"/>
              <w:left w:val="single" w:sz="4" w:space="0" w:color="auto"/>
              <w:bottom w:val="single" w:sz="4" w:space="0" w:color="auto"/>
              <w:right w:val="single" w:sz="4" w:space="0" w:color="auto"/>
            </w:tcBorders>
            <w:shd w:val="clear" w:color="auto" w:fill="auto"/>
            <w:hideMark/>
          </w:tcPr>
          <w:p w14:paraId="049376B8"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 xml:space="preserve">Atividades relevantes para os dados </w:t>
            </w:r>
            <w:r>
              <w:rPr>
                <w:rFonts w:ascii="Segoe UI" w:hAnsi="Segoe UI"/>
                <w:color w:val="000000"/>
                <w:sz w:val="16"/>
              </w:rPr>
              <w:cr/>
            </w:r>
            <w:r>
              <w:rPr>
                <w:rFonts w:ascii="Segoe UI" w:hAnsi="Segoe UI"/>
                <w:color w:val="000000"/>
                <w:sz w:val="16"/>
              </w:rPr>
              <w:br/>
              <w:t>transferidos ao abrigo das CCT da UE</w:t>
            </w:r>
          </w:p>
        </w:tc>
        <w:tc>
          <w:tcPr>
            <w:tcW w:w="3544" w:type="dxa"/>
            <w:tcBorders>
              <w:top w:val="nil"/>
              <w:left w:val="nil"/>
              <w:bottom w:val="single" w:sz="4" w:space="0" w:color="auto"/>
              <w:right w:val="single" w:sz="4" w:space="0" w:color="auto"/>
            </w:tcBorders>
            <w:shd w:val="clear" w:color="auto" w:fill="auto"/>
            <w:hideMark/>
          </w:tcPr>
          <w:p w14:paraId="283E1243"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Tal como estabelecido no Acordo de Tratamento de Dados</w:t>
            </w:r>
          </w:p>
        </w:tc>
        <w:tc>
          <w:tcPr>
            <w:tcW w:w="3685" w:type="dxa"/>
            <w:tcBorders>
              <w:top w:val="nil"/>
              <w:left w:val="nil"/>
              <w:bottom w:val="single" w:sz="4" w:space="0" w:color="auto"/>
              <w:right w:val="single" w:sz="4" w:space="0" w:color="auto"/>
            </w:tcBorders>
            <w:shd w:val="clear" w:color="auto" w:fill="auto"/>
            <w:hideMark/>
          </w:tcPr>
          <w:p w14:paraId="704F6EA0"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Tal como estabelecido no Acordo de Tratamento de Dados</w:t>
            </w:r>
          </w:p>
        </w:tc>
      </w:tr>
      <w:tr w:rsidR="006D6DDD" w14:paraId="6F784F07" w14:textId="77777777" w:rsidTr="006D6DDD">
        <w:trPr>
          <w:trHeight w:val="548"/>
        </w:trPr>
        <w:tc>
          <w:tcPr>
            <w:tcW w:w="3544" w:type="dxa"/>
            <w:tcBorders>
              <w:top w:val="nil"/>
              <w:left w:val="single" w:sz="4" w:space="0" w:color="auto"/>
              <w:bottom w:val="single" w:sz="4" w:space="0" w:color="auto"/>
              <w:right w:val="single" w:sz="4" w:space="0" w:color="auto"/>
            </w:tcBorders>
            <w:shd w:val="clear" w:color="auto" w:fill="auto"/>
            <w:hideMark/>
          </w:tcPr>
          <w:p w14:paraId="58828055"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Assinatura e data</w:t>
            </w:r>
          </w:p>
        </w:tc>
        <w:tc>
          <w:tcPr>
            <w:tcW w:w="3544" w:type="dxa"/>
            <w:tcBorders>
              <w:top w:val="nil"/>
              <w:left w:val="nil"/>
              <w:bottom w:val="single" w:sz="4" w:space="0" w:color="auto"/>
              <w:right w:val="single" w:sz="4" w:space="0" w:color="auto"/>
            </w:tcBorders>
            <w:shd w:val="clear" w:color="auto" w:fill="auto"/>
            <w:hideMark/>
          </w:tcPr>
          <w:p w14:paraId="218233B8"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As CCT da UE serão consideradas assinadas</w:t>
            </w:r>
            <w:r>
              <w:rPr>
                <w:rFonts w:ascii="Segoe UI" w:hAnsi="Segoe UI"/>
                <w:color w:val="000000"/>
                <w:sz w:val="16"/>
              </w:rPr>
              <w:cr/>
            </w:r>
            <w:r>
              <w:rPr>
                <w:rFonts w:ascii="Segoe UI" w:hAnsi="Segoe UI"/>
                <w:color w:val="000000"/>
                <w:sz w:val="16"/>
              </w:rPr>
              <w:br/>
              <w:t>após a assinatura das presentes CCT da HF</w:t>
            </w:r>
          </w:p>
        </w:tc>
        <w:tc>
          <w:tcPr>
            <w:tcW w:w="3685" w:type="dxa"/>
            <w:tcBorders>
              <w:top w:val="nil"/>
              <w:left w:val="nil"/>
              <w:bottom w:val="single" w:sz="4" w:space="0" w:color="auto"/>
              <w:right w:val="single" w:sz="4" w:space="0" w:color="auto"/>
            </w:tcBorders>
            <w:shd w:val="clear" w:color="auto" w:fill="auto"/>
            <w:hideMark/>
          </w:tcPr>
          <w:p w14:paraId="1B06D078"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As CCT da UE serão consideradas assinadas</w:t>
            </w:r>
            <w:r>
              <w:rPr>
                <w:rFonts w:ascii="Segoe UI" w:hAnsi="Segoe UI"/>
                <w:color w:val="000000"/>
                <w:sz w:val="16"/>
              </w:rPr>
              <w:cr/>
            </w:r>
            <w:r>
              <w:rPr>
                <w:rFonts w:ascii="Segoe UI" w:hAnsi="Segoe UI"/>
                <w:color w:val="000000"/>
                <w:sz w:val="16"/>
              </w:rPr>
              <w:br/>
              <w:t>após a assinatura das presentes CCT da HF</w:t>
            </w:r>
          </w:p>
        </w:tc>
      </w:tr>
      <w:tr w:rsidR="006D6DDD" w14:paraId="103C85C1" w14:textId="77777777" w:rsidTr="006D6DDD">
        <w:trPr>
          <w:trHeight w:val="286"/>
        </w:trPr>
        <w:tc>
          <w:tcPr>
            <w:tcW w:w="3544" w:type="dxa"/>
            <w:tcBorders>
              <w:top w:val="nil"/>
              <w:left w:val="single" w:sz="4" w:space="0" w:color="auto"/>
              <w:bottom w:val="single" w:sz="4" w:space="0" w:color="auto"/>
              <w:right w:val="single" w:sz="4" w:space="0" w:color="auto"/>
            </w:tcBorders>
            <w:shd w:val="clear" w:color="auto" w:fill="auto"/>
            <w:hideMark/>
          </w:tcPr>
          <w:p w14:paraId="757CABA9"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Função</w:t>
            </w:r>
          </w:p>
        </w:tc>
        <w:tc>
          <w:tcPr>
            <w:tcW w:w="3544" w:type="dxa"/>
            <w:tcBorders>
              <w:top w:val="nil"/>
              <w:left w:val="nil"/>
              <w:bottom w:val="single" w:sz="4" w:space="0" w:color="auto"/>
              <w:right w:val="single" w:sz="4" w:space="0" w:color="auto"/>
            </w:tcBorders>
            <w:shd w:val="clear" w:color="000000" w:fill="FFFFFF"/>
            <w:hideMark/>
          </w:tcPr>
          <w:p w14:paraId="4AD276CB"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 xml:space="preserve">Subcontratante </w:t>
            </w:r>
          </w:p>
        </w:tc>
        <w:tc>
          <w:tcPr>
            <w:tcW w:w="3685" w:type="dxa"/>
            <w:tcBorders>
              <w:top w:val="nil"/>
              <w:left w:val="nil"/>
              <w:bottom w:val="single" w:sz="4" w:space="0" w:color="auto"/>
              <w:right w:val="single" w:sz="4" w:space="0" w:color="auto"/>
            </w:tcBorders>
            <w:shd w:val="clear" w:color="000000" w:fill="FFFFFF"/>
            <w:hideMark/>
          </w:tcPr>
          <w:p w14:paraId="07242217" w14:textId="77777777" w:rsidR="006D6DDD" w:rsidRPr="00E60FF1" w:rsidRDefault="006D6DDD" w:rsidP="006D6DDD">
            <w:pPr>
              <w:spacing w:after="0" w:line="240" w:lineRule="auto"/>
              <w:rPr>
                <w:rFonts w:ascii="Segoe UI" w:eastAsia="Times New Roman" w:hAnsi="Segoe UI" w:cs="Segoe UI"/>
                <w:color w:val="000000"/>
                <w:sz w:val="16"/>
                <w:szCs w:val="16"/>
              </w:rPr>
            </w:pPr>
            <w:r>
              <w:rPr>
                <w:rFonts w:ascii="Segoe UI" w:hAnsi="Segoe UI"/>
                <w:color w:val="000000"/>
                <w:sz w:val="16"/>
              </w:rPr>
              <w:t xml:space="preserve">Responsável pelo Tratamento/Subcontratante </w:t>
            </w:r>
          </w:p>
        </w:tc>
      </w:tr>
    </w:tbl>
    <w:p w14:paraId="68F74984" w14:textId="77777777" w:rsidR="006D6DDD" w:rsidRDefault="006D6DDD" w:rsidP="006D6DDD">
      <w:pPr>
        <w:ind w:right="-852"/>
        <w:jc w:val="both"/>
        <w:rPr>
          <w:rFonts w:ascii="Segoe UI" w:hAnsi="Segoe UI" w:cs="Segoe UI"/>
          <w:sz w:val="18"/>
          <w:szCs w:val="18"/>
          <w:lang w:val="en-US"/>
        </w:rPr>
      </w:pPr>
    </w:p>
    <w:p w14:paraId="71CC36F9" w14:textId="77777777" w:rsidR="006D6DDD" w:rsidRDefault="006D6DDD" w:rsidP="006D6DDD">
      <w:pPr>
        <w:ind w:right="-852"/>
        <w:jc w:val="both"/>
        <w:rPr>
          <w:rFonts w:ascii="Segoe UI" w:hAnsi="Segoe UI" w:cs="Segoe UI"/>
          <w:sz w:val="18"/>
          <w:szCs w:val="18"/>
          <w:lang w:val="en-US"/>
        </w:rPr>
      </w:pPr>
    </w:p>
    <w:p w14:paraId="18FCE21A" w14:textId="77777777" w:rsidR="006D6DDD" w:rsidRPr="00885C20" w:rsidRDefault="006D6DDD" w:rsidP="006D6DDD">
      <w:pPr>
        <w:pStyle w:val="Prrafodelista"/>
        <w:numPr>
          <w:ilvl w:val="0"/>
          <w:numId w:val="5"/>
        </w:numPr>
        <w:ind w:left="-426" w:right="-852"/>
        <w:jc w:val="both"/>
        <w:rPr>
          <w:rFonts w:ascii="Segoe UI" w:hAnsi="Segoe UI" w:cs="Segoe UI"/>
          <w:sz w:val="20"/>
          <w:szCs w:val="20"/>
        </w:rPr>
      </w:pPr>
      <w:proofErr w:type="spellStart"/>
      <w:r>
        <w:rPr>
          <w:rFonts w:ascii="Segoe UI" w:hAnsi="Segoe UI"/>
          <w:sz w:val="20"/>
        </w:rPr>
        <w:t>Descrição</w:t>
      </w:r>
      <w:proofErr w:type="spellEnd"/>
      <w:r>
        <w:rPr>
          <w:rFonts w:ascii="Segoe UI" w:hAnsi="Segoe UI"/>
          <w:sz w:val="20"/>
        </w:rPr>
        <w:t xml:space="preserve"> da </w:t>
      </w:r>
      <w:proofErr w:type="spellStart"/>
      <w:r>
        <w:rPr>
          <w:rFonts w:ascii="Segoe UI" w:hAnsi="Segoe UI"/>
          <w:sz w:val="20"/>
        </w:rPr>
        <w:t>Transferência</w:t>
      </w:r>
      <w:proofErr w:type="spellEnd"/>
    </w:p>
    <w:tbl>
      <w:tblPr>
        <w:tblW w:w="10773" w:type="dxa"/>
        <w:tblInd w:w="-1139" w:type="dxa"/>
        <w:tblCellMar>
          <w:left w:w="70" w:type="dxa"/>
          <w:right w:w="70" w:type="dxa"/>
        </w:tblCellMar>
        <w:tblLook w:val="04A0" w:firstRow="1" w:lastRow="0" w:firstColumn="1" w:lastColumn="0" w:noHBand="0" w:noVBand="1"/>
      </w:tblPr>
      <w:tblGrid>
        <w:gridCol w:w="10773"/>
      </w:tblGrid>
      <w:tr w:rsidR="006D6DDD" w14:paraId="55B61ED6" w14:textId="77777777" w:rsidTr="00037AAC">
        <w:trPr>
          <w:trHeight w:val="565"/>
        </w:trPr>
        <w:tc>
          <w:tcPr>
            <w:tcW w:w="10773" w:type="dxa"/>
            <w:tcBorders>
              <w:top w:val="single" w:sz="4" w:space="0" w:color="auto"/>
              <w:left w:val="single" w:sz="4" w:space="0" w:color="auto"/>
              <w:bottom w:val="single" w:sz="4" w:space="0" w:color="auto"/>
              <w:right w:val="single" w:sz="4" w:space="0" w:color="auto"/>
            </w:tcBorders>
            <w:shd w:val="clear" w:color="auto" w:fill="auto"/>
            <w:hideMark/>
          </w:tcPr>
          <w:p w14:paraId="387AAFC6" w14:textId="77777777" w:rsidR="006D6DDD" w:rsidRPr="00E60FF1" w:rsidRDefault="006D6DDD" w:rsidP="00037AAC">
            <w:pPr>
              <w:spacing w:after="0" w:line="240" w:lineRule="auto"/>
              <w:rPr>
                <w:rFonts w:ascii="Segoe UI" w:eastAsia="Times New Roman" w:hAnsi="Segoe UI" w:cs="Segoe UI"/>
                <w:color w:val="000000"/>
                <w:sz w:val="16"/>
                <w:szCs w:val="16"/>
              </w:rPr>
            </w:pPr>
            <w:r>
              <w:rPr>
                <w:rFonts w:ascii="Segoe UI" w:hAnsi="Segoe UI"/>
                <w:b/>
                <w:color w:val="000000"/>
                <w:sz w:val="16"/>
              </w:rPr>
              <w:t xml:space="preserve">Categorias de titulares de dados </w:t>
            </w:r>
            <w:r>
              <w:rPr>
                <w:rFonts w:ascii="Segoe UI" w:hAnsi="Segoe UI"/>
                <w:i/>
                <w:color w:val="000000"/>
                <w:sz w:val="16"/>
              </w:rPr>
              <w:t>cujos dados pessoais são transferidos</w:t>
            </w:r>
            <w:r>
              <w:rPr>
                <w:rFonts w:ascii="Segoe UI" w:hAnsi="Segoe UI"/>
                <w:color w:val="000000"/>
                <w:sz w:val="16"/>
              </w:rPr>
              <w:br/>
              <w:t xml:space="preserve">Cliente, Consumidor e Utilizador Autorizado cujos dados pessoais são processados pela </w:t>
            </w:r>
            <w:proofErr w:type="spellStart"/>
            <w:r>
              <w:rPr>
                <w:rFonts w:ascii="Segoe UI" w:hAnsi="Segoe UI"/>
                <w:color w:val="000000"/>
                <w:sz w:val="16"/>
              </w:rPr>
              <w:t>Hydrafacial</w:t>
            </w:r>
            <w:proofErr w:type="spellEnd"/>
            <w:r>
              <w:rPr>
                <w:rFonts w:ascii="Segoe UI" w:hAnsi="Segoe UI"/>
                <w:color w:val="000000"/>
                <w:sz w:val="16"/>
              </w:rPr>
              <w:t xml:space="preserve"> com o objetivo de providenciar a conta </w:t>
            </w:r>
            <w:proofErr w:type="spellStart"/>
            <w:r>
              <w:rPr>
                <w:rFonts w:ascii="Segoe UI" w:hAnsi="Segoe UI"/>
                <w:color w:val="000000"/>
                <w:sz w:val="16"/>
              </w:rPr>
              <w:t>Hydrafacial</w:t>
            </w:r>
            <w:proofErr w:type="spellEnd"/>
            <w:r>
              <w:rPr>
                <w:rFonts w:ascii="Segoe UI" w:hAnsi="Segoe UI"/>
                <w:color w:val="000000"/>
                <w:sz w:val="16"/>
              </w:rPr>
              <w:t xml:space="preserve"> e os serviços do Dispositivo, incluindo a interação com o Dispositivo.</w:t>
            </w:r>
          </w:p>
        </w:tc>
      </w:tr>
      <w:tr w:rsidR="006D6DDD" w14:paraId="4A59F1B1" w14:textId="77777777" w:rsidTr="00037AAC">
        <w:trPr>
          <w:trHeight w:val="841"/>
        </w:trPr>
        <w:tc>
          <w:tcPr>
            <w:tcW w:w="10773" w:type="dxa"/>
            <w:tcBorders>
              <w:top w:val="nil"/>
              <w:left w:val="single" w:sz="4" w:space="0" w:color="auto"/>
              <w:bottom w:val="single" w:sz="4" w:space="0" w:color="auto"/>
              <w:right w:val="single" w:sz="4" w:space="0" w:color="auto"/>
            </w:tcBorders>
            <w:shd w:val="clear" w:color="auto" w:fill="auto"/>
            <w:hideMark/>
          </w:tcPr>
          <w:p w14:paraId="46C9E4C3" w14:textId="77777777" w:rsidR="006D6DDD" w:rsidRPr="00E60FF1" w:rsidRDefault="006D6DDD" w:rsidP="00037AAC">
            <w:pPr>
              <w:spacing w:after="0" w:line="240" w:lineRule="auto"/>
              <w:rPr>
                <w:rFonts w:ascii="Segoe UI" w:eastAsia="Times New Roman" w:hAnsi="Segoe UI" w:cs="Segoe UI"/>
                <w:b/>
                <w:bCs/>
                <w:color w:val="000000"/>
                <w:sz w:val="16"/>
                <w:szCs w:val="16"/>
              </w:rPr>
            </w:pPr>
            <w:r>
              <w:rPr>
                <w:rFonts w:ascii="Segoe UI" w:hAnsi="Segoe UI"/>
                <w:b/>
                <w:color w:val="000000"/>
                <w:sz w:val="16"/>
              </w:rPr>
              <w:t xml:space="preserve">Categorias de dados </w:t>
            </w:r>
            <w:proofErr w:type="gramStart"/>
            <w:r>
              <w:rPr>
                <w:rFonts w:ascii="Segoe UI" w:hAnsi="Segoe UI"/>
                <w:b/>
                <w:color w:val="000000"/>
                <w:sz w:val="16"/>
              </w:rPr>
              <w:t xml:space="preserve">pessoais </w:t>
            </w:r>
            <w:r>
              <w:rPr>
                <w:rFonts w:ascii="Segoe UI" w:hAnsi="Segoe UI"/>
                <w:b/>
                <w:i/>
                <w:color w:val="000000"/>
                <w:sz w:val="16"/>
              </w:rPr>
              <w:t xml:space="preserve"> </w:t>
            </w:r>
            <w:r>
              <w:rPr>
                <w:rFonts w:ascii="Segoe UI" w:hAnsi="Segoe UI"/>
                <w:i/>
                <w:color w:val="000000"/>
                <w:sz w:val="16"/>
              </w:rPr>
              <w:t>transferidos</w:t>
            </w:r>
            <w:proofErr w:type="gramEnd"/>
            <w:r>
              <w:rPr>
                <w:rFonts w:ascii="Segoe UI" w:hAnsi="Segoe UI"/>
                <w:color w:val="000000"/>
                <w:sz w:val="16"/>
              </w:rPr>
              <w:br/>
              <w:t xml:space="preserve">Os dados pessoais transferidos são os fornecidos pelo, ou em nome do, Cliente e tratados pela </w:t>
            </w:r>
            <w:proofErr w:type="spellStart"/>
            <w:r>
              <w:rPr>
                <w:rFonts w:ascii="Segoe UI" w:hAnsi="Segoe UI"/>
                <w:color w:val="000000"/>
                <w:sz w:val="16"/>
              </w:rPr>
              <w:t>Hydrafacial</w:t>
            </w:r>
            <w:proofErr w:type="spellEnd"/>
            <w:r>
              <w:rPr>
                <w:rFonts w:ascii="Segoe UI" w:hAnsi="Segoe UI"/>
                <w:color w:val="000000"/>
                <w:sz w:val="16"/>
              </w:rPr>
              <w:t xml:space="preserve"> ao fornecer os serviços do Dispositivo. </w:t>
            </w:r>
            <w:r>
              <w:rPr>
                <w:rFonts w:ascii="Segoe UI" w:hAnsi="Segoe UI"/>
                <w:color w:val="000000"/>
                <w:sz w:val="16"/>
              </w:rPr>
              <w:br/>
              <w:t>Os dados pessoais incluem normalmente ((i) Contacto e Informação de Conta dos titulares dos dados, tais como nome completo, número de telefone, endereço de correio eletrónico, função e endereço IP; (</w:t>
            </w:r>
            <w:proofErr w:type="spellStart"/>
            <w:r>
              <w:rPr>
                <w:rFonts w:ascii="Segoe UI" w:hAnsi="Segoe UI"/>
                <w:color w:val="000000"/>
                <w:sz w:val="16"/>
              </w:rPr>
              <w:t>ii</w:t>
            </w:r>
            <w:proofErr w:type="spellEnd"/>
            <w:r>
              <w:rPr>
                <w:rFonts w:ascii="Segoe UI" w:hAnsi="Segoe UI"/>
                <w:color w:val="000000"/>
                <w:sz w:val="16"/>
              </w:rPr>
              <w:t>) Histórico e Realização do Tratamento.</w:t>
            </w:r>
          </w:p>
        </w:tc>
      </w:tr>
      <w:tr w:rsidR="006D6DDD" w14:paraId="69F9EF6B" w14:textId="77777777" w:rsidTr="00037AAC">
        <w:trPr>
          <w:trHeight w:val="124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799FFDE" w14:textId="77777777" w:rsidR="006D6DDD" w:rsidRPr="00E60FF1" w:rsidRDefault="006D6DDD" w:rsidP="00037AAC">
            <w:pPr>
              <w:spacing w:after="0" w:line="240" w:lineRule="auto"/>
              <w:rPr>
                <w:rFonts w:ascii="Segoe UI" w:eastAsia="Times New Roman" w:hAnsi="Segoe UI" w:cs="Segoe UI"/>
                <w:color w:val="000000"/>
                <w:sz w:val="16"/>
                <w:szCs w:val="16"/>
              </w:rPr>
            </w:pPr>
            <w:r>
              <w:rPr>
                <w:rFonts w:ascii="Segoe UI" w:hAnsi="Segoe UI"/>
                <w:b/>
                <w:color w:val="000000"/>
                <w:sz w:val="16"/>
              </w:rPr>
              <w:t>Dados sensíveis transferidos (se aplicável)</w:t>
            </w:r>
            <w:r>
              <w:rPr>
                <w:rFonts w:ascii="Segoe UI" w:hAnsi="Segoe UI"/>
                <w:color w:val="000000"/>
                <w:sz w:val="16"/>
              </w:rPr>
              <w:t xml:space="preserve"> </w:t>
            </w:r>
            <w:r>
              <w:rPr>
                <w:rFonts w:ascii="Segoe UI" w:hAnsi="Segoe UI"/>
                <w:i/>
                <w:color w:val="000000"/>
                <w:sz w:val="16"/>
              </w:rPr>
              <w:t>e restrições ou salvaguardas aplicadas que tenham plenamente em consideração a natureza dos dados e os riscos envolvidos, tais como, por exemplo, limitação estrita da finalidade, restrições de acesso (incluindo acesso apenas para o pessoal que tenha recebido formação especializada), manutenção de um registo do acesso aos dados, restrições para transferências subsequentes ou medidas de segurança adicionais</w:t>
            </w:r>
            <w:r>
              <w:rPr>
                <w:rFonts w:ascii="Segoe UI" w:hAnsi="Segoe UI"/>
                <w:color w:val="000000"/>
                <w:sz w:val="16"/>
              </w:rPr>
              <w:br/>
              <w:t>Os dados pessoais tratados não incluirão dados pessoais sensíveis, incluindo informação sobre origem racial ou étnica, opiniões políticas, crenças religiosas ou filosóficas, filiação sindical, orientação sexual, números de identificação emitidos pelo governo, dados de cartões de crédito, dados sensíveis relacionados com PCI (incluindo mas não limitados a bandas magnéticas e dados de chips, números CAV2/CVC2/CVVV2/CID4, e números de identificação pessoal (</w:t>
            </w:r>
            <w:proofErr w:type="spellStart"/>
            <w:r>
              <w:rPr>
                <w:rFonts w:ascii="Segoe UI" w:hAnsi="Segoe UI"/>
                <w:color w:val="000000"/>
                <w:sz w:val="16"/>
              </w:rPr>
              <w:t>PINs</w:t>
            </w:r>
            <w:proofErr w:type="spellEnd"/>
            <w:r>
              <w:rPr>
                <w:rFonts w:ascii="Segoe UI" w:hAnsi="Segoe UI"/>
                <w:color w:val="000000"/>
                <w:sz w:val="16"/>
              </w:rPr>
              <w:t xml:space="preserve">)), registos de saúde ou médicos e registos criminais. </w:t>
            </w:r>
          </w:p>
        </w:tc>
      </w:tr>
      <w:tr w:rsidR="006D6DDD" w14:paraId="4AA54FFF" w14:textId="77777777" w:rsidTr="00037AAC">
        <w:trPr>
          <w:trHeight w:val="32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3462BACE" w14:textId="77777777" w:rsidR="006D6DDD" w:rsidRPr="00E60FF1" w:rsidRDefault="006D6DDD" w:rsidP="00037AAC">
            <w:pPr>
              <w:spacing w:after="0" w:line="240" w:lineRule="auto"/>
              <w:rPr>
                <w:rFonts w:ascii="Segoe UI" w:eastAsia="Times New Roman" w:hAnsi="Segoe UI" w:cs="Segoe UI"/>
                <w:color w:val="000000"/>
                <w:sz w:val="16"/>
                <w:szCs w:val="16"/>
              </w:rPr>
            </w:pPr>
            <w:r>
              <w:rPr>
                <w:rFonts w:ascii="Segoe UI" w:hAnsi="Segoe UI"/>
                <w:b/>
                <w:color w:val="000000"/>
                <w:sz w:val="16"/>
              </w:rPr>
              <w:t>A frequência da transferência</w:t>
            </w:r>
            <w:r>
              <w:rPr>
                <w:rFonts w:ascii="Segoe UI" w:hAnsi="Segoe UI"/>
                <w:color w:val="000000"/>
                <w:sz w:val="16"/>
              </w:rPr>
              <w:t xml:space="preserve"> </w:t>
            </w:r>
            <w:r>
              <w:rPr>
                <w:rFonts w:ascii="Segoe UI" w:hAnsi="Segoe UI"/>
                <w:i/>
                <w:color w:val="000000"/>
                <w:sz w:val="16"/>
              </w:rPr>
              <w:t>(por exemplo, se os dados são transferidos de uma só vez ou numa base contínua)</w:t>
            </w:r>
            <w:r>
              <w:rPr>
                <w:rFonts w:ascii="Segoe UI" w:hAnsi="Segoe UI"/>
                <w:color w:val="000000"/>
                <w:sz w:val="16"/>
              </w:rPr>
              <w:br/>
              <w:t>Base contínua durante o fornecimento ou os serviços e utilização do Dispositivo.</w:t>
            </w:r>
          </w:p>
        </w:tc>
      </w:tr>
      <w:tr w:rsidR="006D6DDD" w14:paraId="275845F2" w14:textId="77777777" w:rsidTr="00037AAC">
        <w:trPr>
          <w:trHeight w:val="47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42FAB756" w14:textId="77777777" w:rsidR="006D6DDD" w:rsidRPr="00E60FF1" w:rsidRDefault="006D6DDD" w:rsidP="00037AAC">
            <w:pPr>
              <w:spacing w:after="0" w:line="240" w:lineRule="auto"/>
              <w:rPr>
                <w:rFonts w:ascii="Segoe UI" w:eastAsia="Times New Roman" w:hAnsi="Segoe UI" w:cs="Segoe UI"/>
                <w:color w:val="000000"/>
                <w:sz w:val="16"/>
                <w:szCs w:val="16"/>
              </w:rPr>
            </w:pPr>
            <w:r>
              <w:rPr>
                <w:rFonts w:ascii="Segoe UI" w:hAnsi="Segoe UI"/>
                <w:b/>
                <w:color w:val="000000"/>
                <w:sz w:val="16"/>
              </w:rPr>
              <w:t xml:space="preserve">Natureza do tratamento </w:t>
            </w:r>
            <w:r>
              <w:rPr>
                <w:rFonts w:ascii="Segoe UI" w:hAnsi="Segoe UI"/>
                <w:color w:val="000000"/>
                <w:sz w:val="16"/>
              </w:rPr>
              <w:br/>
              <w:t>Os dados pessoais tratados podem ser sujeitos às seguintes atividades de tratamento:</w:t>
            </w:r>
            <w:r>
              <w:rPr>
                <w:rFonts w:ascii="Segoe UI" w:hAnsi="Segoe UI"/>
                <w:color w:val="000000"/>
                <w:sz w:val="14"/>
              </w:rPr>
              <w:t xml:space="preserve"> </w:t>
            </w:r>
            <w:r>
              <w:rPr>
                <w:rFonts w:ascii="Segoe UI" w:hAnsi="Segoe UI"/>
                <w:sz w:val="16"/>
              </w:rPr>
              <w:t>recolha, divulgação por transmissão e consulta</w:t>
            </w:r>
          </w:p>
        </w:tc>
      </w:tr>
      <w:tr w:rsidR="006D6DDD" w14:paraId="4D0D9C22" w14:textId="77777777" w:rsidTr="00037AAC">
        <w:trPr>
          <w:trHeight w:val="37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00801761" w14:textId="77777777" w:rsidR="006D6DDD" w:rsidRPr="00E60FF1" w:rsidRDefault="006D6DDD" w:rsidP="00037AAC">
            <w:pPr>
              <w:spacing w:after="0" w:line="240" w:lineRule="auto"/>
              <w:rPr>
                <w:rFonts w:ascii="Segoe UI" w:eastAsia="Times New Roman" w:hAnsi="Segoe UI" w:cs="Segoe UI"/>
                <w:color w:val="000000"/>
                <w:sz w:val="16"/>
                <w:szCs w:val="16"/>
              </w:rPr>
            </w:pPr>
            <w:r>
              <w:rPr>
                <w:rFonts w:ascii="Segoe UI" w:hAnsi="Segoe UI"/>
                <w:b/>
                <w:color w:val="000000"/>
                <w:sz w:val="16"/>
              </w:rPr>
              <w:t xml:space="preserve">Finalidade(s) da transferência de dados </w:t>
            </w:r>
            <w:r>
              <w:rPr>
                <w:rFonts w:ascii="Segoe UI" w:hAnsi="Segoe UI"/>
                <w:i/>
                <w:color w:val="000000"/>
                <w:sz w:val="16"/>
              </w:rPr>
              <w:t>e tratamento posterior dos dados</w:t>
            </w:r>
            <w:r>
              <w:rPr>
                <w:rFonts w:ascii="Segoe UI" w:hAnsi="Segoe UI"/>
                <w:i/>
                <w:color w:val="000000"/>
                <w:sz w:val="16"/>
              </w:rPr>
              <w:br/>
            </w:r>
            <w:r>
              <w:rPr>
                <w:rFonts w:ascii="Segoe UI" w:hAnsi="Segoe UI"/>
                <w:color w:val="000000"/>
                <w:sz w:val="16"/>
              </w:rPr>
              <w:t>Os dados pessoais são tratados para os fins descritos no Acordo de Tratamento de Dados (a "Finalidade Autorizada").</w:t>
            </w:r>
          </w:p>
        </w:tc>
      </w:tr>
      <w:tr w:rsidR="006D6DDD" w14:paraId="0D463993" w14:textId="77777777" w:rsidTr="00037AAC">
        <w:trPr>
          <w:trHeight w:val="43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1E2BB187" w14:textId="77777777" w:rsidR="006D6DDD" w:rsidRPr="00E60FF1" w:rsidRDefault="006D6DDD" w:rsidP="00037AAC">
            <w:pPr>
              <w:spacing w:after="0" w:line="240" w:lineRule="auto"/>
              <w:rPr>
                <w:rFonts w:ascii="Segoe UI" w:eastAsia="Times New Roman" w:hAnsi="Segoe UI" w:cs="Segoe UI"/>
                <w:color w:val="000000"/>
                <w:sz w:val="16"/>
                <w:szCs w:val="16"/>
              </w:rPr>
            </w:pPr>
            <w:r>
              <w:rPr>
                <w:rFonts w:ascii="Segoe UI" w:hAnsi="Segoe UI"/>
                <w:b/>
                <w:color w:val="000000"/>
                <w:sz w:val="16"/>
              </w:rPr>
              <w:t>O período durante o qual os dados pessoais serão retidos</w:t>
            </w:r>
            <w:r>
              <w:rPr>
                <w:rFonts w:ascii="Segoe UI" w:hAnsi="Segoe UI"/>
                <w:color w:val="000000"/>
                <w:sz w:val="16"/>
              </w:rPr>
              <w:t xml:space="preserve">, </w:t>
            </w:r>
            <w:r>
              <w:rPr>
                <w:rFonts w:ascii="Segoe UI" w:hAnsi="Segoe UI"/>
                <w:i/>
                <w:color w:val="000000"/>
                <w:sz w:val="16"/>
              </w:rPr>
              <w:t>ou, se tal não for possível, os critérios utilizados para determinar esse período</w:t>
            </w:r>
            <w:r>
              <w:rPr>
                <w:rFonts w:ascii="Segoe UI" w:hAnsi="Segoe UI"/>
                <w:color w:val="000000"/>
                <w:sz w:val="16"/>
              </w:rPr>
              <w:br/>
              <w:t xml:space="preserve">Os dados pessoais podem ser tratados pelo período de duração do contrato com os serviços do Dispositivo </w:t>
            </w:r>
            <w:proofErr w:type="spellStart"/>
            <w:r>
              <w:rPr>
                <w:rFonts w:ascii="Segoe UI" w:hAnsi="Segoe UI"/>
                <w:color w:val="000000"/>
                <w:sz w:val="16"/>
              </w:rPr>
              <w:t>Hidrafacial</w:t>
            </w:r>
            <w:proofErr w:type="spellEnd"/>
            <w:r>
              <w:rPr>
                <w:rFonts w:ascii="Segoe UI" w:hAnsi="Segoe UI"/>
                <w:color w:val="000000"/>
                <w:sz w:val="16"/>
              </w:rPr>
              <w:t xml:space="preserve"> e por qualquer período adicional durante o qual devem ser conservados nos termos da lei.</w:t>
            </w:r>
          </w:p>
        </w:tc>
      </w:tr>
      <w:tr w:rsidR="006D6DDD" w14:paraId="69FEB824" w14:textId="77777777" w:rsidTr="00037AAC">
        <w:trPr>
          <w:trHeight w:val="354"/>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5A1B7259" w14:textId="77777777" w:rsidR="006D6DDD" w:rsidRPr="00E60FF1" w:rsidRDefault="006D6DDD" w:rsidP="00037AAC">
            <w:pPr>
              <w:spacing w:after="0" w:line="240" w:lineRule="auto"/>
              <w:rPr>
                <w:rFonts w:ascii="Segoe UI" w:eastAsia="Times New Roman" w:hAnsi="Segoe UI" w:cs="Segoe UI"/>
                <w:color w:val="000000"/>
                <w:sz w:val="16"/>
                <w:szCs w:val="16"/>
              </w:rPr>
            </w:pPr>
            <w:r>
              <w:rPr>
                <w:rFonts w:ascii="Segoe UI" w:hAnsi="Segoe UI"/>
                <w:b/>
                <w:color w:val="000000"/>
                <w:sz w:val="16"/>
              </w:rPr>
              <w:t>Para transferências para subcontratantes</w:t>
            </w:r>
            <w:r>
              <w:rPr>
                <w:rFonts w:ascii="Segoe UI" w:hAnsi="Segoe UI"/>
                <w:i/>
                <w:color w:val="000000"/>
                <w:sz w:val="16"/>
              </w:rPr>
              <w:t>, especificar também o assunto, natureza e duração do tratamento</w:t>
            </w:r>
            <w:r>
              <w:rPr>
                <w:rFonts w:ascii="Segoe UI" w:hAnsi="Segoe UI"/>
                <w:color w:val="000000"/>
                <w:sz w:val="16"/>
              </w:rPr>
              <w:br/>
              <w:t xml:space="preserve">Não haverá transferências para Subcontratantes. </w:t>
            </w:r>
          </w:p>
        </w:tc>
      </w:tr>
    </w:tbl>
    <w:p w14:paraId="6BEB27EC" w14:textId="77777777" w:rsidR="006D6DDD" w:rsidRPr="006D6DDD" w:rsidRDefault="006D6DDD" w:rsidP="006D6DDD">
      <w:pPr>
        <w:ind w:right="-852"/>
        <w:jc w:val="both"/>
        <w:rPr>
          <w:rFonts w:ascii="Segoe UI" w:hAnsi="Segoe UI" w:cs="Segoe UI"/>
          <w:sz w:val="18"/>
          <w:szCs w:val="18"/>
        </w:rPr>
      </w:pPr>
    </w:p>
    <w:p w14:paraId="376789B0" w14:textId="77777777" w:rsidR="006D6DDD" w:rsidRPr="00885C20" w:rsidRDefault="006D6DDD" w:rsidP="006D6DDD">
      <w:pPr>
        <w:pStyle w:val="Prrafodelista"/>
        <w:numPr>
          <w:ilvl w:val="0"/>
          <w:numId w:val="5"/>
        </w:numPr>
        <w:ind w:left="-426" w:right="-852"/>
        <w:jc w:val="both"/>
        <w:rPr>
          <w:rFonts w:ascii="Segoe UI" w:hAnsi="Segoe UI" w:cs="Segoe UI"/>
          <w:sz w:val="20"/>
          <w:szCs w:val="20"/>
        </w:rPr>
      </w:pPr>
      <w:proofErr w:type="spellStart"/>
      <w:r>
        <w:rPr>
          <w:rFonts w:ascii="Segoe UI" w:hAnsi="Segoe UI"/>
          <w:sz w:val="20"/>
        </w:rPr>
        <w:t>Autoridade</w:t>
      </w:r>
      <w:proofErr w:type="spellEnd"/>
      <w:r>
        <w:rPr>
          <w:rFonts w:ascii="Segoe UI" w:hAnsi="Segoe UI"/>
          <w:sz w:val="20"/>
        </w:rPr>
        <w:t xml:space="preserve"> de </w:t>
      </w:r>
      <w:proofErr w:type="spellStart"/>
      <w:r>
        <w:rPr>
          <w:rFonts w:ascii="Segoe UI" w:hAnsi="Segoe UI"/>
          <w:sz w:val="20"/>
        </w:rPr>
        <w:t>Supervisão</w:t>
      </w:r>
      <w:proofErr w:type="spellEnd"/>
      <w:r>
        <w:rPr>
          <w:rFonts w:ascii="Segoe UI" w:hAnsi="Segoe UI"/>
          <w:sz w:val="20"/>
        </w:rPr>
        <w:t xml:space="preserve"> Competente</w:t>
      </w:r>
    </w:p>
    <w:p w14:paraId="1A19EFA5" w14:textId="77777777" w:rsidR="006D6DDD" w:rsidRDefault="006D6DDD" w:rsidP="006D6DDD">
      <w:pPr>
        <w:ind w:left="-851" w:right="-852"/>
        <w:jc w:val="both"/>
        <w:rPr>
          <w:rFonts w:ascii="Segoe UI" w:hAnsi="Segoe UI" w:cs="Segoe UI"/>
          <w:sz w:val="18"/>
          <w:szCs w:val="18"/>
        </w:rPr>
      </w:pPr>
      <w:r>
        <w:rPr>
          <w:rFonts w:ascii="Segoe UI" w:hAnsi="Segoe UI"/>
          <w:sz w:val="18"/>
        </w:rPr>
        <w:t>Significa a Autoridade de Supervisão competente do Estado-Membro da UE, determinada em conformidade com a cláusula 13.</w:t>
      </w:r>
    </w:p>
    <w:p w14:paraId="700B4416" w14:textId="77777777" w:rsidR="006D6DDD" w:rsidRPr="006D6DDD" w:rsidRDefault="006D6DDD" w:rsidP="006D6DDD">
      <w:pPr>
        <w:ind w:left="-851" w:right="-852"/>
        <w:jc w:val="both"/>
        <w:rPr>
          <w:rFonts w:ascii="Segoe UI" w:hAnsi="Segoe UI" w:cs="Segoe UI"/>
          <w:sz w:val="18"/>
          <w:szCs w:val="18"/>
        </w:rPr>
      </w:pPr>
    </w:p>
    <w:p w14:paraId="7B3FF434" w14:textId="77777777" w:rsidR="006D6DDD" w:rsidRPr="006D6DDD" w:rsidRDefault="006D6DDD" w:rsidP="006D6DDD">
      <w:pPr>
        <w:ind w:left="-851" w:right="-852"/>
        <w:jc w:val="both"/>
        <w:rPr>
          <w:rFonts w:ascii="Segoe UI" w:hAnsi="Segoe UI" w:cs="Segoe UI"/>
          <w:sz w:val="18"/>
          <w:szCs w:val="18"/>
        </w:rPr>
      </w:pPr>
    </w:p>
    <w:p w14:paraId="5F88649A" w14:textId="77777777" w:rsidR="006D6DDD" w:rsidRPr="006D6DDD" w:rsidRDefault="006D6DDD" w:rsidP="006D6DDD">
      <w:pPr>
        <w:pStyle w:val="Prrafodelista"/>
        <w:numPr>
          <w:ilvl w:val="0"/>
          <w:numId w:val="4"/>
        </w:numPr>
        <w:ind w:left="-567" w:right="-852"/>
        <w:jc w:val="both"/>
        <w:rPr>
          <w:rFonts w:ascii="Segoe UI" w:hAnsi="Segoe UI" w:cs="Segoe UI"/>
          <w:sz w:val="20"/>
          <w:szCs w:val="20"/>
          <w:lang w:val="pt-PT"/>
        </w:rPr>
      </w:pPr>
      <w:r w:rsidRPr="006D6DDD">
        <w:rPr>
          <w:rFonts w:ascii="Segoe UI" w:hAnsi="Segoe UI"/>
          <w:sz w:val="20"/>
          <w:lang w:val="pt-PT"/>
        </w:rPr>
        <w:t xml:space="preserve">Medidas Técnicas e Organizacionais incluindo Medidas Técnicas e Organizacionais para garantir a Segurança dos Dados </w:t>
      </w:r>
    </w:p>
    <w:p w14:paraId="0E884F93" w14:textId="77777777" w:rsidR="006D6DDD" w:rsidRPr="00FD3B3B" w:rsidRDefault="006D6DDD" w:rsidP="006D6DDD">
      <w:pPr>
        <w:ind w:left="-851" w:right="-852"/>
        <w:jc w:val="both"/>
        <w:rPr>
          <w:rFonts w:ascii="Segoe UI" w:hAnsi="Segoe UI" w:cs="Segoe UI"/>
          <w:sz w:val="18"/>
          <w:szCs w:val="18"/>
        </w:rPr>
      </w:pPr>
      <w:r>
        <w:rPr>
          <w:rFonts w:ascii="Segoe UI" w:hAnsi="Segoe UI"/>
          <w:sz w:val="18"/>
        </w:rPr>
        <w:t xml:space="preserve">Sem prejuízo dos controlos de segurança aplicáveis aos serviços, em conformidade com o Acordo de Tratamento de Dados, a </w:t>
      </w:r>
      <w:proofErr w:type="spellStart"/>
      <w:r>
        <w:rPr>
          <w:rFonts w:ascii="Segoe UI" w:hAnsi="Segoe UI"/>
          <w:sz w:val="18"/>
        </w:rPr>
        <w:t>Hydrafacial</w:t>
      </w:r>
      <w:proofErr w:type="spellEnd"/>
      <w:r>
        <w:rPr>
          <w:rFonts w:ascii="Segoe UI" w:hAnsi="Segoe UI"/>
          <w:sz w:val="18"/>
        </w:rPr>
        <w:t xml:space="preserve"> sustenta as seguintes medidas suplementares, com base nas orientações não vinculativas da EDPB: </w:t>
      </w:r>
    </w:p>
    <w:p w14:paraId="1E6175E6" w14:textId="77777777" w:rsidR="006D6DDD" w:rsidRPr="00105A0B" w:rsidRDefault="006D6DDD" w:rsidP="006D6DDD">
      <w:pPr>
        <w:ind w:left="-851" w:right="-852"/>
        <w:jc w:val="both"/>
        <w:rPr>
          <w:rFonts w:ascii="Segoe UI" w:hAnsi="Segoe UI" w:cs="Segoe UI"/>
          <w:sz w:val="18"/>
          <w:szCs w:val="18"/>
          <w:u w:val="single"/>
        </w:rPr>
      </w:pPr>
      <w:r>
        <w:rPr>
          <w:rFonts w:ascii="Segoe UI" w:hAnsi="Segoe UI"/>
          <w:sz w:val="18"/>
          <w:u w:val="single"/>
        </w:rPr>
        <w:t xml:space="preserve">Medidas Técnicas </w:t>
      </w:r>
    </w:p>
    <w:p w14:paraId="1BF4B493" w14:textId="77777777" w:rsidR="006D6DDD" w:rsidRPr="006D6DDD" w:rsidRDefault="006D6DDD" w:rsidP="006D6DDD">
      <w:pPr>
        <w:pStyle w:val="Prrafodelista"/>
        <w:numPr>
          <w:ilvl w:val="0"/>
          <w:numId w:val="2"/>
        </w:numPr>
        <w:ind w:left="-426"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utiliza encriptação de ponta a ponta. </w:t>
      </w:r>
    </w:p>
    <w:p w14:paraId="15C031D6" w14:textId="77777777" w:rsidR="006D6DDD" w:rsidRPr="006D6DDD" w:rsidRDefault="006D6DDD" w:rsidP="006D6DDD">
      <w:pPr>
        <w:pStyle w:val="Prrafodelista"/>
        <w:numPr>
          <w:ilvl w:val="0"/>
          <w:numId w:val="2"/>
        </w:numPr>
        <w:ind w:left="-426"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encripta os dados em trânsito e em repouso. </w:t>
      </w:r>
    </w:p>
    <w:p w14:paraId="0944AEB2" w14:textId="77777777" w:rsidR="006D6DDD" w:rsidRPr="00105A0B" w:rsidRDefault="006D6DDD" w:rsidP="006D6DDD">
      <w:pPr>
        <w:ind w:left="-851" w:right="-852"/>
        <w:jc w:val="both"/>
        <w:rPr>
          <w:rFonts w:ascii="Segoe UI" w:hAnsi="Segoe UI" w:cs="Segoe UI"/>
          <w:sz w:val="18"/>
          <w:szCs w:val="18"/>
          <w:u w:val="single"/>
        </w:rPr>
      </w:pPr>
      <w:r>
        <w:rPr>
          <w:rFonts w:ascii="Segoe UI" w:hAnsi="Segoe UI"/>
          <w:sz w:val="18"/>
          <w:u w:val="single"/>
        </w:rPr>
        <w:t xml:space="preserve">Medidas Contratuais Adicionais </w:t>
      </w:r>
    </w:p>
    <w:p w14:paraId="2AEE8EE0" w14:textId="77777777" w:rsidR="006D6DDD" w:rsidRDefault="006D6DDD" w:rsidP="006D6DDD">
      <w:pPr>
        <w:pStyle w:val="Prrafodelista"/>
        <w:numPr>
          <w:ilvl w:val="0"/>
          <w:numId w:val="3"/>
        </w:numPr>
        <w:ind w:left="-426" w:right="-852"/>
        <w:jc w:val="both"/>
        <w:rPr>
          <w:rFonts w:ascii="Segoe UI" w:hAnsi="Segoe UI" w:cs="Segoe UI"/>
          <w:sz w:val="18"/>
          <w:szCs w:val="18"/>
        </w:rPr>
      </w:pPr>
      <w:proofErr w:type="spellStart"/>
      <w:r>
        <w:rPr>
          <w:rFonts w:ascii="Segoe UI" w:hAnsi="Segoe UI"/>
          <w:sz w:val="18"/>
        </w:rPr>
        <w:t>Transparência</w:t>
      </w:r>
      <w:proofErr w:type="spellEnd"/>
      <w:r>
        <w:rPr>
          <w:rFonts w:ascii="Segoe UI" w:hAnsi="Segoe UI"/>
          <w:sz w:val="18"/>
        </w:rPr>
        <w:t xml:space="preserve"> </w:t>
      </w:r>
    </w:p>
    <w:p w14:paraId="1CEBE14C" w14:textId="77777777" w:rsidR="006D6DDD" w:rsidRDefault="006D6DDD" w:rsidP="006D6DDD">
      <w:pPr>
        <w:pStyle w:val="Prrafodelista"/>
        <w:ind w:left="-851" w:right="-852"/>
        <w:jc w:val="both"/>
        <w:rPr>
          <w:rFonts w:ascii="Segoe UI" w:hAnsi="Segoe UI" w:cs="Segoe UI"/>
          <w:sz w:val="18"/>
          <w:szCs w:val="18"/>
          <w:lang w:val="en-US"/>
        </w:rPr>
      </w:pPr>
    </w:p>
    <w:p w14:paraId="202EE3BF"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Mediante pedido, 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envidará esforços comerciais razoáveis para fornecer informações (tanto quanto seja do seu conhecimento) sobre o acesso aos dados pelas autoridades públicas, incluindo no domínio da inteligência, para avaliar se a legislação está em conformidade com as Garantias Essenciais Europeias da EDPB, no país de destino.</w:t>
      </w:r>
    </w:p>
    <w:p w14:paraId="41E3E6A3"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certifica que: (1) não construiu, e não construirá propositadamente, </w:t>
      </w:r>
      <w:proofErr w:type="spellStart"/>
      <w:r w:rsidRPr="006D6DDD">
        <w:rPr>
          <w:rFonts w:ascii="Segoe UI" w:hAnsi="Segoe UI"/>
          <w:sz w:val="18"/>
          <w:lang w:val="pt-PT"/>
        </w:rPr>
        <w:t>backdoors</w:t>
      </w:r>
      <w:proofErr w:type="spellEnd"/>
      <w:r w:rsidRPr="006D6DDD">
        <w:rPr>
          <w:rFonts w:ascii="Segoe UI" w:hAnsi="Segoe UI"/>
          <w:sz w:val="18"/>
          <w:lang w:val="pt-PT"/>
        </w:rPr>
        <w:t xml:space="preserve"> ou programação semelhante que as autoridades públicas possam utilizar para aceder aos seus dados pessoais ou sistemas de informação; (2) não alterou, e não alterará propositadamente, os seus processos de modo a facilitar o acesso das autoridades públicas aos dados; e (3) a legislação nacional ou a política governamental não exigem que 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crie ou mantenha </w:t>
      </w:r>
      <w:proofErr w:type="spellStart"/>
      <w:r w:rsidRPr="006D6DDD">
        <w:rPr>
          <w:rFonts w:ascii="Segoe UI" w:hAnsi="Segoe UI"/>
          <w:sz w:val="18"/>
          <w:lang w:val="pt-PT"/>
        </w:rPr>
        <w:t>backdoors</w:t>
      </w:r>
      <w:proofErr w:type="spellEnd"/>
      <w:r w:rsidRPr="006D6DDD">
        <w:rPr>
          <w:rFonts w:ascii="Segoe UI" w:hAnsi="Segoe UI"/>
          <w:sz w:val="18"/>
          <w:lang w:val="pt-PT"/>
        </w:rPr>
        <w:t xml:space="preserve">, ou facilite o acesso aos seus dados ou sistemas pessoais, ou que esteja na posse ou entregue a chave de encriptação ( sujeito a alterações com base em evoluções legislativas). 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notificará o cliente se 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for incapaz de cumprir as obrigações legais e/ou compromissos contratuais relacionados com transferências internacionais e, como resultado, com o "nível de proteção de dados essencialmente equivalente". </w:t>
      </w:r>
    </w:p>
    <w:p w14:paraId="5F13C34B" w14:textId="77777777" w:rsidR="006D6DDD" w:rsidRPr="006D6DDD" w:rsidRDefault="006D6DDD" w:rsidP="006D6DDD">
      <w:pPr>
        <w:pStyle w:val="Prrafodelista"/>
        <w:ind w:left="-131" w:right="-852"/>
        <w:jc w:val="both"/>
        <w:rPr>
          <w:rFonts w:ascii="Segoe UI" w:hAnsi="Segoe UI" w:cs="Segoe UI"/>
          <w:sz w:val="18"/>
          <w:szCs w:val="18"/>
          <w:lang w:val="pt-PT"/>
        </w:rPr>
      </w:pPr>
    </w:p>
    <w:p w14:paraId="14380A69" w14:textId="77777777" w:rsidR="006D6DDD" w:rsidRDefault="006D6DDD" w:rsidP="006D6DDD">
      <w:pPr>
        <w:pStyle w:val="Prrafodelista"/>
        <w:numPr>
          <w:ilvl w:val="0"/>
          <w:numId w:val="3"/>
        </w:numPr>
        <w:ind w:left="-426" w:right="-852"/>
        <w:jc w:val="both"/>
        <w:rPr>
          <w:rFonts w:ascii="Segoe UI" w:hAnsi="Segoe UI" w:cs="Segoe UI"/>
          <w:sz w:val="18"/>
          <w:szCs w:val="18"/>
        </w:rPr>
      </w:pPr>
      <w:proofErr w:type="spellStart"/>
      <w:r>
        <w:rPr>
          <w:rFonts w:ascii="Segoe UI" w:hAnsi="Segoe UI"/>
          <w:sz w:val="18"/>
        </w:rPr>
        <w:t>Acções</w:t>
      </w:r>
      <w:proofErr w:type="spellEnd"/>
      <w:r>
        <w:rPr>
          <w:rFonts w:ascii="Segoe UI" w:hAnsi="Segoe UI"/>
          <w:sz w:val="18"/>
        </w:rPr>
        <w:t xml:space="preserve"> Específicas. </w:t>
      </w:r>
    </w:p>
    <w:p w14:paraId="44F422C7" w14:textId="77777777" w:rsidR="006D6DDD" w:rsidRDefault="006D6DDD" w:rsidP="006D6DDD">
      <w:pPr>
        <w:pStyle w:val="Prrafodelista"/>
        <w:ind w:left="-426" w:right="-852"/>
        <w:jc w:val="both"/>
        <w:rPr>
          <w:rFonts w:ascii="Segoe UI" w:hAnsi="Segoe UI" w:cs="Segoe UI"/>
          <w:sz w:val="18"/>
          <w:szCs w:val="18"/>
          <w:lang w:val="en-US"/>
        </w:rPr>
      </w:pPr>
    </w:p>
    <w:p w14:paraId="64E714D1"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irá: (i) rever a legalidade dos Pedidos Legais e contestá-los quando lícito e apropriado; e (</w:t>
      </w:r>
      <w:proofErr w:type="spellStart"/>
      <w:r w:rsidRPr="006D6DDD">
        <w:rPr>
          <w:rFonts w:ascii="Segoe UI" w:hAnsi="Segoe UI"/>
          <w:sz w:val="18"/>
          <w:lang w:val="pt-PT"/>
        </w:rPr>
        <w:t>ii</w:t>
      </w:r>
      <w:proofErr w:type="spellEnd"/>
      <w:r w:rsidRPr="006D6DDD">
        <w:rPr>
          <w:rFonts w:ascii="Segoe UI" w:hAnsi="Segoe UI"/>
          <w:sz w:val="18"/>
          <w:lang w:val="pt-PT"/>
        </w:rPr>
        <w:t xml:space="preserve">) quando o Pedido Legal for incompatível com o </w:t>
      </w:r>
      <w:proofErr w:type="spellStart"/>
      <w:r w:rsidRPr="006D6DDD">
        <w:rPr>
          <w:rFonts w:ascii="Segoe UI" w:hAnsi="Segoe UI"/>
          <w:sz w:val="18"/>
          <w:lang w:val="pt-PT"/>
        </w:rPr>
        <w:t>Art</w:t>
      </w:r>
      <w:proofErr w:type="spellEnd"/>
      <w:r w:rsidRPr="006D6DDD">
        <w:rPr>
          <w:rFonts w:ascii="Segoe UI" w:hAnsi="Segoe UI"/>
          <w:sz w:val="18"/>
          <w:lang w:val="pt-PT"/>
        </w:rPr>
        <w:t xml:space="preserve">. 46 do RGPD, ou qualquer outra disposição relevante para a transferência legal de dados pessoais, para informar a autoridade pública dos mesmos (em cada caso, na medida exigida pela Lei de </w:t>
      </w:r>
      <w:proofErr w:type="spellStart"/>
      <w:r w:rsidRPr="006D6DDD">
        <w:rPr>
          <w:rFonts w:ascii="Segoe UI" w:hAnsi="Segoe UI"/>
          <w:sz w:val="18"/>
          <w:lang w:val="pt-PT"/>
        </w:rPr>
        <w:t>Protecção</w:t>
      </w:r>
      <w:proofErr w:type="spellEnd"/>
      <w:r w:rsidRPr="006D6DDD">
        <w:rPr>
          <w:rFonts w:ascii="Segoe UI" w:hAnsi="Segoe UI"/>
          <w:sz w:val="18"/>
          <w:lang w:val="pt-PT"/>
        </w:rPr>
        <w:t xml:space="preserve"> de Dados Aplicável que rege o Pedido Legal). </w:t>
      </w:r>
    </w:p>
    <w:p w14:paraId="10167EAE" w14:textId="77777777" w:rsidR="006D6DDD" w:rsidRPr="006263DC" w:rsidRDefault="006D6DDD" w:rsidP="006D6DDD">
      <w:pPr>
        <w:ind w:left="-851" w:right="-852"/>
        <w:jc w:val="both"/>
        <w:rPr>
          <w:rFonts w:ascii="Segoe UI" w:hAnsi="Segoe UI" w:cs="Segoe UI"/>
          <w:sz w:val="18"/>
          <w:szCs w:val="18"/>
          <w:u w:val="single"/>
        </w:rPr>
      </w:pPr>
      <w:r>
        <w:rPr>
          <w:rFonts w:ascii="Segoe UI" w:hAnsi="Segoe UI"/>
          <w:sz w:val="18"/>
          <w:u w:val="single"/>
        </w:rPr>
        <w:t xml:space="preserve">Medidas Organizacionais </w:t>
      </w:r>
    </w:p>
    <w:p w14:paraId="4A068A24" w14:textId="77777777" w:rsidR="006D6DDD" w:rsidRDefault="006D6DDD" w:rsidP="006D6DDD">
      <w:pPr>
        <w:pStyle w:val="Prrafodelista"/>
        <w:numPr>
          <w:ilvl w:val="0"/>
          <w:numId w:val="3"/>
        </w:numPr>
        <w:ind w:left="-426" w:right="-852"/>
        <w:jc w:val="both"/>
        <w:rPr>
          <w:rFonts w:ascii="Segoe UI" w:hAnsi="Segoe UI" w:cs="Segoe UI"/>
          <w:sz w:val="18"/>
          <w:szCs w:val="18"/>
        </w:rPr>
      </w:pPr>
      <w:proofErr w:type="spellStart"/>
      <w:r>
        <w:rPr>
          <w:rFonts w:ascii="Segoe UI" w:hAnsi="Segoe UI"/>
          <w:sz w:val="18"/>
        </w:rPr>
        <w:t>Transparência</w:t>
      </w:r>
      <w:proofErr w:type="spellEnd"/>
      <w:r>
        <w:rPr>
          <w:rFonts w:ascii="Segoe UI" w:hAnsi="Segoe UI"/>
          <w:sz w:val="18"/>
        </w:rPr>
        <w:t xml:space="preserve"> e </w:t>
      </w:r>
      <w:proofErr w:type="spellStart"/>
      <w:r>
        <w:rPr>
          <w:rFonts w:ascii="Segoe UI" w:hAnsi="Segoe UI"/>
          <w:sz w:val="18"/>
        </w:rPr>
        <w:t>Responsabilidade</w:t>
      </w:r>
      <w:proofErr w:type="spellEnd"/>
      <w:r>
        <w:rPr>
          <w:rFonts w:ascii="Segoe UI" w:hAnsi="Segoe UI"/>
          <w:sz w:val="18"/>
        </w:rPr>
        <w:t xml:space="preserve">. </w:t>
      </w:r>
    </w:p>
    <w:p w14:paraId="77EE5201" w14:textId="77777777" w:rsidR="006D6DDD" w:rsidRPr="00FD3B3B" w:rsidRDefault="006D6DDD" w:rsidP="006D6DDD">
      <w:pPr>
        <w:pStyle w:val="Prrafodelista"/>
        <w:ind w:left="-426" w:right="-852"/>
        <w:jc w:val="both"/>
        <w:rPr>
          <w:rFonts w:ascii="Segoe UI" w:hAnsi="Segoe UI" w:cs="Segoe UI"/>
          <w:sz w:val="18"/>
          <w:szCs w:val="18"/>
          <w:lang w:val="en-US"/>
        </w:rPr>
      </w:pPr>
    </w:p>
    <w:p w14:paraId="0CCCE2C8"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tem políticas e procedimentos documentados para o tratamento e resposta a pedidos do governo ou de aplicação da lei relativos a dados de clientes.</w:t>
      </w:r>
    </w:p>
    <w:p w14:paraId="2B24D438"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proofErr w:type="spellStart"/>
      <w:r w:rsidRPr="006D6DDD">
        <w:rPr>
          <w:rFonts w:ascii="Segoe UI" w:hAnsi="Segoe UI"/>
          <w:sz w:val="18"/>
          <w:lang w:val="pt-PT"/>
        </w:rPr>
        <w:t>Hydrafacial</w:t>
      </w:r>
      <w:proofErr w:type="spellEnd"/>
      <w:r w:rsidRPr="006D6DDD">
        <w:rPr>
          <w:rFonts w:ascii="Segoe UI" w:hAnsi="Segoe UI"/>
          <w:sz w:val="18"/>
          <w:lang w:val="pt-PT"/>
        </w:rPr>
        <w:t xml:space="preserve"> documenta e regista os pedidos de acesso recebidos das autoridades públicas e as respostas fornecidas, e pode fornecer esta informação aos clientes, mediante pedido. </w:t>
      </w:r>
    </w:p>
    <w:p w14:paraId="3EEE3FB6"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disponibiliza, e mantém regularmente, uma página web de Política de Pedidos de Dados do Governo e Relatório de Transparência, que descreve as suas políticas para pedidos de dados governamentais/de aplicação da lei, e documenta o número de pedidos das autoridades públicas e as nossas respostas, disponível em </w:t>
      </w:r>
      <w:r w:rsidRPr="006D6DDD">
        <w:rPr>
          <w:rFonts w:ascii="Segoe UI" w:hAnsi="Segoe UI"/>
          <w:color w:val="FF0000"/>
          <w:sz w:val="18"/>
          <w:highlight w:val="yellow"/>
          <w:lang w:val="pt-PT"/>
        </w:rPr>
        <w:t>[*link*]</w:t>
      </w:r>
      <w:r w:rsidRPr="006D6DDD">
        <w:rPr>
          <w:rFonts w:ascii="Segoe UI" w:hAnsi="Segoe UI"/>
          <w:sz w:val="18"/>
          <w:lang w:val="pt-PT"/>
        </w:rPr>
        <w:t xml:space="preserve">. </w:t>
      </w:r>
    </w:p>
    <w:p w14:paraId="550EFB03" w14:textId="77777777" w:rsidR="006D6DDD" w:rsidRPr="006D6DDD" w:rsidRDefault="006D6DDD" w:rsidP="006D6DDD">
      <w:pPr>
        <w:pStyle w:val="Prrafodelista"/>
        <w:ind w:left="-851" w:right="-852"/>
        <w:rPr>
          <w:rFonts w:ascii="Segoe UI" w:hAnsi="Segoe UI" w:cs="Segoe UI"/>
          <w:sz w:val="18"/>
          <w:szCs w:val="18"/>
          <w:lang w:val="pt-PT"/>
        </w:rPr>
      </w:pPr>
    </w:p>
    <w:p w14:paraId="3AC09063" w14:textId="77777777" w:rsidR="006D6DDD" w:rsidRPr="006D6DDD" w:rsidRDefault="006D6DDD" w:rsidP="006D6DDD">
      <w:pPr>
        <w:pStyle w:val="Prrafodelista"/>
        <w:numPr>
          <w:ilvl w:val="0"/>
          <w:numId w:val="3"/>
        </w:numPr>
        <w:ind w:left="-426" w:right="-852"/>
        <w:jc w:val="both"/>
        <w:rPr>
          <w:rFonts w:ascii="Segoe UI" w:hAnsi="Segoe UI" w:cs="Segoe UI"/>
          <w:sz w:val="18"/>
          <w:szCs w:val="18"/>
          <w:lang w:val="pt-PT"/>
        </w:rPr>
      </w:pPr>
      <w:r w:rsidRPr="006D6DDD">
        <w:rPr>
          <w:rFonts w:ascii="Segoe UI" w:hAnsi="Segoe UI"/>
          <w:sz w:val="18"/>
          <w:lang w:val="pt-PT"/>
        </w:rPr>
        <w:t xml:space="preserve">Adoção e Revisão de Políticas Internas. </w:t>
      </w:r>
    </w:p>
    <w:p w14:paraId="086FE7D5" w14:textId="77777777" w:rsidR="006D6DDD" w:rsidRPr="006D6DDD" w:rsidRDefault="006D6DDD" w:rsidP="006D6DDD">
      <w:pPr>
        <w:pStyle w:val="Prrafodelista"/>
        <w:ind w:left="-426" w:right="-852"/>
        <w:jc w:val="both"/>
        <w:rPr>
          <w:rFonts w:ascii="Segoe UI" w:hAnsi="Segoe UI" w:cs="Segoe UI"/>
          <w:sz w:val="18"/>
          <w:szCs w:val="18"/>
          <w:lang w:val="pt-PT"/>
        </w:rPr>
      </w:pPr>
    </w:p>
    <w:p w14:paraId="481D7CE4"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lastRenderedPageBreak/>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acompanha os desenvolvimentos legais e regulamentares relacionados com as transferências transfronteiriças de dados pessoais fora da UE/EEE, para assegurar que os dados continuem a gozar de um nível de proteção de dados essencialmente equivalente. </w:t>
      </w:r>
    </w:p>
    <w:p w14:paraId="2E4D1E9B"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analisa regularmente as políticas internas, para avaliar a adequação/eficácia de medidas suplementares e para identificar e implementar soluções adicionais ou alternativas, quando necessário. Quando aplicável e apropriado, 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esforçar-se-á diligentemente para implementar quaisquer medidas técnicas, organizacionais, e/ou contratuais adicionais necessárias. </w:t>
      </w:r>
    </w:p>
    <w:p w14:paraId="5F9BE9BD" w14:textId="77777777" w:rsidR="006D6DDD" w:rsidRPr="006D6DDD" w:rsidRDefault="006D6DDD" w:rsidP="006D6DDD">
      <w:pPr>
        <w:pStyle w:val="Prrafodelista"/>
        <w:ind w:left="-851" w:right="-852"/>
        <w:jc w:val="both"/>
        <w:rPr>
          <w:rFonts w:ascii="Segoe UI" w:hAnsi="Segoe UI" w:cs="Segoe UI"/>
          <w:sz w:val="18"/>
          <w:szCs w:val="18"/>
          <w:lang w:val="pt-PT"/>
        </w:rPr>
      </w:pPr>
    </w:p>
    <w:p w14:paraId="7B62D1CC" w14:textId="77777777" w:rsidR="006D6DDD" w:rsidRPr="006D6DDD" w:rsidRDefault="006D6DDD" w:rsidP="006D6DDD">
      <w:pPr>
        <w:pStyle w:val="Prrafodelista"/>
        <w:numPr>
          <w:ilvl w:val="0"/>
          <w:numId w:val="3"/>
        </w:numPr>
        <w:ind w:left="-426" w:right="-852"/>
        <w:jc w:val="both"/>
        <w:rPr>
          <w:rFonts w:ascii="Segoe UI" w:hAnsi="Segoe UI" w:cs="Segoe UI"/>
          <w:sz w:val="18"/>
          <w:szCs w:val="18"/>
          <w:lang w:val="pt-PT"/>
        </w:rPr>
      </w:pPr>
      <w:r w:rsidRPr="006D6DDD">
        <w:rPr>
          <w:rFonts w:ascii="Segoe UI" w:hAnsi="Segoe UI"/>
          <w:sz w:val="18"/>
          <w:lang w:val="pt-PT"/>
        </w:rPr>
        <w:t xml:space="preserve">Métodos Organizacionais e Medidas de Minimização de Dados. </w:t>
      </w:r>
    </w:p>
    <w:p w14:paraId="19176CA8" w14:textId="77777777" w:rsidR="006D6DDD" w:rsidRPr="006D6DDD" w:rsidRDefault="006D6DDD" w:rsidP="006D6DDD">
      <w:pPr>
        <w:pStyle w:val="Prrafodelista"/>
        <w:ind w:left="-426" w:right="-852"/>
        <w:jc w:val="both"/>
        <w:rPr>
          <w:rFonts w:ascii="Segoe UI" w:hAnsi="Segoe UI" w:cs="Segoe UI"/>
          <w:sz w:val="18"/>
          <w:szCs w:val="18"/>
          <w:lang w:val="pt-PT"/>
        </w:rPr>
      </w:pPr>
    </w:p>
    <w:p w14:paraId="32B03216"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adotou controlos organizacionais para cumprir o princípio da responsabilização, incluindo o controlo de gestão de acesso. </w:t>
      </w:r>
    </w:p>
    <w:p w14:paraId="2C7E53A7"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pratica a minimização de dados para limitar a exposição de dados pessoais ao acesso não autorizado. </w:t>
      </w:r>
    </w:p>
    <w:p w14:paraId="055C0976" w14:textId="77777777" w:rsidR="006D6DDD" w:rsidRPr="006D6DDD" w:rsidRDefault="006D6DDD" w:rsidP="006D6DDD">
      <w:pPr>
        <w:pStyle w:val="Prrafodelista"/>
        <w:numPr>
          <w:ilvl w:val="0"/>
          <w:numId w:val="6"/>
        </w:numPr>
        <w:ind w:right="-852"/>
        <w:jc w:val="both"/>
        <w:rPr>
          <w:rFonts w:ascii="Segoe UI" w:hAnsi="Segoe UI" w:cs="Segoe UI"/>
          <w:sz w:val="18"/>
          <w:szCs w:val="18"/>
          <w:lang w:val="pt-PT"/>
        </w:rPr>
      </w:pPr>
      <w:r w:rsidRPr="006D6DDD">
        <w:rPr>
          <w:rFonts w:ascii="Segoe UI" w:hAnsi="Segoe UI"/>
          <w:sz w:val="18"/>
          <w:lang w:val="pt-PT"/>
        </w:rPr>
        <w:t xml:space="preserve">A </w:t>
      </w:r>
      <w:proofErr w:type="spellStart"/>
      <w:r w:rsidRPr="006D6DDD">
        <w:rPr>
          <w:rFonts w:ascii="Segoe UI" w:hAnsi="Segoe UI"/>
          <w:sz w:val="18"/>
          <w:lang w:val="pt-PT"/>
        </w:rPr>
        <w:t>Hydrafacial</w:t>
      </w:r>
      <w:proofErr w:type="spellEnd"/>
      <w:r w:rsidRPr="006D6DDD">
        <w:rPr>
          <w:rFonts w:ascii="Segoe UI" w:hAnsi="Segoe UI"/>
          <w:sz w:val="18"/>
          <w:lang w:val="pt-PT"/>
        </w:rPr>
        <w:t xml:space="preserve"> adotou as melhores práticas para envolver, de forma adequada e oportuna, e dar acesso à informação ao RPD e ao Departamento Jurídico, em assuntos relacionados com as transferências internacionais de dados pessoais. </w:t>
      </w:r>
    </w:p>
    <w:bookmarkEnd w:id="0"/>
    <w:p w14:paraId="36E39489" w14:textId="77777777" w:rsidR="006D6DDD" w:rsidRPr="006D6DDD" w:rsidRDefault="006D6DDD" w:rsidP="006D6DDD">
      <w:pPr>
        <w:ind w:right="-852"/>
        <w:jc w:val="both"/>
        <w:rPr>
          <w:rFonts w:ascii="Segoe UI" w:hAnsi="Segoe UI" w:cs="Segoe UI"/>
          <w:sz w:val="18"/>
          <w:szCs w:val="18"/>
        </w:rPr>
      </w:pPr>
    </w:p>
    <w:p w14:paraId="7F18931B" w14:textId="27C06011" w:rsidR="00D67CD4" w:rsidRPr="006D6DDD" w:rsidRDefault="00D67CD4" w:rsidP="006D6DDD"/>
    <w:sectPr w:rsidR="00D67CD4" w:rsidRPr="006D6DDD"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1AE7" w14:textId="77777777" w:rsidR="00B67E26" w:rsidRDefault="00B67E26" w:rsidP="00E60FF1">
      <w:pPr>
        <w:spacing w:after="0" w:line="240" w:lineRule="auto"/>
      </w:pPr>
      <w:r>
        <w:separator/>
      </w:r>
    </w:p>
  </w:endnote>
  <w:endnote w:type="continuationSeparator" w:id="0">
    <w:p w14:paraId="6029E354" w14:textId="77777777" w:rsidR="00B67E26" w:rsidRDefault="00B67E26"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0E68A" w14:textId="77777777" w:rsidR="00B67E26" w:rsidRDefault="00B67E26" w:rsidP="00E60FF1">
      <w:pPr>
        <w:spacing w:after="0" w:line="240" w:lineRule="auto"/>
      </w:pPr>
      <w:r>
        <w:separator/>
      </w:r>
    </w:p>
  </w:footnote>
  <w:footnote w:type="continuationSeparator" w:id="0">
    <w:p w14:paraId="6C2728BE" w14:textId="77777777" w:rsidR="00B67E26" w:rsidRDefault="00B67E26"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A2B93"/>
    <w:rsid w:val="001B7501"/>
    <w:rsid w:val="001C2154"/>
    <w:rsid w:val="001C3777"/>
    <w:rsid w:val="001D28AF"/>
    <w:rsid w:val="00206F74"/>
    <w:rsid w:val="002639A8"/>
    <w:rsid w:val="002C51E0"/>
    <w:rsid w:val="00301E3B"/>
    <w:rsid w:val="00312F10"/>
    <w:rsid w:val="003B057D"/>
    <w:rsid w:val="00403931"/>
    <w:rsid w:val="00404A1E"/>
    <w:rsid w:val="00410A22"/>
    <w:rsid w:val="00465327"/>
    <w:rsid w:val="00487776"/>
    <w:rsid w:val="004F7F09"/>
    <w:rsid w:val="00551F53"/>
    <w:rsid w:val="005560BE"/>
    <w:rsid w:val="00562A4E"/>
    <w:rsid w:val="0058530F"/>
    <w:rsid w:val="005C3706"/>
    <w:rsid w:val="0062415F"/>
    <w:rsid w:val="006263DC"/>
    <w:rsid w:val="006275FD"/>
    <w:rsid w:val="0063338E"/>
    <w:rsid w:val="00645522"/>
    <w:rsid w:val="00687E16"/>
    <w:rsid w:val="006D236F"/>
    <w:rsid w:val="006D607E"/>
    <w:rsid w:val="006D6DDD"/>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B7DB8"/>
    <w:rsid w:val="00AE1B75"/>
    <w:rsid w:val="00B15350"/>
    <w:rsid w:val="00B51F01"/>
    <w:rsid w:val="00B522DC"/>
    <w:rsid w:val="00B67E26"/>
    <w:rsid w:val="00B956B3"/>
    <w:rsid w:val="00BA1915"/>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EB3A5E"/>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DD"/>
    <w:rPr>
      <w:lang w:val="pt-P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rPr>
      <w:lang w:val="es-ES"/>
    </w:rPr>
  </w:style>
  <w:style w:type="paragraph" w:styleId="Encabezado">
    <w:name w:val="header"/>
    <w:basedOn w:val="Normal"/>
    <w:link w:val="EncabezadoCar"/>
    <w:uiPriority w:val="99"/>
    <w:unhideWhenUsed/>
    <w:rsid w:val="00E60FF1"/>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2555</Words>
  <Characters>14057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2023-03-15T08:26:00Z</cp:lastPrinted>
  <dcterms:created xsi:type="dcterms:W3CDTF">2023-03-15T09:03:00Z</dcterms:created>
  <dcterms:modified xsi:type="dcterms:W3CDTF">2023-03-15T09:03:00Z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