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18"/>
        </w:rPr>
        <w:t>EY LEARNING SOLUTIONS</w:t>
      </w:r>
    </w:p>
    <w:p>
      <w:r>
        <w:rPr>
          <w:rFonts w:ascii="Arial" w:hAnsi="Arial"/>
          <w:b/>
          <w:color w:val="2E2E38"/>
          <w:sz w:val="48"/>
        </w:rPr>
        <w:t>Blinkit and the Dark-Store Expansion Dilemma</w:t>
      </w:r>
    </w:p>
    <w:p>
      <w:r>
        <w:rPr>
          <w:rFonts w:ascii="Arial" w:hAnsi="Arial"/>
          <w:color w:val="747480"/>
          <w:sz w:val="22"/>
        </w:rPr>
        <w:t>Full teaching case study: speed, availability, growth and store economics</w:t>
      </w:r>
    </w:p>
    <w:tbl>
      <w:tblPr>
        <w:tblStyle w:val="TableGrid"/>
        <w:tblW w:type="auto" w:w="0"/>
        <w:jc w:val="center"/>
        <w:tblLayout w:type="fixed"/>
        <w:tblLook w:firstColumn="1" w:firstRow="1" w:lastColumn="0" w:lastRow="0" w:noHBand="0" w:noVBand="1" w:val="04A0"/>
      </w:tblPr>
      <w:tblGrid>
        <w:gridCol w:w="5083"/>
        <w:gridCol w:w="5083"/>
      </w:tblGrid>
      <w:tr>
        <w:tc>
          <w:tcPr>
            <w:tcW w:type="dxa" w:w="2232"/>
            <w:shd w:fill="2E2E38"/>
          </w:tcPr>
          <w:p>
            <w:r>
              <w:rPr>
                <w:rFonts w:ascii="Arial" w:hAnsi="Arial"/>
                <w:b/>
                <w:color w:val="FFFFFF"/>
                <w:sz w:val="16"/>
              </w:rPr>
              <w:t>Programme</w:t>
            </w:r>
          </w:p>
        </w:tc>
        <w:tc>
          <w:tcPr>
            <w:tcW w:type="dxa" w:w="7848"/>
            <w:shd w:fill="2E2E38"/>
          </w:tcPr>
          <w:p>
            <w:r>
              <w:rPr>
                <w:rFonts w:ascii="Arial" w:hAnsi="Arial"/>
                <w:b/>
                <w:color w:val="FFFFFF"/>
                <w:sz w:val="16"/>
              </w:rPr>
              <w:t>MBA</w:t>
            </w:r>
          </w:p>
        </w:tc>
      </w:tr>
      <w:tr>
        <w:tc>
          <w:tcPr>
            <w:tcW w:type="dxa" w:w="2232"/>
            <w:shd w:fill="FFFFFF"/>
          </w:tcPr>
          <w:p>
            <w:r>
              <w:rPr>
                <w:rFonts w:ascii="Arial" w:hAnsi="Arial"/>
                <w:color w:val="2E2E38"/>
                <w:sz w:val="16"/>
              </w:rPr>
              <w:t>Delivery</w:t>
            </w:r>
          </w:p>
        </w:tc>
        <w:tc>
          <w:tcPr>
            <w:tcW w:type="dxa" w:w="7848"/>
            <w:shd w:fill="FFFFFF"/>
          </w:tcPr>
          <w:p>
            <w:r>
              <w:rPr>
                <w:rFonts w:ascii="Arial" w:hAnsi="Arial"/>
                <w:color w:val="2E2E38"/>
                <w:sz w:val="16"/>
              </w:rPr>
              <w:t>24 hours</w:t>
            </w:r>
          </w:p>
        </w:tc>
      </w:tr>
      <w:tr>
        <w:tc>
          <w:tcPr>
            <w:tcW w:type="dxa" w:w="2232"/>
            <w:shd w:fill="F3F3F3"/>
          </w:tcPr>
          <w:p>
            <w:r>
              <w:rPr>
                <w:rFonts w:ascii="Arial" w:hAnsi="Arial"/>
                <w:color w:val="2E2E38"/>
                <w:sz w:val="16"/>
              </w:rPr>
              <w:t>Format</w:t>
            </w:r>
          </w:p>
        </w:tc>
        <w:tc>
          <w:tcPr>
            <w:tcW w:type="dxa" w:w="7848"/>
            <w:shd w:fill="F3F3F3"/>
          </w:tcPr>
          <w:p>
            <w:r>
              <w:rPr>
                <w:rFonts w:ascii="Arial" w:hAnsi="Arial"/>
                <w:color w:val="2E2E38"/>
                <w:sz w:val="16"/>
              </w:rPr>
              <w:t>Tool-neutral analytics consulting project</w:t>
            </w:r>
          </w:p>
        </w:tc>
      </w:tr>
      <w:tr>
        <w:tc>
          <w:tcPr>
            <w:tcW w:type="dxa" w:w="2232"/>
            <w:shd w:fill="FFFFFF"/>
          </w:tcPr>
          <w:p>
            <w:r>
              <w:rPr>
                <w:rFonts w:ascii="Arial" w:hAnsi="Arial"/>
                <w:color w:val="2E2E38"/>
                <w:sz w:val="16"/>
              </w:rPr>
              <w:t>Case</w:t>
            </w:r>
          </w:p>
        </w:tc>
        <w:tc>
          <w:tcPr>
            <w:tcW w:type="dxa" w:w="7848"/>
            <w:shd w:fill="FFFFFF"/>
          </w:tcPr>
          <w:p>
            <w:r>
              <w:rPr>
                <w:rFonts w:ascii="Arial" w:hAnsi="Arial"/>
                <w:color w:val="2E2E38"/>
                <w:sz w:val="16"/>
              </w:rPr>
              <w:t>Blinkit dark-store network expansion and operating economics</w:t>
            </w:r>
          </w:p>
        </w:tc>
      </w:tr>
      <w:tr>
        <w:tc>
          <w:tcPr>
            <w:tcW w:type="dxa" w:w="2232"/>
            <w:shd w:fill="F3F3F3"/>
          </w:tcPr>
          <w:p>
            <w:r>
              <w:rPr>
                <w:rFonts w:ascii="Arial" w:hAnsi="Arial"/>
                <w:color w:val="2E2E38"/>
                <w:sz w:val="16"/>
              </w:rPr>
              <w:t>Permitted tools</w:t>
            </w:r>
          </w:p>
        </w:tc>
        <w:tc>
          <w:tcPr>
            <w:tcW w:type="dxa" w:w="7848"/>
            <w:shd w:fill="F3F3F3"/>
          </w:tcPr>
          <w:p>
            <w:r>
              <w:rPr>
                <w:rFonts w:ascii="Arial" w:hAnsi="Arial"/>
                <w:color w:val="2E2E38"/>
                <w:sz w:val="16"/>
              </w:rPr>
              <w:t>Excel, Python, Power BI, SQL, or a justified combination</w:t>
            </w:r>
          </w:p>
        </w:tc>
      </w:tr>
      <w:tr>
        <w:tc>
          <w:tcPr>
            <w:tcW w:type="dxa" w:w="2232"/>
            <w:shd w:fill="FFFFFF"/>
          </w:tcPr>
          <w:p>
            <w:r>
              <w:rPr>
                <w:rFonts w:ascii="Arial" w:hAnsi="Arial"/>
                <w:color w:val="2E2E38"/>
                <w:sz w:val="16"/>
              </w:rPr>
              <w:t>Assessment weight</w:t>
            </w:r>
          </w:p>
        </w:tc>
        <w:tc>
          <w:tcPr>
            <w:tcW w:type="dxa" w:w="7848"/>
            <w:shd w:fill="FFFFFF"/>
          </w:tcPr>
          <w:p>
            <w:r>
              <w:rPr>
                <w:rFonts w:ascii="Arial" w:hAnsi="Arial"/>
                <w:color w:val="2E2E38"/>
                <w:sz w:val="16"/>
              </w:rPr>
              <w:t>50 marks</w:t>
            </w:r>
          </w:p>
        </w:tc>
      </w:tr>
    </w:tbl>
    <w:p/>
    <w:p>
      <w:pPr>
        <w:pStyle w:val="Heading1"/>
      </w:pPr>
      <w:r>
        <w:t>The everyday mystery</w:t>
      </w:r>
    </w:p>
    <w:p>
      <w:r>
        <w:t>A customer adds milk, fruit, a phone charger and headache medicine to a cart. The order arrives quickly. What the customer never sees is the network decision behind that convenience: which neighbourhood should have a dark store, how much inventory should sit inside it, how many pickers and delivery partners should be available, and whether speed creates enough repeat demand to pay for the capacity.</w:t>
      </w:r>
    </w:p>
    <w:tbl>
      <w:tblPr>
        <w:tblStyle w:val="TableGrid"/>
        <w:tblW w:type="auto" w:w="0"/>
        <w:tblLook w:firstColumn="1" w:firstRow="1" w:lastColumn="0" w:lastRow="0" w:noHBand="0" w:noVBand="1" w:val="04A0"/>
      </w:tblPr>
      <w:tblGrid>
        <w:gridCol w:w="10166"/>
      </w:tblGrid>
      <w:tr>
        <w:tc>
          <w:tcPr>
            <w:tcW w:type="dxa" w:w="10166"/>
            <w:shd w:fill="FFF8CC"/>
          </w:tcPr>
          <w:p>
            <w:r/>
            <w:r>
              <w:rPr>
                <w:rFonts w:ascii="Arial" w:hAnsi="Arial"/>
                <w:b/>
                <w:sz w:val="20"/>
              </w:rPr>
              <w:t>The executive question</w:t>
            </w:r>
          </w:p>
          <w:p>
            <w:r>
              <w:t>Which dark stores and neighbourhoods should Blinkit expand, remediate, consolidate or pause, while protecting availability, customer experience and unit economics?</w:t>
            </w:r>
          </w:p>
        </w:tc>
      </w:tr>
    </w:tbl>
    <w:p>
      <w:pPr>
        <w:pStyle w:val="Heading1"/>
      </w:pPr>
      <w:r>
        <w:t>The factual business backdrop</w:t>
      </w:r>
    </w:p>
    <w:p>
      <w:r>
        <w:t>Blinkit describes itself as an instant-delivery service operating across many Indian cities and offering groceries, fresh products, electronics, beauty, baby care and other categories. Its partner-program page says partners operate dark stores, manage people, inventory integrity, picking, packing and handover, and track sales, productivity and losses. Eternal publishes quarterly shareholder letters, KPI data books and earnings-call materials for quick commerce. In its Q4 FY2025 materials, Eternal introduced net order value, or NOV, as GOV minus discounts and stated that the increasing mix of non-grocery products made NOV a more relevant metric because some categories have MRPs materially above normal selling prices. The same materials reported that Q4 FY2025 NOV across Eternal B2C businesses was INR 17,440 crore, up 53% year on year.</w:t>
      </w:r>
    </w:p>
    <w:p>
      <w:r>
        <w:t>Primary sources: https://blinkit.com/annual-return ; https://partners.blinkit.com/ ; https://www.eternal.com/investor-relations/results/ ; https://b.zmtcdn.com/investor-relations/d9c290cd23764a09789769c39682276a_1746094084.pdf</w:t>
      </w:r>
    </w:p>
    <w:p>
      <w:pPr>
        <w:pStyle w:val="Heading1"/>
      </w:pPr>
      <w:r>
        <w:t>The fictional decision setting</w:t>
      </w:r>
    </w:p>
    <w:p>
      <w:r>
        <w:t>A simulated quick-commerce planning team has received 18 months of neighbourhood-day operating evidence for 60 synthetic dark stores across six Indian cities. The network has grown quickly, but performance is uneven. Some stores deliver strong demand and repeat behaviour yet suffer stockouts and congestion. Others meet promised times but do not generate sufficient contribution. Several new stores have attractive growth but poor inventory productivity. Management needs a segmentation and expansion rule, not a league table based on one KPI.</w:t>
      </w:r>
    </w:p>
    <w:p>
      <w:pPr>
        <w:pStyle w:val="Heading1"/>
      </w:pPr>
      <w:r>
        <w:t>Why the obvious answer may be wrong</w:t>
      </w:r>
    </w:p>
    <w:p>
      <w:pPr>
        <w:pStyle w:val="ListBullet"/>
      </w:pPr>
      <w:r>
        <w:t>High order volume can coexist with low contribution after discounts, refunds and delivery cost.</w:t>
      </w:r>
    </w:p>
    <w:p>
      <w:pPr>
        <w:pStyle w:val="ListBullet"/>
      </w:pPr>
      <w:r>
        <w:t>Fast delivery can be achieved by carrying excess capacity or inventory.</w:t>
      </w:r>
    </w:p>
    <w:p>
      <w:pPr>
        <w:pStyle w:val="ListBullet"/>
      </w:pPr>
      <w:r>
        <w:t>High in-stock rates can conceal slow-moving inventory and wastage.</w:t>
      </w:r>
    </w:p>
    <w:p>
      <w:pPr>
        <w:pStyle w:val="ListBullet"/>
      </w:pPr>
      <w:r>
        <w:t>A high average order value may come from a temporary non-grocery mix or discount structure.</w:t>
      </w:r>
    </w:p>
    <w:p>
      <w:pPr>
        <w:pStyle w:val="ListBullet"/>
      </w:pPr>
      <w:r>
        <w:t>City averages can hide neighbourhood-level congestion, stockouts and weak repeat behaviour.</w:t>
      </w:r>
    </w:p>
    <w:p>
      <w:pPr>
        <w:pStyle w:val="ListBullet"/>
      </w:pPr>
      <w:r>
        <w:t>NOV, revenue, contribution and customer-paid value are related but not interchangeable.</w:t>
      </w:r>
    </w:p>
    <w:p>
      <w:pPr>
        <w:pStyle w:val="Heading1"/>
      </w:pPr>
      <w:r>
        <w:t>The available evidence</w:t>
      </w:r>
    </w:p>
    <w:tbl>
      <w:tblPr>
        <w:tblStyle w:val="TableGrid"/>
        <w:tblW w:type="auto" w:w="0"/>
        <w:jc w:val="center"/>
        <w:tblLayout w:type="fixed"/>
        <w:tblLook w:firstColumn="1" w:firstRow="1" w:lastColumn="0" w:lastRow="0" w:noHBand="0" w:noVBand="1" w:val="04A0"/>
      </w:tblPr>
      <w:tblGrid>
        <w:gridCol w:w="5083"/>
        <w:gridCol w:w="5083"/>
      </w:tblGrid>
      <w:tr>
        <w:tc>
          <w:tcPr>
            <w:tcW w:type="dxa" w:w="2016"/>
            <w:shd w:fill="2E2E38"/>
          </w:tcPr>
          <w:p>
            <w:r>
              <w:rPr>
                <w:rFonts w:ascii="Arial" w:hAnsi="Arial"/>
                <w:b/>
                <w:color w:val="FFFFFF"/>
                <w:sz w:val="16"/>
              </w:rPr>
              <w:t>Domain</w:t>
            </w:r>
          </w:p>
        </w:tc>
        <w:tc>
          <w:tcPr>
            <w:tcW w:type="dxa" w:w="8064"/>
            <w:shd w:fill="2E2E38"/>
          </w:tcPr>
          <w:p>
            <w:r>
              <w:rPr>
                <w:rFonts w:ascii="Arial" w:hAnsi="Arial"/>
                <w:b/>
                <w:color w:val="FFFFFF"/>
                <w:sz w:val="16"/>
              </w:rPr>
              <w:t>Illustrative evidence</w:t>
            </w:r>
          </w:p>
        </w:tc>
      </w:tr>
      <w:tr>
        <w:tc>
          <w:tcPr>
            <w:tcW w:type="dxa" w:w="2016"/>
            <w:shd w:fill="FFFFFF"/>
          </w:tcPr>
          <w:p>
            <w:r>
              <w:rPr>
                <w:rFonts w:ascii="Arial" w:hAnsi="Arial"/>
                <w:color w:val="2E2E38"/>
                <w:sz w:val="16"/>
              </w:rPr>
              <w:t>Demand</w:t>
            </w:r>
          </w:p>
        </w:tc>
        <w:tc>
          <w:tcPr>
            <w:tcW w:type="dxa" w:w="8064"/>
            <w:shd w:fill="FFFFFF"/>
          </w:tcPr>
          <w:p>
            <w:r>
              <w:rPr>
                <w:rFonts w:ascii="Arial" w:hAnsi="Arial"/>
                <w:color w:val="2E2E38"/>
                <w:sz w:val="16"/>
              </w:rPr>
              <w:t>Sessions, orders, conversion, peak share and customer segment</w:t>
            </w:r>
          </w:p>
        </w:tc>
      </w:tr>
      <w:tr>
        <w:tc>
          <w:tcPr>
            <w:tcW w:type="dxa" w:w="2016"/>
            <w:shd w:fill="F3F3F3"/>
          </w:tcPr>
          <w:p>
            <w:r>
              <w:rPr>
                <w:rFonts w:ascii="Arial" w:hAnsi="Arial"/>
                <w:color w:val="2E2E38"/>
                <w:sz w:val="16"/>
              </w:rPr>
              <w:t>Fulfilment</w:t>
            </w:r>
          </w:p>
        </w:tc>
        <w:tc>
          <w:tcPr>
            <w:tcW w:type="dxa" w:w="8064"/>
            <w:shd w:fill="F3F3F3"/>
          </w:tcPr>
          <w:p>
            <w:r>
              <w:rPr>
                <w:rFonts w:ascii="Arial" w:hAnsi="Arial"/>
                <w:color w:val="2E2E38"/>
                <w:sz w:val="16"/>
              </w:rPr>
              <w:t>Pick time, pack time, handover time, delivery time and promised-time hit rate</w:t>
            </w:r>
          </w:p>
        </w:tc>
      </w:tr>
      <w:tr>
        <w:tc>
          <w:tcPr>
            <w:tcW w:type="dxa" w:w="2016"/>
            <w:shd w:fill="FFFFFF"/>
          </w:tcPr>
          <w:p>
            <w:r>
              <w:rPr>
                <w:rFonts w:ascii="Arial" w:hAnsi="Arial"/>
                <w:color w:val="2E2E38"/>
                <w:sz w:val="16"/>
              </w:rPr>
              <w:t>Inventory</w:t>
            </w:r>
          </w:p>
        </w:tc>
        <w:tc>
          <w:tcPr>
            <w:tcW w:type="dxa" w:w="8064"/>
            <w:shd w:fill="FFFFFF"/>
          </w:tcPr>
          <w:p>
            <w:r>
              <w:rPr>
                <w:rFonts w:ascii="Arial" w:hAnsi="Arial"/>
                <w:color w:val="2E2E38"/>
                <w:sz w:val="16"/>
              </w:rPr>
              <w:t>In-stock rate, stockouts, inventory value, wastage and SKU breadth</w:t>
            </w:r>
          </w:p>
        </w:tc>
      </w:tr>
      <w:tr>
        <w:tc>
          <w:tcPr>
            <w:tcW w:type="dxa" w:w="2016"/>
            <w:shd w:fill="F3F3F3"/>
          </w:tcPr>
          <w:p>
            <w:r>
              <w:rPr>
                <w:rFonts w:ascii="Arial" w:hAnsi="Arial"/>
                <w:color w:val="2E2E38"/>
                <w:sz w:val="16"/>
              </w:rPr>
              <w:t>Customer</w:t>
            </w:r>
          </w:p>
        </w:tc>
        <w:tc>
          <w:tcPr>
            <w:tcW w:type="dxa" w:w="8064"/>
            <w:shd w:fill="F3F3F3"/>
          </w:tcPr>
          <w:p>
            <w:r>
              <w:rPr>
                <w:rFonts w:ascii="Arial" w:hAnsi="Arial"/>
                <w:color w:val="2E2E38"/>
                <w:sz w:val="16"/>
              </w:rPr>
              <w:t>Repeat rate, cancellation, complaints, refunds and rating</w:t>
            </w:r>
          </w:p>
        </w:tc>
      </w:tr>
      <w:tr>
        <w:tc>
          <w:tcPr>
            <w:tcW w:type="dxa" w:w="2016"/>
            <w:shd w:fill="FFFFFF"/>
          </w:tcPr>
          <w:p>
            <w:r>
              <w:rPr>
                <w:rFonts w:ascii="Arial" w:hAnsi="Arial"/>
                <w:color w:val="2E2E38"/>
                <w:sz w:val="16"/>
              </w:rPr>
              <w:t>Economics</w:t>
            </w:r>
          </w:p>
        </w:tc>
        <w:tc>
          <w:tcPr>
            <w:tcW w:type="dxa" w:w="8064"/>
            <w:shd w:fill="FFFFFF"/>
          </w:tcPr>
          <w:p>
            <w:r>
              <w:rPr>
                <w:rFonts w:ascii="Arial" w:hAnsi="Arial"/>
                <w:color w:val="2E2E38"/>
                <w:sz w:val="16"/>
              </w:rPr>
              <w:t>Gross order value, discounts, NOV, delivery fee, category margin and contribution</w:t>
            </w:r>
          </w:p>
        </w:tc>
      </w:tr>
      <w:tr>
        <w:tc>
          <w:tcPr>
            <w:tcW w:type="dxa" w:w="2016"/>
            <w:shd w:fill="F3F3F3"/>
          </w:tcPr>
          <w:p>
            <w:r>
              <w:rPr>
                <w:rFonts w:ascii="Arial" w:hAnsi="Arial"/>
                <w:color w:val="2E2E38"/>
                <w:sz w:val="16"/>
              </w:rPr>
              <w:t>Capacity</w:t>
            </w:r>
          </w:p>
        </w:tc>
        <w:tc>
          <w:tcPr>
            <w:tcW w:type="dxa" w:w="8064"/>
            <w:shd w:fill="F3F3F3"/>
          </w:tcPr>
          <w:p>
            <w:r>
              <w:rPr>
                <w:rFonts w:ascii="Arial" w:hAnsi="Arial"/>
                <w:color w:val="2E2E38"/>
                <w:sz w:val="16"/>
              </w:rPr>
              <w:t>Picker hours, delivery-partner supply, saturation and store maturity</w:t>
            </w:r>
          </w:p>
        </w:tc>
      </w:tr>
    </w:tbl>
    <w:p/>
    <w:p>
      <w:pPr>
        <w:pStyle w:val="Heading1"/>
      </w:pPr>
      <w:r>
        <w:t>The management challenge</w:t>
      </w:r>
    </w:p>
    <w:tbl>
      <w:tblPr>
        <w:tblStyle w:val="TableGrid"/>
        <w:tblW w:type="auto" w:w="0"/>
        <w:jc w:val="center"/>
        <w:tblLayout w:type="fixed"/>
        <w:tblLook w:firstColumn="1" w:firstRow="1" w:lastColumn="0" w:lastRow="0" w:noHBand="0" w:noVBand="1" w:val="04A0"/>
      </w:tblPr>
      <w:tblGrid>
        <w:gridCol w:w="5083"/>
        <w:gridCol w:w="5083"/>
      </w:tblGrid>
      <w:tr>
        <w:tc>
          <w:tcPr>
            <w:tcW w:type="dxa" w:w="2016"/>
            <w:shd w:fill="2E2E38"/>
          </w:tcPr>
          <w:p>
            <w:r>
              <w:rPr>
                <w:rFonts w:ascii="Arial" w:hAnsi="Arial"/>
                <w:b/>
                <w:color w:val="FFFFFF"/>
                <w:sz w:val="16"/>
              </w:rPr>
              <w:t>Lens</w:t>
            </w:r>
          </w:p>
        </w:tc>
        <w:tc>
          <w:tcPr>
            <w:tcW w:type="dxa" w:w="8064"/>
            <w:shd w:fill="2E2E38"/>
          </w:tcPr>
          <w:p>
            <w:r>
              <w:rPr>
                <w:rFonts w:ascii="Arial" w:hAnsi="Arial"/>
                <w:b/>
                <w:color w:val="FFFFFF"/>
                <w:sz w:val="16"/>
              </w:rPr>
              <w:t>Question</w:t>
            </w:r>
          </w:p>
        </w:tc>
      </w:tr>
      <w:tr>
        <w:tc>
          <w:tcPr>
            <w:tcW w:type="dxa" w:w="2016"/>
            <w:shd w:fill="FFFFFF"/>
          </w:tcPr>
          <w:p>
            <w:r>
              <w:rPr>
                <w:rFonts w:ascii="Arial" w:hAnsi="Arial"/>
                <w:color w:val="2E2E38"/>
                <w:sz w:val="16"/>
              </w:rPr>
              <w:t>Desirability</w:t>
            </w:r>
          </w:p>
        </w:tc>
        <w:tc>
          <w:tcPr>
            <w:tcW w:type="dxa" w:w="8064"/>
            <w:shd w:fill="FFFFFF"/>
          </w:tcPr>
          <w:p>
            <w:r>
              <w:rPr>
                <w:rFonts w:ascii="Arial" w:hAnsi="Arial"/>
                <w:color w:val="2E2E38"/>
                <w:sz w:val="16"/>
              </w:rPr>
              <w:t>Which neighbourhoods show durable demand and repeat behaviour?</w:t>
            </w:r>
          </w:p>
        </w:tc>
      </w:tr>
      <w:tr>
        <w:tc>
          <w:tcPr>
            <w:tcW w:type="dxa" w:w="2016"/>
            <w:shd w:fill="F3F3F3"/>
          </w:tcPr>
          <w:p>
            <w:r>
              <w:rPr>
                <w:rFonts w:ascii="Arial" w:hAnsi="Arial"/>
                <w:color w:val="2E2E38"/>
                <w:sz w:val="16"/>
              </w:rPr>
              <w:t>Feasibility</w:t>
            </w:r>
          </w:p>
        </w:tc>
        <w:tc>
          <w:tcPr>
            <w:tcW w:type="dxa" w:w="8064"/>
            <w:shd w:fill="F3F3F3"/>
          </w:tcPr>
          <w:p>
            <w:r>
              <w:rPr>
                <w:rFonts w:ascii="Arial" w:hAnsi="Arial"/>
                <w:color w:val="2E2E38"/>
                <w:sz w:val="16"/>
              </w:rPr>
              <w:t>Which stores can meet service promises without congestion or stockouts?</w:t>
            </w:r>
          </w:p>
        </w:tc>
      </w:tr>
      <w:tr>
        <w:tc>
          <w:tcPr>
            <w:tcW w:type="dxa" w:w="2016"/>
            <w:shd w:fill="FFFFFF"/>
          </w:tcPr>
          <w:p>
            <w:r>
              <w:rPr>
                <w:rFonts w:ascii="Arial" w:hAnsi="Arial"/>
                <w:color w:val="2E2E38"/>
                <w:sz w:val="16"/>
              </w:rPr>
              <w:t>Viability</w:t>
            </w:r>
          </w:p>
        </w:tc>
        <w:tc>
          <w:tcPr>
            <w:tcW w:type="dxa" w:w="8064"/>
            <w:shd w:fill="FFFFFF"/>
          </w:tcPr>
          <w:p>
            <w:r>
              <w:rPr>
                <w:rFonts w:ascii="Arial" w:hAnsi="Arial"/>
                <w:color w:val="2E2E38"/>
                <w:sz w:val="16"/>
              </w:rPr>
              <w:t>Which stores create positive and scalable contribution after variable costs?</w:t>
            </w:r>
          </w:p>
        </w:tc>
      </w:tr>
      <w:tr>
        <w:tc>
          <w:tcPr>
            <w:tcW w:type="dxa" w:w="2016"/>
            <w:shd w:fill="F3F3F3"/>
          </w:tcPr>
          <w:p>
            <w:r>
              <w:rPr>
                <w:rFonts w:ascii="Arial" w:hAnsi="Arial"/>
                <w:color w:val="2E2E38"/>
                <w:sz w:val="16"/>
              </w:rPr>
              <w:t>Resilience</w:t>
            </w:r>
          </w:p>
        </w:tc>
        <w:tc>
          <w:tcPr>
            <w:tcW w:type="dxa" w:w="8064"/>
            <w:shd w:fill="F3F3F3"/>
          </w:tcPr>
          <w:p>
            <w:r>
              <w:rPr>
                <w:rFonts w:ascii="Arial" w:hAnsi="Arial"/>
                <w:color w:val="2E2E38"/>
                <w:sz w:val="16"/>
              </w:rPr>
              <w:t>Which stores remain attractive under lower demand or higher delivery cost?</w:t>
            </w:r>
          </w:p>
        </w:tc>
      </w:tr>
      <w:tr>
        <w:tc>
          <w:tcPr>
            <w:tcW w:type="dxa" w:w="2016"/>
            <w:shd w:fill="FFFFFF"/>
          </w:tcPr>
          <w:p>
            <w:r>
              <w:rPr>
                <w:rFonts w:ascii="Arial" w:hAnsi="Arial"/>
                <w:color w:val="2E2E38"/>
                <w:sz w:val="16"/>
              </w:rPr>
              <w:t>Scalability</w:t>
            </w:r>
          </w:p>
        </w:tc>
        <w:tc>
          <w:tcPr>
            <w:tcW w:type="dxa" w:w="8064"/>
            <w:shd w:fill="FFFFFF"/>
          </w:tcPr>
          <w:p>
            <w:r>
              <w:rPr>
                <w:rFonts w:ascii="Arial" w:hAnsi="Arial"/>
                <w:color w:val="2E2E38"/>
                <w:sz w:val="16"/>
              </w:rPr>
              <w:t>What measurable conditions must be met before adding capacity or opening nearby stores?</w:t>
            </w:r>
          </w:p>
        </w:tc>
      </w:tr>
    </w:tbl>
    <w:p/>
    <w:p>
      <w:pPr>
        <w:pStyle w:val="Heading1"/>
      </w:pPr>
      <w:r>
        <w:t>The analytical problem</w:t>
      </w:r>
    </w:p>
    <w:p>
      <w:pPr>
        <w:pStyle w:val="ListBullet"/>
      </w:pPr>
      <w:r>
        <w:t>Define a defensible dark-store scorecard without double-counting similar metrics.</w:t>
      </w:r>
    </w:p>
    <w:p>
      <w:pPr>
        <w:pStyle w:val="ListBullet"/>
      </w:pPr>
      <w:r>
        <w:t>Test whether delivery speed is associated with repeat behaviour after considering stockouts, discounts and store maturity.</w:t>
      </w:r>
    </w:p>
    <w:p>
      <w:pPr>
        <w:pStyle w:val="ListBullet"/>
      </w:pPr>
      <w:r>
        <w:t>Identify statistically meaningful performance differences among store types, cities and maturity bands.</w:t>
      </w:r>
    </w:p>
    <w:p>
      <w:pPr>
        <w:pStyle w:val="ListBullet"/>
      </w:pPr>
      <w:r>
        <w:t>Estimate the effect of demand, mix, service and inventory variables on contribution and repeat behaviour.</w:t>
      </w:r>
    </w:p>
    <w:p>
      <w:pPr>
        <w:pStyle w:val="ListBullet"/>
      </w:pPr>
      <w:r>
        <w:t>Design scenarios for demand growth, delivery-cost inflation, discount reduction and inventory improvement.</w:t>
      </w:r>
    </w:p>
    <w:p>
      <w:pPr>
        <w:pStyle w:val="ListBullet"/>
      </w:pPr>
      <w:r>
        <w:t>Recommend expansion, remediation, consolidation or pause at store level.</w:t>
      </w:r>
    </w:p>
    <w:p>
      <w:pPr>
        <w:pStyle w:val="Heading1"/>
      </w:pPr>
      <w:r>
        <w:t>Decision alternatives</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2E2E38"/>
          </w:tcPr>
          <w:p>
            <w:r>
              <w:rPr>
                <w:rFonts w:ascii="Arial" w:hAnsi="Arial"/>
                <w:b/>
                <w:color w:val="FFFFFF"/>
                <w:sz w:val="16"/>
              </w:rPr>
              <w:t>Option</w:t>
            </w:r>
          </w:p>
        </w:tc>
        <w:tc>
          <w:tcPr>
            <w:tcW w:type="dxa" w:w="7992"/>
            <w:shd w:fill="2E2E38"/>
          </w:tcPr>
          <w:p>
            <w:r>
              <w:rPr>
                <w:rFonts w:ascii="Arial" w:hAnsi="Arial"/>
                <w:b/>
                <w:color w:val="FFFFFF"/>
                <w:sz w:val="16"/>
              </w:rPr>
              <w:t>Meaning</w:t>
            </w:r>
          </w:p>
        </w:tc>
      </w:tr>
      <w:tr>
        <w:tc>
          <w:tcPr>
            <w:tcW w:type="dxa" w:w="2088"/>
            <w:shd w:fill="FFFFFF"/>
          </w:tcPr>
          <w:p>
            <w:r>
              <w:rPr>
                <w:rFonts w:ascii="Arial" w:hAnsi="Arial"/>
                <w:color w:val="2E2E38"/>
                <w:sz w:val="16"/>
              </w:rPr>
              <w:t>Expand capacity</w:t>
            </w:r>
          </w:p>
        </w:tc>
        <w:tc>
          <w:tcPr>
            <w:tcW w:type="dxa" w:w="7992"/>
            <w:shd w:fill="FFFFFF"/>
          </w:tcPr>
          <w:p>
            <w:r>
              <w:rPr>
                <w:rFonts w:ascii="Arial" w:hAnsi="Arial"/>
                <w:color w:val="2E2E38"/>
                <w:sz w:val="16"/>
              </w:rPr>
              <w:t>Add operating capacity or a nearby store in qualified micro-markets.</w:t>
            </w:r>
          </w:p>
        </w:tc>
      </w:tr>
      <w:tr>
        <w:tc>
          <w:tcPr>
            <w:tcW w:type="dxa" w:w="2088"/>
            <w:shd w:fill="F3F3F3"/>
          </w:tcPr>
          <w:p>
            <w:r>
              <w:rPr>
                <w:rFonts w:ascii="Arial" w:hAnsi="Arial"/>
                <w:color w:val="2E2E38"/>
                <w:sz w:val="16"/>
              </w:rPr>
              <w:t>Optimise first</w:t>
            </w:r>
          </w:p>
        </w:tc>
        <w:tc>
          <w:tcPr>
            <w:tcW w:type="dxa" w:w="7992"/>
            <w:shd w:fill="F3F3F3"/>
          </w:tcPr>
          <w:p>
            <w:r>
              <w:rPr>
                <w:rFonts w:ascii="Arial" w:hAnsi="Arial"/>
                <w:color w:val="2E2E38"/>
                <w:sz w:val="16"/>
              </w:rPr>
              <w:t>Improve inventory, staffing, picking or delivery supply before expansion.</w:t>
            </w:r>
          </w:p>
        </w:tc>
      </w:tr>
      <w:tr>
        <w:tc>
          <w:tcPr>
            <w:tcW w:type="dxa" w:w="2088"/>
            <w:shd w:fill="FFFFFF"/>
          </w:tcPr>
          <w:p>
            <w:r>
              <w:rPr>
                <w:rFonts w:ascii="Arial" w:hAnsi="Arial"/>
                <w:color w:val="2E2E38"/>
                <w:sz w:val="16"/>
              </w:rPr>
              <w:t>Consolidate</w:t>
            </w:r>
          </w:p>
        </w:tc>
        <w:tc>
          <w:tcPr>
            <w:tcW w:type="dxa" w:w="7992"/>
            <w:shd w:fill="FFFFFF"/>
          </w:tcPr>
          <w:p>
            <w:r>
              <w:rPr>
                <w:rFonts w:ascii="Arial" w:hAnsi="Arial"/>
                <w:color w:val="2E2E38"/>
                <w:sz w:val="16"/>
              </w:rPr>
              <w:t>Merge overlapping catchments or reduce underutilised capacity.</w:t>
            </w:r>
          </w:p>
        </w:tc>
      </w:tr>
      <w:tr>
        <w:tc>
          <w:tcPr>
            <w:tcW w:type="dxa" w:w="2088"/>
            <w:shd w:fill="F3F3F3"/>
          </w:tcPr>
          <w:p>
            <w:r>
              <w:rPr>
                <w:rFonts w:ascii="Arial" w:hAnsi="Arial"/>
                <w:color w:val="2E2E38"/>
                <w:sz w:val="16"/>
              </w:rPr>
              <w:t>Pause</w:t>
            </w:r>
          </w:p>
        </w:tc>
        <w:tc>
          <w:tcPr>
            <w:tcW w:type="dxa" w:w="7992"/>
            <w:shd w:fill="F3F3F3"/>
          </w:tcPr>
          <w:p>
            <w:r>
              <w:rPr>
                <w:rFonts w:ascii="Arial" w:hAnsi="Arial"/>
                <w:color w:val="2E2E38"/>
                <w:sz w:val="16"/>
              </w:rPr>
              <w:t>Stop further investment where economics or operating risk fail minimum gates.</w:t>
            </w:r>
          </w:p>
        </w:tc>
      </w:tr>
    </w:tbl>
    <w:p/>
    <w:p>
      <w:pPr>
        <w:pStyle w:val="Heading1"/>
      </w:pPr>
      <w:r>
        <w:t>Success criteria and stop rules</w:t>
      </w:r>
    </w:p>
    <w:p>
      <w:r>
        <w:t>A credible recommendation must define thresholds for contribution per order, in-stock rate, promised-time achievement, cancellation, complaint and repeat behaviour. The team must distinguish observed results from scenario estimates and show how a store changes classification when demand or delivery costs deteriorate.</w:t>
      </w:r>
    </w:p>
    <w:p>
      <w:pPr>
        <w:pStyle w:val="Heading1"/>
      </w:pPr>
      <w:r>
        <w:t>Implementation realities</w:t>
      </w:r>
    </w:p>
    <w:p>
      <w:pPr>
        <w:pStyle w:val="ListBullet"/>
      </w:pPr>
      <w:r>
        <w:t>Data can be analysed in Excel, Python, Power BI, SQL or a combination.</w:t>
      </w:r>
    </w:p>
    <w:p>
      <w:pPr>
        <w:pStyle w:val="ListBullet"/>
      </w:pPr>
      <w:r>
        <w:t>The unit of analysis is one dark store on one operating day.</w:t>
      </w:r>
    </w:p>
    <w:p>
      <w:pPr>
        <w:pStyle w:val="ListBullet"/>
      </w:pPr>
      <w:r>
        <w:t>Rates require valid denominators and may need weighting.</w:t>
      </w:r>
    </w:p>
    <w:p>
      <w:pPr>
        <w:pStyle w:val="ListBullet"/>
      </w:pPr>
      <w:r>
        <w:t>The synthetic dataset contains correlations designed for analysis but does not prove causality.</w:t>
      </w:r>
    </w:p>
    <w:p>
      <w:pPr>
        <w:pStyle w:val="ListBullet"/>
      </w:pPr>
      <w:r>
        <w:t>The final operating policy must specify owners, review cadence and measurable gates.</w:t>
      </w:r>
    </w:p>
    <w:p>
      <w:pPr>
        <w:pStyle w:val="Heading1"/>
      </w:pPr>
      <w:r>
        <w:t>Limitations</w:t>
      </w:r>
    </w:p>
    <w:p>
      <w:pPr>
        <w:pStyle w:val="ListBullet"/>
      </w:pPr>
      <w:r>
        <w:t>All store-level data is synthetic.</w:t>
      </w:r>
    </w:p>
    <w:p>
      <w:pPr>
        <w:pStyle w:val="ListBullet"/>
      </w:pPr>
      <w:r>
        <w:t>Public company disclosures establish context, not simulated store performance.</w:t>
      </w:r>
    </w:p>
    <w:p>
      <w:pPr>
        <w:pStyle w:val="ListBullet"/>
      </w:pPr>
      <w:r>
        <w:t>The dataset does not include property acquisition cost, full corporate overhead or competitor micro-market data.</w:t>
      </w:r>
    </w:p>
    <w:p>
      <w:pPr>
        <w:pStyle w:val="ListBullet"/>
      </w:pPr>
      <w:r>
        <w:t>Category margins are simplified educational estimates.</w:t>
      </w:r>
    </w:p>
    <w:p>
      <w:pPr>
        <w:pStyle w:val="ListBullet"/>
      </w:pPr>
      <w:r>
        <w:t>Any expansion recommendation remains a management decision under uncertainty.</w:t>
      </w:r>
    </w:p>
    <w:p>
      <w:pPr>
        <w:pStyle w:val="Heading1"/>
      </w:pPr>
      <w:r>
        <w:t>Discussion questions</w:t>
      </w:r>
    </w:p>
    <w:p>
      <w:pPr>
        <w:pStyle w:val="ListNumber"/>
      </w:pPr>
      <w:r>
        <w:t>Should a fast but unprofitable dark store ever be classified as successful?</w:t>
      </w:r>
    </w:p>
    <w:p>
      <w:pPr>
        <w:pStyle w:val="ListNumber"/>
      </w:pPr>
      <w:r>
        <w:t>Which denominator should be used for complaints, refunds and cancellations?</w:t>
      </w:r>
    </w:p>
    <w:p>
      <w:pPr>
        <w:pStyle w:val="ListNumber"/>
      </w:pPr>
      <w:r>
        <w:t>Can an in-stock improvement justify more inventory if wastage rises?</w:t>
      </w:r>
    </w:p>
    <w:p>
      <w:pPr>
        <w:pStyle w:val="ListNumber"/>
      </w:pPr>
      <w:r>
        <w:t>When does adding a nearby dark store improve service, and when does it cannibalise demand?</w:t>
      </w:r>
    </w:p>
    <w:p>
      <w:pPr>
        <w:pStyle w:val="ListNumber"/>
      </w:pPr>
      <w:r>
        <w:t>Which single KPI would be most dangerous to optimise in isolation?</w:t>
      </w:r>
    </w:p>
    <w:p>
      <w:pPr>
        <w:pStyle w:val="Heading1"/>
      </w:pPr>
      <w:r>
        <w:t>Sources and synthetic-data disclosure</w:t>
      </w:r>
    </w:p>
    <w:p>
      <w:r>
        <w:t>The company context is grounded in Blinkit and Eternal public materials listed above. The stores, neighbourhoods, transactions, costs, inventory outcomes and customer results in the project dataset are synthetic. Blinkit and Eternal did not supply, verify or endorse the dataset or student conclusions.</w:t>
      </w:r>
    </w:p>
    <w:sectPr w:rsidR="00FC693F" w:rsidRPr="0006063C" w:rsidSect="00034616">
      <w:footerReference w:type="default" r:id="rId9"/>
      <w:pgSz w:w="12240" w:h="15840"/>
      <w:pgMar w:top="936"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EY Dark Logo.png"/>
                  <pic:cNvPicPr/>
                </pic:nvPicPr>
                <pic:blipFill>
                  <a:blip r:embed="rId1"/>
                  <a:stretch>
                    <a:fillRect/>
                  </a:stretch>
                </pic:blipFill>
                <pic:spPr>
                  <a:xfrm>
                    <a:off x="0" y="0"/>
                    <a:ext cx="566928" cy="566928"/>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E2E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2E3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2E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2E3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2E2E38"/>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color w:val="2E2E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Anuj Rastogi</dc:creator>
  <keywords/>
  <dc:description>generated by python-docx</dc:description>
  <lastModifiedBy>Anuj Rastogi</lastModifiedBy>
  <revision>1</revision>
  <dcterms:created xsi:type="dcterms:W3CDTF">2026-08-25T10:35:58.5366286Z</dcterms:created>
  <dcterms:modified xsi:type="dcterms:W3CDTF">2026-08-25T10:35:58.5366286Z</dcterms:modified>
  <category/>
</coreProperties>
</file>