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18"/>
        </w:rPr>
        <w:t>EY LEARNING SOLUTIONS</w:t>
      </w:r>
    </w:p>
    <w:p>
      <w:r>
        <w:rPr>
          <w:rFonts w:ascii="Arial" w:hAnsi="Arial"/>
          <w:b/>
          <w:color w:val="2E2E38"/>
          <w:sz w:val="48"/>
        </w:rPr>
        <w:t>Blinkit Dark-Store Network Analytics Project</w:t>
      </w:r>
    </w:p>
    <w:p>
      <w:r>
        <w:rPr>
          <w:rFonts w:ascii="Arial" w:hAnsi="Arial"/>
          <w:color w:val="747480"/>
          <w:sz w:val="22"/>
        </w:rPr>
        <w:t>24-hour tool-neutral consulting capstone with 10 deliverables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shd w:fill="2E2E38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Programme</w:t>
            </w:r>
          </w:p>
        </w:tc>
        <w:tc>
          <w:tcPr>
            <w:tcW w:type="dxa" w:w="7848"/>
            <w:shd w:fill="2E2E38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MBA</w:t>
            </w:r>
          </w:p>
        </w:tc>
      </w:tr>
      <w:tr>
        <w:tc>
          <w:tcPr>
            <w:tcW w:type="dxa" w:w="2232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Delivery</w:t>
            </w:r>
          </w:p>
        </w:tc>
        <w:tc>
          <w:tcPr>
            <w:tcW w:type="dxa" w:w="7848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24 hours</w:t>
            </w:r>
          </w:p>
        </w:tc>
      </w:tr>
      <w:tr>
        <w:tc>
          <w:tcPr>
            <w:tcW w:type="dxa" w:w="2232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Format</w:t>
            </w:r>
          </w:p>
        </w:tc>
        <w:tc>
          <w:tcPr>
            <w:tcW w:type="dxa" w:w="7848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Tool-neutral analytics consulting project</w:t>
            </w:r>
          </w:p>
        </w:tc>
      </w:tr>
      <w:tr>
        <w:tc>
          <w:tcPr>
            <w:tcW w:type="dxa" w:w="2232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Case</w:t>
            </w:r>
          </w:p>
        </w:tc>
        <w:tc>
          <w:tcPr>
            <w:tcW w:type="dxa" w:w="7848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Blinkit dark-store network expansion and operating economics</w:t>
            </w:r>
          </w:p>
        </w:tc>
      </w:tr>
      <w:tr>
        <w:tc>
          <w:tcPr>
            <w:tcW w:type="dxa" w:w="2232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Permitted tools</w:t>
            </w:r>
          </w:p>
        </w:tc>
        <w:tc>
          <w:tcPr>
            <w:tcW w:type="dxa" w:w="7848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Excel, Python, Power BI, SQL, or a justified combination</w:t>
            </w:r>
          </w:p>
        </w:tc>
      </w:tr>
      <w:tr>
        <w:tc>
          <w:tcPr>
            <w:tcW w:type="dxa" w:w="2232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Assessment weight</w:t>
            </w:r>
          </w:p>
        </w:tc>
        <w:tc>
          <w:tcPr>
            <w:tcW w:type="dxa" w:w="7848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50 marks</w:t>
            </w:r>
          </w:p>
        </w:tc>
      </w:tr>
    </w:tbl>
    <w:p/>
    <w:p>
      <w:pPr>
        <w:pStyle w:val="Heading1"/>
      </w:pPr>
      <w:r>
        <w:t>Project brief</w:t>
      </w:r>
    </w:p>
    <w:p>
      <w:r>
        <w:t>Act as an analytics consulting team advising a simulated Blinkit network-planning committee. Determine which dark stores should expand, optimise, consolidate or pause. The recommendation must balance demand, speed, inventory, customer outcomes and contribution economics.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8CC"/>
          </w:tcPr>
          <w:p>
            <w:r/>
            <w:r>
              <w:rPr>
                <w:rFonts w:ascii="Arial" w:hAnsi="Arial"/>
                <w:b/>
                <w:sz w:val="20"/>
              </w:rPr>
              <w:t>Tool-neutral rule</w:t>
            </w:r>
          </w:p>
          <w:p>
            <w:r>
              <w:t>Use Excel, Python, Power BI, SQL or a justified combination. The scoring evaluates analytical validity, reproducibility, statistical reasoning, business insight and decision quality, not software preference.</w:t>
            </w:r>
          </w:p>
        </w:tc>
      </w:tr>
    </w:tbl>
    <w:p>
      <w:pPr>
        <w:pStyle w:val="Heading1"/>
      </w:pPr>
      <w:r>
        <w:t>The 10 required deliverables</w:t>
      </w:r>
    </w:p>
    <w:p>
      <w:pPr>
        <w:pStyle w:val="Heading2"/>
      </w:pPr>
      <w:r>
        <w:t>1. Reproducible data audit</w:t>
      </w:r>
    </w:p>
    <w:p>
      <w:r>
        <w:t>Document grain, data types, duplicates, missing values, impossible ranges, outliers and exclusions.</w:t>
      </w:r>
    </w:p>
    <w:p>
      <w:pPr>
        <w:pStyle w:val="Heading2"/>
      </w:pPr>
      <w:r>
        <w:t>2. Metric dictionary</w:t>
      </w:r>
    </w:p>
    <w:p>
      <w:r>
        <w:t>Define demand, fulfilment, inventory, customer and economic KPIs with formulas, denominators and units.</w:t>
      </w:r>
    </w:p>
    <w:p>
      <w:pPr>
        <w:pStyle w:val="Heading2"/>
      </w:pPr>
      <w:r>
        <w:t>3. Descriptive network profile</w:t>
      </w:r>
    </w:p>
    <w:p>
      <w:r>
        <w:t>Compare cities, stores, maturity bands and store formats using distributions, percentiles and variability.</w:t>
      </w:r>
    </w:p>
    <w:p>
      <w:pPr>
        <w:pStyle w:val="Heading2"/>
      </w:pPr>
      <w:r>
        <w:t>4. Store segmentation</w:t>
      </w:r>
    </w:p>
    <w:p>
      <w:r>
        <w:t>Create a transparent segmentation that identifies demand leaders, service risks, inventory risks and economic laggards.</w:t>
      </w:r>
    </w:p>
    <w:p>
      <w:pPr>
        <w:pStyle w:val="Heading2"/>
      </w:pPr>
      <w:r>
        <w:t>5. Statistical test pack</w:t>
      </w:r>
    </w:p>
    <w:p>
      <w:r>
        <w:t>Formulate and test at least three hypotheses about store maturity, delivery speed, stockouts, repeat behaviour or contribution.</w:t>
      </w:r>
    </w:p>
    <w:p>
      <w:pPr>
        <w:pStyle w:val="Heading2"/>
      </w:pPr>
      <w:r>
        <w:t>6. Driver analysis</w:t>
      </w:r>
    </w:p>
    <w:p>
      <w:r>
        <w:t>Use correlation plus regression or another justified multivariate method to analyse contribution and repeat behaviour.</w:t>
      </w:r>
    </w:p>
    <w:p>
      <w:pPr>
        <w:pStyle w:val="Heading2"/>
      </w:pPr>
      <w:r>
        <w:t>7. Exception and root-cause view</w:t>
      </w:r>
    </w:p>
    <w:p>
      <w:r>
        <w:t>Identify underperforming stores and trace the likely operational contributors without claiming causality.</w:t>
      </w:r>
    </w:p>
    <w:p>
      <w:pPr>
        <w:pStyle w:val="Heading2"/>
      </w:pPr>
      <w:r>
        <w:t>8. Scenario model</w:t>
      </w:r>
    </w:p>
    <w:p>
      <w:r>
        <w:t>Test at least four scenarios: demand growth, delivery-cost inflation, lower discounts and improved in-stock performance.</w:t>
      </w:r>
    </w:p>
    <w:p>
      <w:pPr>
        <w:pStyle w:val="Heading2"/>
      </w:pPr>
      <w:r>
        <w:t>9. Executive decision interface</w:t>
      </w:r>
    </w:p>
    <w:p>
      <w:r>
        <w:t>Build a dashboard, notebook, workbook or query-backed report that supports store-level decisions and drill-down.</w:t>
      </w:r>
    </w:p>
    <w:p>
      <w:pPr>
        <w:pStyle w:val="Heading2"/>
      </w:pPr>
      <w:r>
        <w:t>10. Board recommendation pack</w:t>
      </w:r>
    </w:p>
    <w:p>
      <w:r>
        <w:t>Submit a two-page memo classifying stores into expand, optimise, consolidate or pause, with owners, gates and stop rules.</w:t>
      </w:r>
    </w:p>
    <w:p>
      <w:pPr>
        <w:pStyle w:val="Heading1"/>
      </w:pPr>
      <w:r>
        <w:t>Minimum analytical requirements</w:t>
      </w:r>
    </w:p>
    <w:p>
      <w:pPr>
        <w:pStyle w:val="ListBullet"/>
      </w:pPr>
      <w:r>
        <w:t>State the unit of analysis before calculating.</w:t>
      </w:r>
    </w:p>
    <w:p>
      <w:pPr>
        <w:pStyle w:val="ListBullet"/>
      </w:pPr>
      <w:r>
        <w:t>Use weighted rates where appropriate.</w:t>
      </w:r>
    </w:p>
    <w:p>
      <w:pPr>
        <w:pStyle w:val="ListBullet"/>
      </w:pPr>
      <w:r>
        <w:t>Report confidence intervals or uncertainty for selected estimates.</w:t>
      </w:r>
    </w:p>
    <w:p>
      <w:pPr>
        <w:pStyle w:val="ListBullet"/>
      </w:pPr>
      <w:r>
        <w:t>For hypothesis tests, state H0, H1, method, assumptions, significance level, effect size and business interpretation.</w:t>
      </w:r>
    </w:p>
    <w:p>
      <w:pPr>
        <w:pStyle w:val="ListBullet"/>
      </w:pPr>
      <w:r>
        <w:t>For predictive work, separate training and evaluation data or use a justified validation approach.</w:t>
      </w:r>
    </w:p>
    <w:p>
      <w:pPr>
        <w:pStyle w:val="ListBullet"/>
      </w:pPr>
      <w:r>
        <w:t>Do not treat correlation or regression coefficients as causal effects.</w:t>
      </w:r>
    </w:p>
    <w:p>
      <w:pPr>
        <w:pStyle w:val="ListBullet"/>
      </w:pPr>
      <w:r>
        <w:t>Reconcile at least eight headline outputs independently.</w:t>
      </w:r>
    </w:p>
    <w:p>
      <w:pPr>
        <w:pStyle w:val="Heading1"/>
      </w:pPr>
      <w:r>
        <w:t>Cross-tool implementation guide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944"/>
            <w:shd w:fill="2E2E38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2016"/>
            <w:shd w:fill="2E2E38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Excel</w:t>
            </w:r>
          </w:p>
        </w:tc>
        <w:tc>
          <w:tcPr>
            <w:tcW w:type="dxa" w:w="2016"/>
            <w:shd w:fill="2E2E38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Python</w:t>
            </w:r>
          </w:p>
        </w:tc>
        <w:tc>
          <w:tcPr>
            <w:tcW w:type="dxa" w:w="2016"/>
            <w:shd w:fill="2E2E38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Power BI</w:t>
            </w:r>
          </w:p>
        </w:tc>
        <w:tc>
          <w:tcPr>
            <w:tcW w:type="dxa" w:w="2016"/>
            <w:shd w:fill="2E2E38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SQL</w:t>
            </w:r>
          </w:p>
        </w:tc>
      </w:tr>
      <w:tr>
        <w:tc>
          <w:tcPr>
            <w:tcW w:type="dxa" w:w="1944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Preparation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Power Query/formulas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pandas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Power Query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CTEs/views</w:t>
            </w:r>
          </w:p>
        </w:tc>
      </w:tr>
      <w:tr>
        <w:tc>
          <w:tcPr>
            <w:tcW w:type="dxa" w:w="1944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Statistics</w:t>
            </w:r>
          </w:p>
        </w:tc>
        <w:tc>
          <w:tcPr>
            <w:tcW w:type="dxa" w:w="2016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ToolPak/functions</w:t>
            </w:r>
          </w:p>
        </w:tc>
        <w:tc>
          <w:tcPr>
            <w:tcW w:type="dxa" w:w="2016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scipy/statsmodels</w:t>
            </w:r>
          </w:p>
        </w:tc>
        <w:tc>
          <w:tcPr>
            <w:tcW w:type="dxa" w:w="2016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Python visual or imported outputs</w:t>
            </w:r>
          </w:p>
        </w:tc>
        <w:tc>
          <w:tcPr>
            <w:tcW w:type="dxa" w:w="2016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aggregate/export to statistics layer</w:t>
            </w:r>
          </w:p>
        </w:tc>
      </w:tr>
      <w:tr>
        <w:tc>
          <w:tcPr>
            <w:tcW w:type="dxa" w:w="1944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Modelling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LINEST/Data Analysis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statsmodels/sklearn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parameters and scored results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feature views and scored tables</w:t>
            </w:r>
          </w:p>
        </w:tc>
      </w:tr>
      <w:tr>
        <w:tc>
          <w:tcPr>
            <w:tcW w:type="dxa" w:w="1944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Scenarios</w:t>
            </w:r>
          </w:p>
        </w:tc>
        <w:tc>
          <w:tcPr>
            <w:tcW w:type="dxa" w:w="2016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assumption cells/data tables</w:t>
            </w:r>
          </w:p>
        </w:tc>
        <w:tc>
          <w:tcPr>
            <w:tcW w:type="dxa" w:w="2016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functions/notebook</w:t>
            </w:r>
          </w:p>
        </w:tc>
        <w:tc>
          <w:tcPr>
            <w:tcW w:type="dxa" w:w="2016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What-if parameters</w:t>
            </w:r>
          </w:p>
        </w:tc>
        <w:tc>
          <w:tcPr>
            <w:tcW w:type="dxa" w:w="2016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parameter tables/queries</w:t>
            </w:r>
          </w:p>
        </w:tc>
      </w:tr>
      <w:tr>
        <w:tc>
          <w:tcPr>
            <w:tcW w:type="dxa" w:w="1944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Communication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dashboard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notebook/app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interactive report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result views plus reporting layer</w:t>
            </w:r>
          </w:p>
        </w:tc>
      </w:tr>
    </w:tbl>
    <w:p/>
    <w:p>
      <w:pPr>
        <w:pStyle w:val="Heading1"/>
      </w:pPr>
      <w:r>
        <w:t>Required store-classification logic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4"/>
            <w:shd w:fill="2E2E38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Class</w:t>
            </w:r>
          </w:p>
        </w:tc>
        <w:tc>
          <w:tcPr>
            <w:tcW w:type="dxa" w:w="8136"/>
            <w:shd w:fill="2E2E38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Minimum interpretation</w:t>
            </w:r>
          </w:p>
        </w:tc>
      </w:tr>
      <w:tr>
        <w:tc>
          <w:tcPr>
            <w:tcW w:type="dxa" w:w="1944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Expand</w:t>
            </w:r>
          </w:p>
        </w:tc>
        <w:tc>
          <w:tcPr>
            <w:tcW w:type="dxa" w:w="8136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Strong demand, service and economics with resilience under downside scenario.</w:t>
            </w:r>
          </w:p>
        </w:tc>
      </w:tr>
      <w:tr>
        <w:tc>
          <w:tcPr>
            <w:tcW w:type="dxa" w:w="1944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Optimise</w:t>
            </w:r>
          </w:p>
        </w:tc>
        <w:tc>
          <w:tcPr>
            <w:tcW w:type="dxa" w:w="8136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Attractive demand but one or more fixable service, inventory or cost constraints.</w:t>
            </w:r>
          </w:p>
        </w:tc>
      </w:tr>
      <w:tr>
        <w:tc>
          <w:tcPr>
            <w:tcW w:type="dxa" w:w="1944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Consolidate</w:t>
            </w:r>
          </w:p>
        </w:tc>
        <w:tc>
          <w:tcPr>
            <w:tcW w:type="dxa" w:w="8136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Overlapping capacity or structurally weak utilisation requiring network redesign.</w:t>
            </w:r>
          </w:p>
        </w:tc>
      </w:tr>
      <w:tr>
        <w:tc>
          <w:tcPr>
            <w:tcW w:type="dxa" w:w="1944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Pause</w:t>
            </w:r>
          </w:p>
        </w:tc>
        <w:tc>
          <w:tcPr>
            <w:tcW w:type="dxa" w:w="8136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Fails minimum economic or service gates with no credible improvement path.</w:t>
            </w:r>
          </w:p>
        </w:tc>
      </w:tr>
    </w:tbl>
    <w:p/>
    <w:p>
      <w:pPr>
        <w:pStyle w:val="Heading1"/>
      </w:pPr>
      <w:r>
        <w:t>24-hour execution structure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2E2E38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Block</w:t>
            </w:r>
          </w:p>
        </w:tc>
        <w:tc>
          <w:tcPr>
            <w:tcW w:type="dxa" w:w="8064"/>
            <w:shd w:fill="2E2E38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Focus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0-3 hours</w:t>
            </w:r>
          </w:p>
        </w:tc>
        <w:tc>
          <w:tcPr>
            <w:tcW w:type="dxa" w:w="8064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Scope, audit, grain and metric definitions</w:t>
            </w:r>
          </w:p>
        </w:tc>
      </w:tr>
      <w:tr>
        <w:tc>
          <w:tcPr>
            <w:tcW w:type="dxa" w:w="2016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3-7 hours</w:t>
            </w:r>
          </w:p>
        </w:tc>
        <w:tc>
          <w:tcPr>
            <w:tcW w:type="dxa" w:w="8064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Descriptive profile and segmentation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7-12 hours</w:t>
            </w:r>
          </w:p>
        </w:tc>
        <w:tc>
          <w:tcPr>
            <w:tcW w:type="dxa" w:w="8064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Hypothesis tests and driver analysis</w:t>
            </w:r>
          </w:p>
        </w:tc>
      </w:tr>
      <w:tr>
        <w:tc>
          <w:tcPr>
            <w:tcW w:type="dxa" w:w="2016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12-17 hours</w:t>
            </w:r>
          </w:p>
        </w:tc>
        <w:tc>
          <w:tcPr>
            <w:tcW w:type="dxa" w:w="8064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Scenarios and store-classification logic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17-21 hours</w:t>
            </w:r>
          </w:p>
        </w:tc>
        <w:tc>
          <w:tcPr>
            <w:tcW w:type="dxa" w:w="8064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Decision interface and exception drill-down</w:t>
            </w:r>
          </w:p>
        </w:tc>
      </w:tr>
      <w:tr>
        <w:tc>
          <w:tcPr>
            <w:tcW w:type="dxa" w:w="2016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21-24 hours</w:t>
            </w:r>
          </w:p>
        </w:tc>
        <w:tc>
          <w:tcPr>
            <w:tcW w:type="dxa" w:w="8064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Memo, reconciliation, limitations and submission</w:t>
            </w:r>
          </w:p>
        </w:tc>
      </w:tr>
    </w:tbl>
    <w:p/>
    <w:p>
      <w:pPr>
        <w:pStyle w:val="Heading1"/>
      </w:pPr>
      <w:r>
        <w:t>Grading rubric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8208"/>
            <w:shd w:fill="2E2E38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1872"/>
            <w:shd w:fill="2E2E38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Marks</w:t>
            </w:r>
          </w:p>
        </w:tc>
      </w:tr>
      <w:tr>
        <w:tc>
          <w:tcPr>
            <w:tcW w:type="dxa" w:w="8208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Data quality, documentation and reproducibility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7</w:t>
            </w:r>
          </w:p>
        </w:tc>
      </w:tr>
      <w:tr>
        <w:tc>
          <w:tcPr>
            <w:tcW w:type="dxa" w:w="8208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Metric architecture and descriptive diagnosis</w:t>
            </w:r>
          </w:p>
        </w:tc>
        <w:tc>
          <w:tcPr>
            <w:tcW w:type="dxa" w:w="1872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7</w:t>
            </w:r>
          </w:p>
        </w:tc>
      </w:tr>
      <w:tr>
        <w:tc>
          <w:tcPr>
            <w:tcW w:type="dxa" w:w="8208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Statistical testing and uncertainty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10</w:t>
            </w:r>
          </w:p>
        </w:tc>
      </w:tr>
      <w:tr>
        <w:tc>
          <w:tcPr>
            <w:tcW w:type="dxa" w:w="8208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Driver analysis and model validation</w:t>
            </w:r>
          </w:p>
        </w:tc>
        <w:tc>
          <w:tcPr>
            <w:tcW w:type="dxa" w:w="1872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8</w:t>
            </w:r>
          </w:p>
        </w:tc>
      </w:tr>
      <w:tr>
        <w:tc>
          <w:tcPr>
            <w:tcW w:type="dxa" w:w="8208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Scenario quality and store classification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7</w:t>
            </w:r>
          </w:p>
        </w:tc>
      </w:tr>
      <w:tr>
        <w:tc>
          <w:tcPr>
            <w:tcW w:type="dxa" w:w="8208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Decision interface and storytelling</w:t>
            </w:r>
          </w:p>
        </w:tc>
        <w:tc>
          <w:tcPr>
            <w:tcW w:type="dxa" w:w="1872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5</w:t>
            </w:r>
          </w:p>
        </w:tc>
      </w:tr>
      <w:tr>
        <w:tc>
          <w:tcPr>
            <w:tcW w:type="dxa" w:w="8208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Executive recommendation, controls and limitations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2E2E38"/>
                <w:sz w:val="16"/>
              </w:rPr>
              <w:t>6</w:t>
            </w:r>
          </w:p>
        </w:tc>
      </w:tr>
      <w:tr>
        <w:tc>
          <w:tcPr>
            <w:tcW w:type="dxa" w:w="8208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Total</w:t>
            </w:r>
          </w:p>
        </w:tc>
        <w:tc>
          <w:tcPr>
            <w:tcW w:type="dxa" w:w="1872"/>
            <w:shd w:fill="F3F3F3"/>
          </w:tcPr>
          <w:p>
            <w:r>
              <w:rPr>
                <w:rFonts w:ascii="Arial" w:hAnsi="Arial"/>
                <w:color w:val="2E2E38"/>
                <w:sz w:val="16"/>
              </w:rPr>
              <w:t>50</w:t>
            </w:r>
          </w:p>
        </w:tc>
      </w:tr>
    </w:tbl>
    <w:p/>
    <w:p>
      <w:pPr>
        <w:pStyle w:val="Heading1"/>
      </w:pPr>
      <w:r>
        <w:t>Submission package</w:t>
      </w:r>
    </w:p>
    <w:p>
      <w:pPr>
        <w:pStyle w:val="ListBullet"/>
      </w:pPr>
      <w:r>
        <w:t>One analysis solution: XLSX, PBIX, IPYNB/PY, or SQL scripts and result outputs.</w:t>
      </w:r>
    </w:p>
    <w:p>
      <w:pPr>
        <w:pStyle w:val="ListBullet"/>
      </w:pPr>
      <w:r>
        <w:t>One decision dashboard or equivalent analytical interface.</w:t>
      </w:r>
    </w:p>
    <w:p>
      <w:pPr>
        <w:pStyle w:val="ListBullet"/>
      </w:pPr>
      <w:r>
        <w:t>One two-page executive memo.</w:t>
      </w:r>
    </w:p>
    <w:p>
      <w:pPr>
        <w:pStyle w:val="ListBullet"/>
      </w:pPr>
      <w:r>
        <w:t>One method, assumption and validation register.</w:t>
      </w:r>
    </w:p>
    <w:p>
      <w:pPr>
        <w:pStyle w:val="ListBullet"/>
      </w:pPr>
      <w:r>
        <w:t>One README explaining how to reproduce the work.</w:t>
      </w:r>
    </w:p>
    <w:p>
      <w:pPr>
        <w:pStyle w:val="Heading1"/>
      </w:pPr>
      <w:r>
        <w:t>Academic integrity declaration</w:t>
      </w:r>
    </w:p>
    <w:p>
      <w:r>
        <w:t>I confirm that I completed and validated the submitted analysis, disclosed any AI assistance, separated factual public context from synthetic evidence, and remain responsible for the final recommendation.</w:t>
      </w:r>
    </w:p>
    <w:sectPr w:rsidR="00FC693F" w:rsidRPr="0006063C" w:rsidSect="00034616">
      <w:footerReference w:type="default" r:id="rId9"/>
      <w:pgSz w:w="12240" w:h="15840"/>
      <w:pgMar w:top="936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566928" cy="56692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Y Dark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928" cy="566928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2E2E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E2E3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2E3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E2E3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rial" w:hAnsi="Arial"/>
      <w:color w:val="2E2E38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Arial" w:hAnsi="Arial"/>
      <w:color w:val="2E2E38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Anuj Rastogi</dc:creator>
  <keywords/>
  <dc:description>generated by python-docx</dc:description>
  <lastModifiedBy>Anuj Rastogi</lastModifiedBy>
  <revision>1</revision>
  <dcterms:created xsi:type="dcterms:W3CDTF">2026-08-25T10:36:01.3319697Z</dcterms:created>
  <dcterms:modified xsi:type="dcterms:W3CDTF">2026-08-25T10:36:01.3319697Z</dcterms:modified>
  <category/>
</coreProperties>
</file>