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Patient Health Record Consent Management System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Requirements Specification — Functional &amp; Non-Functional Requirements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Problem Statement #13  |  Healthcare &amp; Telemedicine  |  Lab 1 — Requirements Engineering &amp; UML Use-Case Modelling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Actors: </w:t>
      </w:r>
      <w:r>
        <w:rPr>
          <w:rFonts w:ascii="Calibri" w:cs="Calibri" w:eastAsia="Calibri" w:hAnsi="Calibri"/>
          <w:sz w:val="20"/>
          <w:szCs w:val="20"/>
        </w:rPr>
        <w:t xml:space="preserve">Patient, Clinic Administrator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Functional Requirements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1100"/>
        <w:gridCol w:w="4500"/>
        <w:gridCol w:w="4500"/>
      </w:tblGrid>
      <w:tr>
        <w:trPr>
          <w:tblHeader/>
        </w:trPr>
        <w:tc>
          <w:tcPr>
            <w:tcW w:type="dxa" w:w="9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5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45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9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FR-001</w:t>
            </w:r>
          </w:p>
        </w:tc>
        <w:tc>
          <w:tcPr>
            <w:tcW w:type="dxa" w:w="43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system shall allow patients to grant time-bounded (e.g., 24-hour) access permissions for specific diagnostic records to verified clinic doctors.</w:t>
            </w:r>
          </w:p>
        </w:tc>
        <w:tc>
          <w:tcPr>
            <w:tcW w:type="dxa" w:w="11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CE4E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Pass: Clinic access automatically revokes upon expiry timestamp.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Fail: Clinic accesses records after consent expiration.</w:t>
            </w:r>
          </w:p>
        </w:tc>
        <w:tc>
          <w:tcPr>
            <w:tcW w:type="dxa" w:w="45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Time-bound access enforces the principle of least privilege and minimizes exposure of sensitive health data beyond the clinically necessary window.</w:t>
            </w:r>
          </w:p>
        </w:tc>
      </w:tr>
      <w:tr>
        <w:tc>
          <w:tcPr>
            <w:tcW w:type="dxa" w:w="9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FR-002</w:t>
            </w:r>
          </w:p>
        </w:tc>
        <w:tc>
          <w:tcPr>
            <w:tcW w:type="dxa" w:w="43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system shall allow patients to revoke previously granted consent at any time before its natural expiry, with revocation taking effect immediately.</w:t>
            </w:r>
          </w:p>
        </w:tc>
        <w:tc>
          <w:tcPr>
            <w:tcW w:type="dxa" w:w="11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CE4E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Pass: Access attempt made 1 second after manual revocation is denied and logged.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Fail: Clinic/lab retains or regains access after the patient has revoked consent.</w:t>
            </w:r>
          </w:p>
        </w:tc>
        <w:tc>
          <w:tcPr>
            <w:tcW w:type="dxa" w:w="45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Patients must retain continuous control over their data; delayed or ineffective revocation would undermine patient autonomy and trust in the platform.</w:t>
            </w:r>
          </w:p>
        </w:tc>
      </w:tr>
      <w:tr>
        <w:tc>
          <w:tcPr>
            <w:tcW w:type="dxa" w:w="9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FR-003</w:t>
            </w:r>
          </w:p>
        </w:tc>
        <w:tc>
          <w:tcPr>
            <w:tcW w:type="dxa" w:w="43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system shall allow a Clinic Administrator to submit a consent access request for a named patient, specifying the requesting doctor, record scope, and requested duration.</w:t>
            </w:r>
          </w:p>
        </w:tc>
        <w:tc>
          <w:tcPr>
            <w:tcW w:type="dxa" w:w="11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CE4E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Pass: Request is created with a Pending status and the patient is notified within 60 seconds.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Fail: A request is auto-approved without patient notification, or is created without a defined scope/duration.</w:t>
            </w:r>
          </w:p>
        </w:tc>
        <w:tc>
          <w:tcPr>
            <w:tcW w:type="dxa" w:w="45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Structured, scoped requests ensure patients can make an informed decision and prevent open-ended or ambiguous access grants.</w:t>
            </w:r>
          </w:p>
        </w:tc>
      </w:tr>
      <w:tr>
        <w:tc>
          <w:tcPr>
            <w:tcW w:type="dxa" w:w="9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FR-004</w:t>
            </w:r>
          </w:p>
        </w:tc>
        <w:tc>
          <w:tcPr>
            <w:tcW w:type="dxa" w:w="43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system shall verify the identity and registration status of a requesting clinic/doctor against a verified-provider registry before any consent request can be created.</w:t>
            </w:r>
          </w:p>
        </w:tc>
        <w:tc>
          <w:tcPr>
            <w:tcW w:type="dxa" w:w="11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CE4E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Pass: Request from an unregistered or suspended provider ID is rejected with an error before reaching the patient.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Fail: A request from an unverified or suspended provider is presented to the patient for approval.</w:t>
            </w:r>
          </w:p>
        </w:tc>
        <w:tc>
          <w:tcPr>
            <w:tcW w:type="dxa" w:w="45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Verifying provider identity prevents impersonation and social-engineering attacks that could otherwise bypass patient consent through fraudulent requests.</w:t>
            </w:r>
          </w:p>
        </w:tc>
      </w:tr>
      <w:tr>
        <w:tc>
          <w:tcPr>
            <w:tcW w:type="dxa" w:w="9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FR-005</w:t>
            </w:r>
          </w:p>
        </w:tc>
        <w:tc>
          <w:tcPr>
            <w:tcW w:type="dxa" w:w="43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system shall notify the patient in real time (push/SMS/email) whenever a new access request is received, and whenever a granted consent is nearing expiry (e.g., 1 hour before).</w:t>
            </w:r>
          </w:p>
        </w:tc>
        <w:tc>
          <w:tcPr>
            <w:tcW w:type="dxa" w:w="11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DF3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Pass: Patient receives a notification within 60 seconds of a new request and a reminder before expiry.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Fail: Patient is not notified of a pending request or of an upcoming consent expiry.</w:t>
            </w:r>
          </w:p>
        </w:tc>
        <w:tc>
          <w:tcPr>
            <w:tcW w:type="dxa" w:w="45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Timely notification ensures patients can act on requests promptly and consciously decide whether to renew or let access lapse, supporting informed consent.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Non-Functional Requirements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600"/>
        <w:gridCol w:w="1100"/>
        <w:gridCol w:w="3700"/>
        <w:gridCol w:w="3800"/>
      </w:tblGrid>
      <w:tr>
        <w:trPr>
          <w:tblHeader/>
        </w:trPr>
        <w:tc>
          <w:tcPr>
            <w:tcW w:type="dxa" w:w="9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7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38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9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NFR-001</w:t>
            </w:r>
          </w:p>
        </w:tc>
        <w:tc>
          <w:tcPr>
            <w:tcW w:type="dxa" w:w="22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Security &amp; Auditability</w:t>
            </w:r>
          </w:p>
        </w:tc>
        <w:tc>
          <w:tcPr>
            <w:tcW w:type="dxa" w:w="36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consent grant, revoke, and access events shall be permanently written to an append-only, tamper-evident audit trail.</w:t>
            </w:r>
          </w:p>
        </w:tc>
        <w:tc>
          <w:tcPr>
            <w:tcW w:type="dxa" w:w="11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CE4E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37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Pass: Benchmarking tests confirm target latency and security standards under simulated peak load; audit records cannot be modified or deleted post-write.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Fail: An audit record is altered, deleted, or fails to be written for any consent-related event.</w:t>
            </w:r>
          </w:p>
        </w:tc>
        <w:tc>
          <w:tcPr>
            <w:tcW w:type="dxa" w:w="38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Immutable audit logs are essential for regulatory compliance (e.g., HIPAA/DPDP-style regulations), dispute resolution, and detecting unauthorized access after the fact.</w:t>
            </w:r>
          </w:p>
        </w:tc>
      </w:tr>
      <w:tr>
        <w:tc>
          <w:tcPr>
            <w:tcW w:type="dxa" w:w="9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NFR-002</w:t>
            </w:r>
          </w:p>
        </w:tc>
        <w:tc>
          <w:tcPr>
            <w:tcW w:type="dxa" w:w="22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Performance &amp; Availability</w:t>
            </w:r>
          </w:p>
        </w:tc>
        <w:tc>
          <w:tcPr>
            <w:tcW w:type="dxa" w:w="36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system shall evaluate and enforce consent validity (grant/expiry/revocation checks) for any record access request within 300ms at the 95th percentile, and maintain 99.9% monthly uptime for the consent-verification service.</w:t>
            </w:r>
          </w:p>
        </w:tc>
        <w:tc>
          <w:tcPr>
            <w:tcW w:type="dxa" w:w="11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CE4E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37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Pass: Load testing confirms P95 consent-check latency ≤ 300ms and measured uptime ≥ 99.9% over a rolling 30-day window.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Fail: Consent verification exceeds 300ms at P95 under peak load, or monthly uptime falls below 99.9%.</w:t>
            </w:r>
          </w:p>
        </w:tc>
        <w:tc>
          <w:tcPr>
            <w:tcW w:type="dxa" w:w="38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Since every diagnostic/clinical access is gated by a live consent check, slow or unavailable verification directly delays patient care in time-sensitive clinical workflows.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720" w:right="620" w:bottom="7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Patient Health Record Consent Management System</w:t>
    </w:r>
    <w:r>
      <w:rPr>
        <w:rFonts w:ascii="Calibri" w:cs="Calibri" w:eastAsia="Calibri" w:hAnsi="Calibri"/>
        <w:color w:val="595959"/>
        <w:sz w:val="16"/>
        <w:szCs w:val="16"/>
      </w:rPr>
      <w:t xml:space="preserve">	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2026-08-27T09:35:12.183Z</dcterms:created>
  <dcterms:modified xsi:type="dcterms:W3CDTF">2026-08-27T09:35:12.194Z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