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cs="Gentium Plus" w:ascii="Gentium Basic" w:hAnsi="Gentium Basic"/>
          <w:b/>
        </w:rPr>
      </w:pPr>
      <w:bookmarkStart w:id="0" w:name="_GoBack"/>
      <w:bookmarkEnd w:id="0"/>
      <w:r>
        <w:rPr>
          <w:rFonts w:cs="Gentium Plus" w:ascii="Gentium Basic" w:hAnsi="Gentium Basic"/>
          <w:b/>
        </w:rPr>
        <w:t>Day 6 Morning: The Five Aggregates Affected by Clinging</w:t>
      </w:r>
    </w:p>
    <w:p>
      <w:pPr>
        <w:pStyle w:val="Normal"/>
        <w:spacing w:lineRule="auto" w:line="360"/>
        <w:rPr>
          <w:rFonts w:cs="Gentium Plus" w:ascii="Gentium Plus" w:hAnsi="Gentium Plus"/>
        </w:rPr>
      </w:pPr>
      <w:r>
        <w:rPr>
          <w:rFonts w:cs="Gentium Plus" w:ascii="Gentium Plus" w:hAnsi="Gentium Plus"/>
        </w:rPr>
      </w:r>
    </w:p>
    <w:p>
      <w:pPr>
        <w:pStyle w:val="Normal"/>
        <w:spacing w:lineRule="auto" w:line="360"/>
        <w:ind w:left="0" w:right="0" w:firstLine="720"/>
        <w:rPr>
          <w:rFonts w:cs="Gentium Plus" w:ascii="Gentium Plus" w:hAnsi="Gentium Plus"/>
        </w:rPr>
      </w:pPr>
      <w:r>
        <w:rPr>
          <w:rFonts w:cs="Gentium Plus" w:ascii="Gentium Plus" w:hAnsi="Gentium Plus"/>
        </w:rPr>
        <w:t xml:space="preserve">Last night during the question and answer session, there was a question asking about a reference for a sutta that talked about “path and fruit” and the stages of liberation: the path of liberation and the fruit of liberation. So I went back last night and scoured some books. There was also a question the other night about what is fun about being a monk, and I had fun last night. </w:t>
      </w:r>
    </w:p>
    <w:p>
      <w:pPr>
        <w:pStyle w:val="Normal"/>
        <w:spacing w:lineRule="auto" w:line="360"/>
        <w:ind w:left="0" w:right="0" w:firstLine="720"/>
        <w:rPr>
          <w:rFonts w:cs="Gentium Plus" w:ascii="Gentium Plus" w:hAnsi="Gentium Plus"/>
        </w:rPr>
      </w:pPr>
      <w:r>
        <w:rPr>
          <w:rFonts w:cs="Gentium Plus" w:ascii="Gentium Plus" w:hAnsi="Gentium Plus"/>
        </w:rPr>
        <w:t xml:space="preserve">This sutta is something people may have heard referenced in different places. The Buddha is giving a discourse about the eight wonderful and marvelous qualities of the ocean. One that is well known is that the ocean has but one taste, the taste of salt. And just as the ocean has one taste, the taste of salt, even so this Dhamma and discipline, which is what the Buddha called his dispensation, has but one taste: the taste of liberation. </w:t>
      </w:r>
    </w:p>
    <w:p>
      <w:pPr>
        <w:pStyle w:val="Normal"/>
        <w:spacing w:lineRule="auto" w:line="360"/>
        <w:ind w:left="0" w:right="0" w:firstLine="720"/>
        <w:rPr>
          <w:rFonts w:cs="Gentium Plus" w:ascii="Gentium Plus" w:hAnsi="Gentium Plus"/>
          <w:shd w:fill="auto" w:val="clear"/>
        </w:rPr>
      </w:pPr>
      <w:r>
        <w:rPr>
          <w:rFonts w:cs="Gentium Plus" w:ascii="Gentium Plus" w:hAnsi="Gentium Plus"/>
        </w:rPr>
        <w:t>The eighth quality is that: “Just as the great ocean is the abode of great beings, even so this Dhamma and discipline is the abode of great beings: the stream-enterer and the one practicing for the realization of the fruit of stream-entry; the once-returner and the one practicing for the realization of the fruit of once-returning; the non-returner and the one practicing for the fruit of non-returning; the arahant and the one practicing for arahantship. This is the eighth wonderful and marvelous quality of this Dhamma and discipline, which the monks perceive again and again, and by reason of which they take delight.” (</w:t>
      </w:r>
      <w:r>
        <w:rPr>
          <w:rFonts w:cs="Gentium Plus" w:ascii="Gentium Plus" w:hAnsi="Gentium Plus"/>
          <w:shd w:fill="auto" w:val="clear"/>
        </w:rPr>
        <w:t xml:space="preserve">A 8.19)  </w:t>
      </w:r>
    </w:p>
    <w:p>
      <w:pPr>
        <w:pStyle w:val="Normal"/>
        <w:spacing w:lineRule="auto" w:line="360"/>
        <w:ind w:left="0" w:right="0" w:firstLine="720"/>
        <w:rPr>
          <w:rFonts w:cs="Gentium Plus" w:ascii="Gentium Plus" w:hAnsi="Gentium Plus"/>
        </w:rPr>
      </w:pPr>
      <w:r>
        <w:rPr>
          <w:rFonts w:cs="Gentium Plus" w:ascii="Gentium Plus" w:hAnsi="Gentium Plus"/>
        </w:rPr>
        <w:t>As I was poking around, I came across a delightful sutta that I thought I would read this morning, which also concerns the fruits of realization and, in particular, the first access into the realization of stream-entry. (A 6.10)</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On one occasion the Blessed One was dwelling among the Sakyans at Kapilavattu in the Banyan Tree Park. [That was his hometown.] Then Mahānāma the Sakyan approached the Blessed One, paid homage to him, sat down to one side, and said to the Blessed One:</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Bhante, how does a noble disciple, who has arrived at the fruit and understood the teaching, often dwell?” [That is, the realization of stream-entry.]</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 xml:space="preserve">Mahānāma, a noble disciple, who has arrived at the fruit and understood the teaching, often dwells in this way: </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Here, Mahānāma, a noble disciple recollects the Tathāgata thus: ‘The Blessed One is an arahant, perfectly enlightened, accomplished in true knowledge and conduct, fortunate, knower of the world, unsurpassed trainer of persons to be tamed, teacher of devas and humans, the Enlightened One, the Blessed One.’   When a noble disciple recognizes the Tathāgata thus, on that occasion his mind is not obsessed with lust, hatred or delusion; on that occasion his mind is simply straight, based on the Tathāgata. A noble disciple whose mind is straight gains inspiration in the meaning, gains inspiration in the Dhamma, gains joy connected with the Dhamma. When he is joyful, rapture arises. For one with a rapturous mind, the body becomes tranquil. One tranquil in body feels pleasure. For one feeling pleasure, the mind becomes concentrated. This is called a noble disciple who dwells in balance amid an unbalanced population, who dwells unafflicted amid an afflicted population. As one who has entered upon the stream of the Dhamma, he develops recollection of the Buddha.</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 xml:space="preserve">Again, Mahānāma, a noble disciple recollects the Dhamma thus: ‘The Dhamma is well expounded by the Blessed One, directly visible, immediate, inviting one to come and see, applicable, to be personally experienced by the wise.’ When a noble disciple recollects the Dhamma, on that occasion his mind is not obsessed by lust, hatred, and delusion; on that occasion his mind is simply straight, based on the Dhamma. . . This is called a noble disciple who dwells in balance amid an unbalanced population, who dwells unafflicted amid an afflicted population. As one who has entered upon the stream of the Dhamma, he develops recollection of the Dhamma. </w:t>
      </w:r>
    </w:p>
    <w:p>
      <w:pPr>
        <w:pStyle w:val="Normal"/>
        <w:spacing w:lineRule="auto" w:line="360"/>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 xml:space="preserve">Again, Mahānāma, a noble disciple recollects the Sangha thus: ‘The Sangha of the Blessed One’s disciples is practicing the good way, practicing the straight way, practicing the true way, practicing the proper way; that is, the four pairs of persons, the eight types of individuals—this Sangha of the Blessed One’s disciples is worthy of gifts, worthy of hospitality, worthy of offerings, worthy of reverential salutation, the unsurpassed field of merit for the world.’ When a noble disciple recollects the Sangha, on that occasion his mind is not obsessed by lust, hatred, and delusion; on that occasion his mind is simply straight, based on the Sangha. . . This is called a noble disciple who dwells in balance amid an unbalanced population, who dwells unafflicted amid an afflicted population. As one who has entered upon the stream of the Dhamma, he develops recollection of the Sangha.  </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Again, Mahānāma, a noble disciple recollects his own virtuous behavior as unbroken, flawless, unblemished, unblotched, freeing, praised by the wise, ungrasped, leading to concentration. When a noble disciple recollects his virtuous behavior, on that occasion his mind is not obsessed by lust, hatred, and delusion; on that occasion his mind is simply straight, based on virtuous behavior. . . This is called a noble disciple who dwells in balance amid an unbalanced population, who dwells unafflicted amid an afflicted population. As one who has entered of the stream of the Dhamma, he develops recollection of virtuous behavior.</w:t>
      </w:r>
    </w:p>
    <w:p>
      <w:pPr>
        <w:pStyle w:val="Normal"/>
        <w:ind w:left="720" w:right="0" w:hanging="0"/>
        <w:rPr>
          <w:rFonts w:cs="Gentium Plus" w:ascii="Gentium Plus" w:hAnsi="Gentium Plus"/>
        </w:rPr>
      </w:pPr>
      <w:r>
        <w:rPr>
          <w:rFonts w:cs="Gentium Plus" w:ascii="Gentium Plus" w:hAnsi="Gentium Plus"/>
        </w:rPr>
        <w:t xml:space="preserve"> </w:t>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Again, Mahānāma, a noble recollects his own generosity thus: ‘It is truly my good fortune and gain that in a population obsessed by the stain of miserliness, I dwell at home with a mind devoid of the stain of miserliness, freely generous, openhanded, delighting in relinquishment, devoted to charity, delighting in giving and sharing.’ When a noble disciple recollects his own generosity, on that occasion his mind is not obsessed by lust, hatred, and delusion; on that occasion his mind is simply straight, based on generosity. . . This is called a noble disciple who dwells in balance amid an unbalanced population, who dwells unafflicted amid an afflicted population. As one who has entered of the stream of the Dhamma, he develops recollection of generosity.</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 xml:space="preserve">Again, Mahānāma, a noble disciple recollects the deities thus: ‘There are devas [ruled by] the four great kings, Tāvatiṃsa devas, Yāma devas, Tusita devas, devas who delight in creation, devas who control what is created by others, devas of Brahmā’s company, and devas still higher than these. There exists in me too such faith as those deities possessed because of which, when they passed away here, they were born there. There is found in me such virtuous behavior. . . such learning. . . such generosity. . . such wisdom as those deities possessed because of which, when they passed away from here, they were reborn there.’ When a noble disciple recollects the faith, virtuous behavior, learning, generosity, and wisdom in himself and in those deities, on that occasion his mind is not obsessed by lust, hatred, and delusion; on that occasion his mind is simply straight, based on the deities. A noble disciple whose mind is straight gains inspiration in the meaning, gains inspiration in the Dhamma, gains joy connected with the Dhamma. When he is joyful, rapture arises. For one with a rapturous mind, the body becomes tranquil. One tranquil in body feels pleasure. For one feeling pleasure, the mind becomes concentrated. This is called a noble disciple who dwells in balance amid an unbalanced population, who dwells unafflicted amid an afflicted population. As one who has entered the stream of the Dhamma, he develops recollection of the deities. </w:t>
      </w:r>
    </w:p>
    <w:p>
      <w:pPr>
        <w:pStyle w:val="Normal"/>
        <w:ind w:left="720" w:right="0" w:hanging="0"/>
        <w:rPr>
          <w:rFonts w:cs="Gentium Plus" w:ascii="Gentium Plus" w:hAnsi="Gentium Plus"/>
        </w:rPr>
      </w:pPr>
      <w:r>
        <w:rPr>
          <w:rFonts w:cs="Gentium Plus" w:ascii="Gentium Plus" w:hAnsi="Gentium Plus"/>
        </w:rPr>
      </w:r>
    </w:p>
    <w:p>
      <w:pPr>
        <w:pStyle w:val="Normal"/>
        <w:ind w:left="720" w:right="0" w:hanging="0"/>
        <w:rPr>
          <w:rFonts w:cs="Gentium Plus" w:ascii="Gentium Plus" w:hAnsi="Gentium Plus"/>
        </w:rPr>
      </w:pPr>
      <w:r>
        <w:rPr>
          <w:rFonts w:cs="Gentium Plus" w:ascii="Gentium Plus" w:hAnsi="Gentium Plus"/>
        </w:rPr>
        <w:t>“</w:t>
      </w:r>
      <w:r>
        <w:rPr>
          <w:rFonts w:cs="Gentium Plus" w:ascii="Gentium Plus" w:hAnsi="Gentium Plus"/>
        </w:rPr>
        <w:t>Mahānāma, a noble disciple, who has arrived at the fruit and understood the teaching, often dwells in just this way.” (A 6.</w:t>
      </w:r>
      <w:commentRangeStart w:id="0"/>
      <w:r>
        <w:rPr>
          <w:rFonts w:cs="Gentium Plus" w:ascii="Gentium Plus" w:hAnsi="Gentium Plus"/>
        </w:rPr>
        <w:t>10</w:t>
      </w:r>
      <w:commentRangeEnd w:id="0"/>
      <w:r>
        <w:rPr>
          <w:rFonts w:cs="Gentium Plus" w:ascii="Gentium Plus" w:hAnsi="Gentium Plus"/>
        </w:rPr>
      </w:r>
      <w:r>
        <w:rPr>
          <w:rFonts w:cs="Gentium Plus" w:ascii="Gentium Plus" w:hAnsi="Gentium Plus"/>
        </w:rPr>
        <w:commentReference w:id="0"/>
      </w:r>
      <w:r>
        <w:rPr>
          <w:rFonts w:cs="Gentium Plus" w:ascii="Gentium Plus" w:hAnsi="Gentium Plus"/>
        </w:rPr>
        <w:commentReference w:id="1"/>
      </w:r>
      <w:r>
        <w:rPr>
          <w:rFonts w:cs="Gentium Plus" w:ascii="Gentium Plus" w:hAnsi="Gentium Plus"/>
        </w:rPr>
        <w:t>)</w:t>
      </w:r>
    </w:p>
    <w:p>
      <w:pPr>
        <w:pStyle w:val="Normal"/>
        <w:spacing w:lineRule="auto" w:line="360"/>
        <w:ind w:left="0" w:right="0" w:firstLine="720"/>
        <w:rPr>
          <w:rFonts w:cs="Gentium Plus" w:ascii="Gentium Plus" w:hAnsi="Gentium Plus"/>
        </w:rPr>
      </w:pPr>
      <w:r>
        <w:rPr>
          <w:rFonts w:cs="Gentium Plus" w:ascii="Gentium Plus" w:hAnsi="Gentium Plus"/>
        </w:rPr>
      </w:r>
    </w:p>
    <w:p>
      <w:pPr>
        <w:pStyle w:val="Normal"/>
        <w:spacing w:lineRule="auto" w:line="360"/>
        <w:ind w:left="0" w:right="0" w:firstLine="720"/>
        <w:rPr>
          <w:rFonts w:cs="Gentium Plus" w:ascii="Gentium Plus" w:hAnsi="Gentium Plus"/>
        </w:rPr>
      </w:pPr>
      <w:r>
        <w:rPr>
          <w:rFonts w:cs="Gentium Plus" w:ascii="Gentium Plus" w:hAnsi="Gentium Plus"/>
        </w:rPr>
        <w:t xml:space="preserve">One of the things that I like to point out is that, particularly in terms of meditation, there are different recollections such as these to which we can direct our attention and then there is gladness connected with the Dhamma, arising on account of that. When there is gladness, then rapture arises. When one is uplifted in rapture, the body becomes calm. One who is calm in body feels happy. For one who is happy, the mind becomes concentrated. </w:t>
      </w:r>
    </w:p>
    <w:p>
      <w:pPr>
        <w:pStyle w:val="Normal"/>
        <w:spacing w:lineRule="auto" w:line="360"/>
        <w:ind w:left="0" w:right="0" w:firstLine="720"/>
        <w:rPr>
          <w:rFonts w:cs="Gentium Plus" w:ascii="Gentium Plus" w:hAnsi="Gentium Plus"/>
        </w:rPr>
      </w:pPr>
      <w:r>
        <w:rPr>
          <w:rFonts w:cs="Gentium Plus" w:ascii="Gentium Plus" w:hAnsi="Gentium Plus"/>
        </w:rPr>
        <w:t xml:space="preserve">That is usually backwards from how we approach our meditation. “When I get my </w:t>
      </w:r>
      <w:r>
        <w:rPr>
          <w:rFonts w:cs="Gentium Plus" w:ascii="Gentium Plus" w:hAnsi="Gentium Plus"/>
          <w:i/>
        </w:rPr>
        <w:t>samādhi</w:t>
      </w:r>
      <w:r>
        <w:rPr>
          <w:rFonts w:cs="Gentium Plus" w:ascii="Gentium Plus" w:hAnsi="Gentium Plus"/>
        </w:rPr>
        <w:t xml:space="preserve">, then I’m going to be happy.” All the effort is put into trying to get the mind to comply with the wish to be still and concentrated. Rather, we should pay attention to those qualities that bring a sense of well-being, gladness, calming, and happiness. Concentration arises out of that. That is a way of establishing well-being, allowing the mind to settle from there. </w:t>
      </w:r>
    </w:p>
    <w:p>
      <w:pPr>
        <w:pStyle w:val="Normal"/>
        <w:spacing w:lineRule="auto" w:line="360"/>
        <w:ind w:left="0" w:right="0" w:firstLine="720"/>
        <w:rPr>
          <w:rFonts w:cs="Gentium Plus" w:ascii="Gentium Plus" w:hAnsi="Gentium Plus"/>
        </w:rPr>
      </w:pPr>
      <w:r>
        <w:rPr>
          <w:rFonts w:cs="Gentium Plus" w:ascii="Gentium Plus" w:hAnsi="Gentium Plus"/>
        </w:rPr>
        <w:t xml:space="preserve">On a certain level, the gladness connected to the Dhamma is also from seeing more clearly how these different things fit together. What is the obstruction to cultivating loving-kindness? Almost invariably, it will be the sense of self that impinges on consciousness, and not just impinges on consciousness, but looms. Reflect that the nature of how we construct a sense of self is a burden and reflect on that in terms of Dhamma, with respect to the five khandhas. </w:t>
      </w:r>
    </w:p>
    <w:p>
      <w:pPr>
        <w:pStyle w:val="Normal"/>
        <w:spacing w:lineRule="auto" w:line="360"/>
        <w:ind w:left="0" w:right="0" w:firstLine="720"/>
        <w:rPr>
          <w:rFonts w:cs="Gentium Plus" w:ascii="Gentium Plus" w:hAnsi="Gentium Plus"/>
        </w:rPr>
      </w:pPr>
      <w:r>
        <w:rPr>
          <w:rFonts w:cs="Gentium Plus" w:ascii="Gentium Plus" w:hAnsi="Gentium Plus"/>
        </w:rPr>
        <w:t xml:space="preserve">When we do the morning chanting, we go through all of the different aspects of suffering. Then the chant ties it all up, saying, “In brief, the five focuses of the grasping mind are dukkha.” This is a recognition that these </w:t>
      </w:r>
      <w:r>
        <w:rPr>
          <w:rFonts w:cs="Gentium Plus" w:ascii="Gentium Plus" w:hAnsi="Gentium Plus"/>
          <w:i/>
        </w:rPr>
        <w:t>pañcup</w:t>
      </w:r>
      <w:r>
        <w:rPr>
          <w:rFonts w:cs="Gentium Plus" w:ascii="Gentium Plus" w:hAnsi="Gentium Plus"/>
          <w:i/>
          <w:iCs/>
        </w:rPr>
        <w:t>ā</w:t>
      </w:r>
      <w:r>
        <w:rPr>
          <w:rFonts w:cs="Gentium Plus" w:ascii="Gentium Plus" w:hAnsi="Gentium Plus"/>
          <w:i/>
        </w:rPr>
        <w:t>d</w:t>
      </w:r>
      <w:r>
        <w:rPr>
          <w:rFonts w:cs="Gentium Plus" w:ascii="Gentium Plus" w:hAnsi="Gentium Plus"/>
          <w:i/>
          <w:iCs/>
        </w:rPr>
        <w:t>ā</w:t>
      </w:r>
      <w:r>
        <w:rPr>
          <w:rFonts w:cs="Gentium Plus" w:ascii="Gentium Plus" w:hAnsi="Gentium Plus"/>
          <w:i/>
        </w:rPr>
        <w:t>na khandhā</w:t>
      </w:r>
      <w:r>
        <w:rPr>
          <w:rFonts w:cs="Gentium Plus" w:ascii="Gentium Plus" w:hAnsi="Gentium Plus"/>
        </w:rPr>
        <w:t xml:space="preserve"> (the aggregates of being) are affected by grasping, clinging, and attachment. The identification with body, feeling, perception, mental formations, and consciousness—the habit of attachment and clinging—is what is intrinsically bound up with suffering, dissatisfaction, and discontent, and then spills out into all of the various forms of afflicted emotional states. So investigate those five aggregates of being or khandhas. </w:t>
      </w:r>
    </w:p>
    <w:p>
      <w:pPr>
        <w:pStyle w:val="Normal"/>
        <w:spacing w:lineRule="auto" w:line="360"/>
        <w:ind w:left="0" w:right="0" w:firstLine="720"/>
        <w:rPr>
          <w:rFonts w:cs="Gentium Plus" w:ascii="Gentium Plus" w:hAnsi="Gentium Plus"/>
        </w:rPr>
      </w:pPr>
      <w:r>
        <w:rPr>
          <w:rFonts w:cs="Gentium Plus" w:ascii="Gentium Plus" w:hAnsi="Gentium Plus"/>
        </w:rPr>
        <w:t xml:space="preserve">There is a discourse (S 22.100) in which the Buddha gives an image of a dog being tied to a post. Whether that dog lies down, stands up, sits, or walks, it is tied to that post. And the Buddha says as long as we are bound up and tied to those five khandhas—identification with the body, feelings, perceptions, mental formations, and consciousness—then in the same way, whether we walk, stand, sit, or lie down, we’re bound with suffering, discontent, and dissatisfaction: dukkha. </w:t>
      </w:r>
    </w:p>
    <w:p>
      <w:pPr>
        <w:pStyle w:val="Normal"/>
        <w:spacing w:lineRule="auto" w:line="360"/>
        <w:ind w:left="0" w:right="0" w:firstLine="720"/>
        <w:rPr>
          <w:rFonts w:cs="Gentium Plus" w:ascii="Gentium Plus" w:hAnsi="Gentium Plus"/>
        </w:rPr>
      </w:pPr>
      <w:r>
        <w:rPr>
          <w:rFonts w:cs="Gentium Plus" w:ascii="Gentium Plus" w:hAnsi="Gentium Plus"/>
        </w:rPr>
        <w:t xml:space="preserve">That whole process of identification with body, feelings, perceptions, mental formations, and consciousness—“this is mine, this is what I am, this is myself”—is inevitably productive of suffering. It’s inherent. It’s intrinsic. It can’t be any other way. </w:t>
      </w:r>
    </w:p>
    <w:p>
      <w:pPr>
        <w:pStyle w:val="Normal"/>
        <w:spacing w:lineRule="auto" w:line="360"/>
        <w:ind w:left="0" w:right="0" w:firstLine="720"/>
        <w:rPr>
          <w:rFonts w:cs="Gentium Plus" w:ascii="Gentium Plus" w:hAnsi="Gentium Plus"/>
        </w:rPr>
      </w:pPr>
      <w:r>
        <w:rPr>
          <w:rFonts w:cs="Gentium Plus" w:ascii="Gentium Plus" w:hAnsi="Gentium Plus"/>
        </w:rPr>
        <w:t xml:space="preserve">So recognize how clinging, attachment, and identification keep coalescing and forming, establishing themselves. And then recognize that there is an opportunity of non-clinging, non-attachment. </w:t>
      </w:r>
    </w:p>
    <w:p>
      <w:pPr>
        <w:pStyle w:val="Normal"/>
        <w:spacing w:lineRule="auto" w:line="360"/>
        <w:ind w:left="0" w:right="0" w:firstLine="720"/>
        <w:rPr>
          <w:rFonts w:cs="Gentium Plus" w:ascii="Gentium Plus" w:hAnsi="Gentium Plus"/>
        </w:rPr>
      </w:pPr>
      <w:r>
        <w:rPr>
          <w:rFonts w:cs="Gentium Plus" w:ascii="Gentium Plus" w:hAnsi="Gentium Plus"/>
        </w:rPr>
        <w:t>“</w:t>
      </w:r>
      <w:r>
        <w:rPr>
          <w:rFonts w:cs="Gentium Plus" w:ascii="Gentium Plus" w:hAnsi="Gentium Plus"/>
        </w:rPr>
        <w:t xml:space="preserve">How do I do that? How do I not cling to everything I conceive of as myself?” </w:t>
      </w:r>
    </w:p>
    <w:p>
      <w:pPr>
        <w:pStyle w:val="Normal"/>
        <w:spacing w:lineRule="auto" w:line="360"/>
        <w:ind w:left="0" w:right="0" w:firstLine="720"/>
        <w:rPr>
          <w:rFonts w:cs="Gentium Plus" w:ascii="Gentium Plus" w:hAnsi="Gentium Plus"/>
        </w:rPr>
      </w:pPr>
      <w:r>
        <w:rPr>
          <w:rFonts w:cs="Gentium Plus" w:ascii="Gentium Plus" w:hAnsi="Gentium Plus"/>
        </w:rPr>
        <w:t xml:space="preserve">If you have ever gone on a long hike with too much stuff, when you put that pack on, you think, “It’s a bit heavy, but it’s okay.” But you keep walking and the pack gets heavier and heavier. And you say, “Well, I shouldn’t have taken this much stuff, but maybe I’ll need it.” You keep carrying it and carrying it, and you think, “I’ve got to get rid of some of this stuff.” You let it go because you can’t carry it any longer. </w:t>
      </w:r>
    </w:p>
    <w:p>
      <w:pPr>
        <w:pStyle w:val="Normal"/>
        <w:spacing w:lineRule="auto" w:line="360"/>
        <w:ind w:left="0" w:right="0" w:firstLine="720"/>
        <w:rPr>
          <w:rFonts w:cs="Gentium Plus" w:ascii="Gentium Plus" w:hAnsi="Gentium Plus"/>
        </w:rPr>
      </w:pPr>
      <w:r>
        <w:rPr>
          <w:rFonts w:cs="Gentium Plus" w:ascii="Gentium Plus" w:hAnsi="Gentium Plus"/>
        </w:rPr>
        <w:t xml:space="preserve">It’s the same thing with attachment and clinging when you realize that this is a burden and you don’t really want to carry it any longer. You’re willing to put it down, get rid of it, drop it. That’s the good news. The bad news is we usually have to wait until we are really willing to put it down. </w:t>
      </w:r>
    </w:p>
    <w:p>
      <w:pPr>
        <w:pStyle w:val="Normal"/>
        <w:spacing w:lineRule="auto" w:line="360"/>
        <w:ind w:left="0" w:right="0" w:firstLine="720"/>
        <w:rPr>
          <w:rFonts w:cs="Gentium Plus" w:ascii="Gentium Plus" w:hAnsi="Gentium Plus"/>
        </w:rPr>
      </w:pPr>
      <w:r>
        <w:rPr>
          <w:rFonts w:cs="Gentium Plus" w:ascii="Gentium Plus" w:hAnsi="Gentium Plus"/>
        </w:rPr>
        <w:t xml:space="preserve">The Buddha had us reflect on and investigate these aspects of the khandhas and their emptiness, their ephemeral nature. The Buddha once offered a discourse (S 22.95) when he was by a river. As often happens, there was some foam on the river, and the Buddha used that as an example. </w:t>
      </w:r>
    </w:p>
    <w:p>
      <w:pPr>
        <w:pStyle w:val="Normal"/>
        <w:spacing w:lineRule="auto" w:line="360"/>
        <w:ind w:left="0" w:right="0" w:firstLine="720"/>
        <w:rPr>
          <w:rFonts w:cs="Gentium Plus" w:ascii="Gentium Plus" w:hAnsi="Gentium Plus"/>
        </w:rPr>
      </w:pPr>
      <w:r>
        <w:rPr>
          <w:rFonts w:cs="Gentium Plus" w:ascii="Gentium Plus" w:hAnsi="Gentium Plus"/>
        </w:rPr>
        <w:t>“</w:t>
      </w:r>
      <w:r>
        <w:rPr>
          <w:rFonts w:cs="Gentium Plus" w:ascii="Gentium Plus" w:hAnsi="Gentium Plus"/>
        </w:rPr>
        <w:t xml:space="preserve">See that foam on the river? That foam is just like our bodies. That foam is insubstantial, empty, and hollow. In the same way our bodies are just like that.” If we reflect on the nature of the body, it seems substantial. As we age and get sick, we see that there is really not much here. All of the different cells and other bodily constituents are really insubstantial. </w:t>
      </w:r>
    </w:p>
    <w:p>
      <w:pPr>
        <w:pStyle w:val="Normal"/>
        <w:spacing w:lineRule="auto" w:line="360"/>
        <w:ind w:left="0" w:right="0" w:firstLine="720"/>
        <w:rPr>
          <w:rFonts w:cs="Gentium Plus" w:ascii="Gentium Plus" w:hAnsi="Gentium Plus"/>
        </w:rPr>
      </w:pPr>
      <w:r>
        <w:rPr>
          <w:rFonts w:cs="Gentium Plus" w:ascii="Gentium Plus" w:hAnsi="Gentium Plus"/>
        </w:rPr>
        <w:t xml:space="preserve">The same is true with feeling. In Asia, the monsoon season brings big, fat, heavy raindrops. When the rain comes down, little bubbles come up. Feeling is like those bubbles. A little bubble forms and it bursts. Another little bubble forms and it bursts. That’s exactly like feeling. </w:t>
      </w:r>
    </w:p>
    <w:p>
      <w:pPr>
        <w:pStyle w:val="Normal"/>
        <w:spacing w:lineRule="auto" w:line="360"/>
        <w:ind w:left="0" w:right="0" w:firstLine="720"/>
        <w:rPr>
          <w:rFonts w:cs="Gentium Plus" w:ascii="Gentium Plus" w:hAnsi="Gentium Plus"/>
        </w:rPr>
      </w:pPr>
      <w:r>
        <w:rPr>
          <w:rFonts w:cs="Gentium Plus" w:ascii="Gentium Plus" w:hAnsi="Gentium Plus"/>
        </w:rPr>
        <w:t>It’s good to clarify that “feeling” refers specifically to pleasant, painful, and neutral feeling. It’s a basic quality of experience, of sensation—not feelings in terms of emotions. It’s the basic tone of any kind of contact: pleasant, painful, or neutral. Sights, sounds, smells, taste, touch, and mind objects: there’s always an associated feeling tone. Because those experiences are arising and ceasing, the feeling tone is arising and ceasing. They are little bubbles arising and popping, arising and popping. We tend to react and respond to them with our preferences, so we end up layering that very simple feeling tone with our likes and dislikes, wanting and not wanting. But if we reflect, there is just a basic feeling, arising and ceasing.</w:t>
      </w:r>
    </w:p>
    <w:p>
      <w:pPr>
        <w:pStyle w:val="Normal"/>
        <w:spacing w:lineRule="auto" w:line="360"/>
        <w:ind w:left="0" w:right="0" w:firstLine="720"/>
        <w:rPr>
          <w:rFonts w:cs="Gentium Plus" w:ascii="Gentium Plus" w:hAnsi="Gentium Plus"/>
        </w:rPr>
      </w:pPr>
      <w:r>
        <w:rPr>
          <w:rFonts w:cs="Gentium Plus" w:ascii="Gentium Plus" w:hAnsi="Gentium Plus"/>
        </w:rPr>
        <w:t xml:space="preserve">The Buddha compares perception to a mirage, like in the hot season in India or in America out on the plains. I guess the Central Valley would get enough heat to form a mirage, images that shimmer in the distance. It looks like something, and then when you get closer, it’s not that. </w:t>
      </w:r>
    </w:p>
    <w:p>
      <w:pPr>
        <w:pStyle w:val="Normal"/>
        <w:spacing w:lineRule="auto" w:line="360"/>
        <w:ind w:left="0" w:right="0" w:firstLine="720"/>
        <w:rPr>
          <w:rFonts w:cs="Gentium Plus" w:ascii="Gentium Plus" w:hAnsi="Gentium Plus"/>
        </w:rPr>
      </w:pPr>
      <w:r>
        <w:rPr>
          <w:rFonts w:cs="Gentium Plus" w:ascii="Gentium Plus" w:hAnsi="Gentium Plus"/>
        </w:rPr>
        <w:t xml:space="preserve">Perception is also bound up with memory, giving meaning to things, which we build through memory: how we value and give importance to things, how we hold them through the nature of perception. There’s not really a thinking process going on with that. We perceive something in a certain way, affected by memory and how we have perceived it over time as well. </w:t>
      </w:r>
    </w:p>
    <w:p>
      <w:pPr>
        <w:pStyle w:val="Normal"/>
        <w:spacing w:lineRule="auto" w:line="360"/>
        <w:ind w:left="0" w:right="0" w:firstLine="720"/>
        <w:rPr>
          <w:rFonts w:cs="Gentium Plus" w:ascii="Gentium Plus" w:hAnsi="Gentium Plus"/>
        </w:rPr>
      </w:pPr>
      <w:r>
        <w:rPr>
          <w:rFonts w:cs="Gentium Plus" w:ascii="Gentium Plus" w:hAnsi="Gentium Plus"/>
        </w:rPr>
        <w:t xml:space="preserve">Ajahn Amaro recently gave a talk in which he related an experience he had when he was in England as a young monk. He did a long walk from our monastery, in the south of England, to a branch monastery up near the Scottish border. He had completed his fifth rains retreat, which is a time when monks have the opportunity to spread their wings a bit. He wanted to try a walk, as a monk, in England and went with a layman who would be able to help out if necessary. This was the first time in our community that anyone had tried a long walk as an alms mendicant, and it took them several months. </w:t>
      </w:r>
    </w:p>
    <w:p>
      <w:pPr>
        <w:pStyle w:val="Normal"/>
        <w:spacing w:lineRule="auto" w:line="360"/>
        <w:ind w:left="0" w:right="0" w:firstLine="720"/>
        <w:rPr>
          <w:rFonts w:cs="Gentium Plus" w:ascii="Gentium Plus" w:hAnsi="Gentium Plus"/>
        </w:rPr>
      </w:pPr>
      <w:r>
        <w:rPr>
          <w:rFonts w:cs="Gentium Plus" w:ascii="Gentium Plus" w:hAnsi="Gentium Plus"/>
        </w:rPr>
        <w:t>This last spring the two of them got together and revisited the walk. They didn’t do the whole thing. They did parts of it for the 25</w:t>
      </w:r>
      <w:r>
        <w:rPr>
          <w:rFonts w:cs="Gentium Plus" w:ascii="Gentium Plus" w:hAnsi="Gentium Plus"/>
          <w:vertAlign w:val="superscript"/>
        </w:rPr>
        <w:t>th</w:t>
      </w:r>
      <w:r>
        <w:rPr>
          <w:rFonts w:cs="Gentium Plus" w:ascii="Gentium Plus" w:hAnsi="Gentium Plus"/>
        </w:rPr>
        <w:t xml:space="preserve"> anniversary of their quite historic walk. </w:t>
      </w:r>
    </w:p>
    <w:p>
      <w:pPr>
        <w:pStyle w:val="Normal"/>
        <w:spacing w:lineRule="auto" w:line="360"/>
        <w:ind w:left="0" w:right="0" w:firstLine="720"/>
        <w:rPr>
          <w:rFonts w:cs="Gentium Plus" w:ascii="Gentium Plus" w:hAnsi="Gentium Plus"/>
        </w:rPr>
      </w:pPr>
      <w:r>
        <w:rPr>
          <w:rFonts w:cs="Gentium Plus" w:ascii="Gentium Plus" w:hAnsi="Gentium Plus"/>
        </w:rPr>
        <w:t xml:space="preserve">The really interesting thing was that virtually every place they went back to, something had been moved. A hill had moved; a house had moved. It had been so vivid in his memory and he had told the story so many times, but when he actually went back, it wasn’t how he had remembered it or had related it to people. It was different. </w:t>
      </w:r>
    </w:p>
    <w:p>
      <w:pPr>
        <w:pStyle w:val="Normal"/>
        <w:spacing w:lineRule="auto" w:line="360"/>
        <w:ind w:left="0" w:right="0" w:firstLine="720"/>
        <w:rPr>
          <w:rFonts w:cs="Gentium Plus" w:ascii="Gentium Plus" w:hAnsi="Gentium Plus"/>
        </w:rPr>
      </w:pPr>
      <w:r>
        <w:rPr>
          <w:rFonts w:cs="Gentium Plus" w:ascii="Gentium Plus" w:hAnsi="Gentium Plus"/>
        </w:rPr>
        <w:t>“</w:t>
      </w:r>
      <w:r>
        <w:rPr>
          <w:rFonts w:cs="Gentium Plus" w:ascii="Gentium Plus" w:hAnsi="Gentium Plus"/>
          <w:i/>
        </w:rPr>
        <w:t>Sañña anicca</w:t>
      </w:r>
      <w:r>
        <w:rPr>
          <w:rFonts w:cs="Gentium Plus" w:ascii="Gentium Plus" w:hAnsi="Gentium Plus"/>
        </w:rPr>
        <w:t xml:space="preserve">” (perception is impermanent). Perception is not a mechanical function that is solid. It’s the </w:t>
      </w:r>
      <w:r>
        <w:rPr>
          <w:rFonts w:cs="Gentium Plus" w:ascii="Gentium Plus" w:hAnsi="Gentium Plus"/>
          <w:i/>
        </w:rPr>
        <w:t>up</w:t>
      </w:r>
      <w:r>
        <w:rPr>
          <w:rFonts w:cs="Gentium Plus" w:ascii="Gentium Plus" w:hAnsi="Gentium Plus"/>
          <w:i/>
          <w:iCs/>
        </w:rPr>
        <w:t>ā</w:t>
      </w:r>
      <w:r>
        <w:rPr>
          <w:rFonts w:cs="Gentium Plus" w:ascii="Gentium Plus" w:hAnsi="Gentium Plus"/>
          <w:i/>
        </w:rPr>
        <w:t>d</w:t>
      </w:r>
      <w:r>
        <w:rPr>
          <w:rFonts w:cs="Gentium Plus" w:ascii="Gentium Plus" w:hAnsi="Gentium Plus"/>
          <w:i/>
          <w:iCs/>
        </w:rPr>
        <w:t>ā</w:t>
      </w:r>
      <w:r>
        <w:rPr>
          <w:rFonts w:cs="Gentium Plus" w:ascii="Gentium Plus" w:hAnsi="Gentium Plus"/>
          <w:i/>
        </w:rPr>
        <w:t>na khandha</w:t>
      </w:r>
      <w:r>
        <w:rPr>
          <w:rFonts w:cs="Gentium Plus" w:ascii="Gentium Plus" w:hAnsi="Gentium Plus"/>
        </w:rPr>
        <w:t xml:space="preserve"> ( the aggregate of being affected by attachment and clinging).  Clinging arises out of like or dislike, or some kind of delusion. It doesn’t have to be gross. We pick up on gross things, but it is the subtle things that are really believable. Then we build on them and they become our reality. </w:t>
      </w:r>
    </w:p>
    <w:p>
      <w:pPr>
        <w:pStyle w:val="Normal"/>
        <w:spacing w:lineRule="auto" w:line="360"/>
        <w:ind w:left="0" w:right="0" w:firstLine="720"/>
        <w:rPr>
          <w:rFonts w:cs="Gentium Plus" w:ascii="Gentium Plus" w:hAnsi="Gentium Plus"/>
        </w:rPr>
      </w:pPr>
      <w:r>
        <w:rPr>
          <w:rFonts w:cs="Gentium Plus" w:ascii="Gentium Plus" w:hAnsi="Gentium Plus"/>
        </w:rPr>
        <w:t xml:space="preserve">That is our unfortunate circumstance as human beings. We live in a world that we have created and that is a function of our wishes. The unacknowledged agenda is, “Boy, if I could just build the world the way I wanted it! Wow, that would be great!” But the reality of the noble truth of suffering is that we then have to live in that world.  </w:t>
      </w:r>
    </w:p>
    <w:p>
      <w:pPr>
        <w:pStyle w:val="Normal"/>
        <w:spacing w:lineRule="auto" w:line="360"/>
        <w:ind w:left="0" w:right="0" w:firstLine="720"/>
        <w:rPr>
          <w:rFonts w:cs="Gentium Plus" w:ascii="Gentium Plus" w:hAnsi="Gentium Plus"/>
        </w:rPr>
      </w:pPr>
      <w:r>
        <w:rPr>
          <w:rFonts w:cs="Gentium Plus" w:ascii="Gentium Plus" w:hAnsi="Gentium Plus"/>
        </w:rPr>
        <w:t>Perception is one of the fundamental things we build the world out of: our identification with self—</w:t>
      </w:r>
      <w:r>
        <w:rPr>
          <w:rFonts w:cs="Gentium Plus" w:ascii="Gentium Plus" w:hAnsi="Gentium Plus"/>
          <w:i/>
        </w:rPr>
        <w:t>my</w:t>
      </w:r>
      <w:r>
        <w:rPr>
          <w:rFonts w:cs="Gentium Plus" w:ascii="Gentium Plus" w:hAnsi="Gentium Plus"/>
        </w:rPr>
        <w:t xml:space="preserve"> position, </w:t>
      </w:r>
      <w:r>
        <w:rPr>
          <w:rFonts w:cs="Gentium Plus" w:ascii="Gentium Plus" w:hAnsi="Gentium Plus"/>
          <w:i/>
        </w:rPr>
        <w:t>my</w:t>
      </w:r>
      <w:r>
        <w:rPr>
          <w:rFonts w:cs="Gentium Plus" w:ascii="Gentium Plus" w:hAnsi="Gentium Plus"/>
        </w:rPr>
        <w:t xml:space="preserve"> preference, </w:t>
      </w:r>
      <w:r>
        <w:rPr>
          <w:rFonts w:cs="Gentium Plus" w:ascii="Gentium Plus" w:hAnsi="Gentium Plus"/>
          <w:i/>
        </w:rPr>
        <w:t>my</w:t>
      </w:r>
      <w:r>
        <w:rPr>
          <w:rFonts w:cs="Gentium Plus" w:ascii="Gentium Plus" w:hAnsi="Gentium Plus"/>
        </w:rPr>
        <w:t xml:space="preserve"> idea, </w:t>
      </w:r>
      <w:r>
        <w:rPr>
          <w:rFonts w:cs="Gentium Plus" w:ascii="Gentium Plus" w:hAnsi="Gentium Plus"/>
          <w:i/>
        </w:rPr>
        <w:t>my</w:t>
      </w:r>
      <w:r>
        <w:rPr>
          <w:rFonts w:cs="Gentium Plus" w:ascii="Gentium Plus" w:hAnsi="Gentium Plus"/>
        </w:rPr>
        <w:t xml:space="preserve"> ideal, </w:t>
      </w:r>
      <w:r>
        <w:rPr>
          <w:rFonts w:cs="Gentium Plus" w:ascii="Gentium Plus" w:hAnsi="Gentium Plus"/>
          <w:i/>
        </w:rPr>
        <w:t>my</w:t>
      </w:r>
      <w:r>
        <w:rPr>
          <w:rFonts w:cs="Gentium Plus" w:ascii="Gentium Plus" w:hAnsi="Gentium Plus"/>
        </w:rPr>
        <w:t xml:space="preserve"> fear. It’s not really thought through. It’s a much deeper stratum of the mind than thinking and planning, and it overlays everything. Reflect on the nature of these aggregates of being. Reflect on the nature of perception. Perception is like a mirage, although that may not be the way we naturally conceive it. </w:t>
      </w:r>
    </w:p>
    <w:p>
      <w:pPr>
        <w:pStyle w:val="Normal"/>
        <w:spacing w:lineRule="auto" w:line="360"/>
        <w:ind w:left="0" w:right="0" w:firstLine="720"/>
        <w:rPr>
          <w:rFonts w:cs="Gentium Plus" w:ascii="Gentium Plus" w:hAnsi="Gentium Plus"/>
        </w:rPr>
      </w:pPr>
      <w:r>
        <w:rPr>
          <w:rFonts w:cs="Gentium Plus" w:ascii="Gentium Plus" w:hAnsi="Gentium Plus"/>
        </w:rPr>
        <w:t xml:space="preserve">The Buddha compared the mental formations to a banana tree. A person goes into the forest looking for hardwood and cuts down a plantain tree, a banana tree. If anyone has seen a banana tree, it’s layer after layer of leaves. There is no core to it. It seems solid: six inches, eight inches, twelve inches around. But as we take each layer off, we can peel it all back and there is nothing there. There’s just another leaf inside. </w:t>
      </w:r>
    </w:p>
    <w:p>
      <w:pPr>
        <w:pStyle w:val="Normal"/>
        <w:spacing w:lineRule="auto" w:line="360"/>
        <w:ind w:left="0" w:right="0" w:firstLine="720"/>
        <w:rPr>
          <w:rFonts w:cs="Gentium Plus" w:ascii="Gentium Plus" w:hAnsi="Gentium Plus"/>
        </w:rPr>
      </w:pPr>
      <w:r>
        <w:rPr>
          <w:rFonts w:cs="Gentium Plus" w:ascii="Gentium Plus" w:hAnsi="Gentium Plus"/>
        </w:rPr>
        <w:t xml:space="preserve">So the nature of mental formations, thought processes, is that there are just these layers but no solid core. It is absurd to consider, “What is my one true thought?” But this doesn’t mean that we can’t use thoughts, emotions, and planning, all of which takes place within mental formations. Mental formations can be related to ill will, aversion, desire, attachment, fear, or anxiety. Mindfulness is also a mental formation. Wisdom, loving-kindness, compassion, and equanimity are all mental formations, but they have a usefulness and skill to them, a beneficial result. </w:t>
      </w:r>
    </w:p>
    <w:p>
      <w:pPr>
        <w:pStyle w:val="Normal"/>
        <w:spacing w:lineRule="auto" w:line="360"/>
        <w:ind w:left="0" w:right="0" w:firstLine="720"/>
        <w:rPr>
          <w:rFonts w:cs="Gentium Plus" w:ascii="Gentium Plus" w:hAnsi="Gentium Plus"/>
        </w:rPr>
      </w:pPr>
      <w:r>
        <w:rPr>
          <w:rFonts w:cs="Gentium Plus" w:ascii="Gentium Plus" w:hAnsi="Gentium Plus"/>
        </w:rPr>
        <w:t xml:space="preserve">So it’s not, “Oh, mental formations are a banana tree. I’m done with that.” No. We really have to know how to use, understand, and skillfully apply the thought processes and not be trapped or caught by them. It’s when we see this more clearly that we develop a certain wariness toward the thought processes. </w:t>
      </w:r>
    </w:p>
    <w:p>
      <w:pPr>
        <w:pStyle w:val="Normal"/>
        <w:spacing w:lineRule="auto" w:line="360"/>
        <w:ind w:left="0" w:right="0" w:firstLine="720"/>
        <w:rPr>
          <w:rFonts w:cs="Gentium Plus" w:ascii="Gentium Plus" w:hAnsi="Gentium Plus"/>
        </w:rPr>
      </w:pPr>
      <w:r>
        <w:rPr>
          <w:rFonts w:cs="Gentium Plus" w:ascii="Gentium Plus" w:hAnsi="Gentium Plus"/>
        </w:rPr>
        <w:t xml:space="preserve">We have been using thoughts of mettā, loving-kindness, as a practice. We can see these wholesome mental formations starting to gain momentum over irritation, aversion, or a negative viewpoint that has arisen. We see that if we let that go—“I know where this is going, I know where this will end”—we’ll turn our attention to loving-kindness. We’ll turn our attention to well-wishing. We can counter the negative impulses. By seeing mental formations as empty and hollow, we won’t just push them away. Because they are empty and hollow, we need to be very careful and attentive around them. </w:t>
      </w:r>
    </w:p>
    <w:p>
      <w:pPr>
        <w:pStyle w:val="Normal"/>
        <w:spacing w:lineRule="auto" w:line="360"/>
        <w:ind w:left="0" w:right="0" w:firstLine="720"/>
        <w:rPr>
          <w:rFonts w:cs="Gentium Plus" w:ascii="Gentium Plus" w:hAnsi="Gentium Plus"/>
        </w:rPr>
      </w:pPr>
      <w:r>
        <w:rPr>
          <w:rFonts w:cs="Gentium Plus" w:ascii="Gentium Plus" w:hAnsi="Gentium Plus"/>
        </w:rPr>
        <w:t xml:space="preserve">The Buddha has us reflect on consciousness. He compares it to a magician or conjurer’s trick. In India, in the marketplace or on the street corner, there can be a magician or conjurer, a person doing magic tricks. There is a small crowd around him and he is making a little money with it. Today, the same scene is still going on, 2,500 years later. If we understand the nature of the conjurer’s trick, the mechanics behind it, there’s not the same excitement or fascination. We’re not as willing to lay money down to see the trick again. </w:t>
      </w:r>
    </w:p>
    <w:p>
      <w:pPr>
        <w:pStyle w:val="Normal"/>
        <w:spacing w:lineRule="auto" w:line="360"/>
        <w:ind w:left="0" w:right="0" w:firstLine="720"/>
        <w:rPr>
          <w:rFonts w:cs="Gentium Plus" w:ascii="Gentium Plus" w:hAnsi="Gentium Plus"/>
        </w:rPr>
      </w:pPr>
      <w:r>
        <w:rPr>
          <w:rFonts w:cs="Gentium Plus" w:ascii="Gentium Plus" w:hAnsi="Gentium Plus"/>
        </w:rPr>
        <w:t>The nature of consciousness is very similar. We take these disparate experiences</w:t>
      </w:r>
      <w:bookmarkStart w:id="1" w:name="__DdeLink__1141_1397942743"/>
      <w:r>
        <w:rPr>
          <w:rFonts w:cs="Gentium Plus" w:ascii="Gentium Plus" w:hAnsi="Gentium Plus"/>
        </w:rPr>
        <w:t>—</w:t>
      </w:r>
      <w:bookmarkEnd w:id="1"/>
      <w:r>
        <w:rPr>
          <w:rFonts w:cs="Gentium Plus" w:ascii="Gentium Plus" w:hAnsi="Gentium Plus"/>
        </w:rPr>
        <w:t xml:space="preserve">contact with the senses—and form them into an experience. “Yeah, he really said that.” We have formed the consciousness of that experience really happening, and we remember it a certain way, but actually, there is an agenda behind consciousness as well. We have to recognize the hook buried in it. </w:t>
      </w:r>
    </w:p>
    <w:p>
      <w:pPr>
        <w:pStyle w:val="Normal"/>
        <w:spacing w:lineRule="auto" w:line="360"/>
        <w:ind w:left="0" w:right="0" w:firstLine="720"/>
        <w:rPr>
          <w:rFonts w:cs="Gentium Plus" w:ascii="Gentium Plus" w:hAnsi="Gentium Plus"/>
        </w:rPr>
      </w:pPr>
      <w:r>
        <w:rPr>
          <w:rFonts w:cs="Gentium Plus" w:ascii="Gentium Plus" w:hAnsi="Gentium Plus"/>
        </w:rPr>
        <w:t xml:space="preserve">We will never be free of the five khandhas, the five aggregates of being. But we can be free from being affected by clinging to the aggregates, and that is the most important part because we do need to rely on those five aggregates of being. That’s how we live; that’s how we accomplish things. </w:t>
      </w:r>
    </w:p>
    <w:p>
      <w:pPr>
        <w:pStyle w:val="Normal"/>
        <w:spacing w:lineRule="auto" w:line="360"/>
        <w:ind w:left="0" w:right="0" w:firstLine="720"/>
        <w:rPr>
          <w:rFonts w:cs="Gentium Plus" w:ascii="Gentium Plus" w:hAnsi="Gentium Plus"/>
        </w:rPr>
      </w:pPr>
      <w:r>
        <w:rPr>
          <w:rFonts w:cs="Gentium Plus" w:ascii="Gentium Plus" w:hAnsi="Gentium Plus"/>
        </w:rPr>
        <w:t xml:space="preserve">That’s how the Buddha was able to teach—with the five khandhas. If he had said, “Well, that’s it for the five khandas,” and had done nothing, then we would be in a bind. After the Buddha’s enlightenment, he spent forty-five years carrying the khandas around and teaching, establishing a dispensation that has lasted to this day.  </w:t>
      </w:r>
    </w:p>
    <w:p>
      <w:pPr>
        <w:pStyle w:val="Normal"/>
        <w:spacing w:lineRule="auto" w:line="360"/>
        <w:ind w:left="0" w:right="0" w:firstLine="720"/>
        <w:rPr>
          <w:rFonts w:cs="Gentium Plus" w:ascii="Gentium Plus" w:hAnsi="Gentium Plus"/>
        </w:rPr>
      </w:pPr>
      <w:r>
        <w:rPr>
          <w:rFonts w:cs="Gentium Plus" w:ascii="Gentium Plus" w:hAnsi="Gentium Plus"/>
        </w:rPr>
        <w:t>This reflection on the khandhas is a really important part of understanding the nature of self and attachment to self, the nature of clinging, and then the nature of relinquishment, letting go. As we are able to attend to letting go, part of the response is the sense of loving-kindness. It is a natural response of seeing Dhamma, seeing things the way they are, that kindness and compassion arise, the sense of not being trapped by the particular reactions that come up.</w:t>
      </w:r>
    </w:p>
    <w:p>
      <w:pPr>
        <w:pStyle w:val="Normal"/>
        <w:spacing w:lineRule="auto" w:line="360"/>
        <w:ind w:left="0" w:right="0" w:firstLine="720"/>
        <w:rPr>
          <w:rFonts w:cs="Gentium Plus" w:ascii="Gentium Plus" w:hAnsi="Gentium Plus"/>
        </w:rPr>
      </w:pPr>
      <w:r>
        <w:rPr>
          <w:rFonts w:cs="Gentium Plus" w:ascii="Gentium Plus" w:hAnsi="Gentium Plus"/>
        </w:rPr>
        <w:t xml:space="preserve">I remember Ajahn Jumnien saying that whenever anybody comes to him saying, “Well, I’ve attained it. I’ve had stream-entry now. No more rebirth in the lower realms for me. I’m really pleased with my practice,” he will usually find the occasion to say, “Well, you know so-and-so has been saying this about you. They have been saying you’re like this and like that.” Then he would see what sort of response there was because if there is anger, thinking, “How could they say that?” then the person is not a stream-enterer. </w:t>
      </w:r>
    </w:p>
    <w:p>
      <w:pPr>
        <w:pStyle w:val="Normal"/>
        <w:spacing w:lineRule="auto" w:line="360"/>
        <w:ind w:left="0" w:right="0" w:firstLine="720"/>
        <w:rPr>
          <w:rFonts w:cs="Gentium Plus" w:ascii="Gentium Plus" w:hAnsi="Gentium Plus"/>
        </w:rPr>
      </w:pPr>
      <w:r>
        <w:rPr>
          <w:rFonts w:cs="Gentium Plus" w:ascii="Gentium Plus" w:hAnsi="Gentium Plus"/>
        </w:rPr>
        <w:t xml:space="preserve">Here, once again, that holding on to identity is one of the hallmarks of worldly existence. The relinquishment of that identification process is one of the fetters that are dropped as one enters the stream of Dhamma.  </w:t>
      </w:r>
    </w:p>
    <w:p>
      <w:pPr>
        <w:pStyle w:val="Normal"/>
        <w:spacing w:lineRule="auto" w:line="360"/>
        <w:ind w:left="0" w:right="0" w:firstLine="720"/>
        <w:rPr>
          <w:rFonts w:cs="Gentium Plus" w:ascii="Gentium Plus" w:hAnsi="Gentium Plus"/>
        </w:rPr>
      </w:pPr>
      <w:r>
        <w:rPr>
          <w:rFonts w:cs="Gentium Plus" w:ascii="Gentium Plus" w:hAnsi="Gentium Plus"/>
        </w:rPr>
        <w:t xml:space="preserve">Ajahn Chah did something similar to someone who came to him. He was saying how well his practice was growing, that he was practicing really diligently and had had a breakthrough and was quite confident now that it was clear sailing to arahantship. Ajahn Chah just grunted and said, “That’s better than being a dog.” Especially in Thai, when you compare somebody to being a dog, it’s </w:t>
      </w:r>
      <w:r>
        <w:rPr>
          <w:rFonts w:cs="Gentium Plus" w:ascii="Gentium Plus" w:hAnsi="Gentium Plus"/>
          <w:i/>
        </w:rPr>
        <w:t>bad</w:t>
      </w:r>
      <w:r>
        <w:rPr>
          <w:rFonts w:cs="Gentium Plus" w:ascii="Gentium Plus" w:hAnsi="Gentium Plus"/>
        </w:rPr>
        <w:t>. That person got extremely upset. Ajahn couldn’t help but relate this by saying, “So much for the stream-enterer.”</w:t>
      </w:r>
    </w:p>
    <w:p>
      <w:pPr>
        <w:pStyle w:val="Normal"/>
        <w:spacing w:lineRule="auto" w:line="360"/>
        <w:ind w:left="0" w:right="0" w:firstLine="720"/>
        <w:rPr>
          <w:rFonts w:cs="Gentium Plus" w:ascii="Gentium Plus" w:hAnsi="Gentium Plus"/>
        </w:rPr>
      </w:pPr>
      <w:r>
        <w:rPr>
          <w:rFonts w:cs="Gentium Plus" w:ascii="Gentium Plus" w:hAnsi="Gentium Plus"/>
        </w:rPr>
        <w:t xml:space="preserve">So loving-kindness, that inclination to well-wishing, is an integral part of the Dhamma. As we cultivate loving-kindness, it is not something that is separate from practicing Dhamma, reflecting on Dhamma. They are woven together and support each other. We cultivate and bring loving-kindness into being not only to help establish wholesome states of consciousness and calm states of abiding. It also lays a foundation for insight because it is a helpful tool for creating a stability and brightness of mind that allows us to see the Dhamma. We reflect on and investigate Dhamma but also see that this is a result. They work together and are interwoven. So giving attention to these qualities is something that allows us to gain inspiration and confidence in the Dhamma.  </w:t>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Hisayo" w:date="2016-03-21T16:48:00Z" w:initials="H">
    <w:p>
      <w:r>
        <w:rPr/>
        <w:t>Citation of source in footnote?</w:t>
      </w:r>
    </w:p>
    <w:p>
      <w:r>
        <w:rPr/>
      </w:r>
    </w:p>
    <w:p>
      <w:r>
        <w:rPr/>
      </w:r>
    </w:p>
    <w:p>
      <w:r>
        <w:rPr/>
      </w:r>
    </w:p>
  </w:comment>
  <w:comment w:id="1" w:author="Unknown Author" w:date="2016-03-28T12:48:19Z" w:initials="">
    <w:p>
      <w:r>
        <w:rPr>
          <w:rFonts w:eastAsia="SimSun" w:cs="Times New Roman" w:ascii="Segoe UI" w:hAnsi="Segoe U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en-US" w:bidi="ar-SA"/>
        </w:rPr>
        <w:t>Reply to Hisayo (03/21/2016, 16:48): "..."</w:t>
      </w:r>
    </w:p>
    <w:p>
      <w:r>
        <w:rPr>
          <w:rFonts w:ascii="Segoe UI" w:hAnsi="Segoe UI"/>
          <w:sz w:val="20"/>
          <w:lang w:val="en-US" w:eastAsia="en-US" w:bidi="ar-SA"/>
        </w:rPr>
        <w:t>Tan Suhajjo?  LPP thought it was okay like this but defers to you.  Perhaps put Bhikkhu Bodhi after the citation or in back of book?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entium Basic">
    <w:charset w:val="01"/>
    <w:family w:val="auto"/>
    <w:pitch w:val="variable"/>
  </w:font>
  <w:font w:name="Gentium Plus">
    <w:charset w:val="00"/>
    <w:family w:val="roman"/>
    <w:pitch w:val="variable"/>
  </w:font>
  <w:font w:name="Segoe U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mbria" w:hAnsi="Cambria" w:eastAsia="SimSun" w:cs="Times New Roman"/>
        <w:szCs w:val="24"/>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SimSun" w:cs="Times New Roman"/>
      <w:color w:val="00000A"/>
      <w:sz w:val="24"/>
      <w:szCs w:val="24"/>
      <w:lang w:val="en-US" w:eastAsia="en-US" w:bidi="ar-SA"/>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cb2b1a"/>
    <w:basedOn w:val="DefaultParagraphFont"/>
    <w:rPr/>
  </w:style>
  <w:style w:type="character" w:styleId="FooterChar" w:customStyle="1">
    <w:name w:val="Footer Char"/>
    <w:uiPriority w:val="99"/>
    <w:qFormat/>
    <w:link w:val="Footer"/>
    <w:rsid w:val="00cb2b1a"/>
    <w:basedOn w:val="DefaultParagraphFont"/>
    <w:rPr/>
  </w:style>
  <w:style w:type="character" w:styleId="Annotationreference">
    <w:name w:val="annotation reference"/>
    <w:uiPriority w:val="99"/>
    <w:qFormat/>
    <w:semiHidden/>
    <w:unhideWhenUsed/>
    <w:rsid w:val="003c4fc8"/>
    <w:basedOn w:val="DefaultParagraphFont"/>
    <w:rPr>
      <w:sz w:val="16"/>
      <w:szCs w:val="16"/>
    </w:rPr>
  </w:style>
  <w:style w:type="character" w:styleId="CommentTextChar" w:customStyle="1">
    <w:name w:val="Comment Text Char"/>
    <w:uiPriority w:val="99"/>
    <w:qFormat/>
    <w:semiHidden/>
    <w:link w:val="CommentText"/>
    <w:rsid w:val="003c4fc8"/>
    <w:basedOn w:val="DefaultParagraphFont"/>
    <w:rPr>
      <w:sz w:val="20"/>
      <w:szCs w:val="20"/>
    </w:rPr>
  </w:style>
  <w:style w:type="character" w:styleId="CommentSubjectChar" w:customStyle="1">
    <w:name w:val="Comment Subject Char"/>
    <w:uiPriority w:val="99"/>
    <w:qFormat/>
    <w:semiHidden/>
    <w:link w:val="CommentSubject"/>
    <w:rsid w:val="003c4fc8"/>
    <w:basedOn w:val="CommentTextChar"/>
    <w:rPr>
      <w:b/>
      <w:bCs/>
      <w:sz w:val="20"/>
      <w:szCs w:val="20"/>
    </w:rPr>
  </w:style>
  <w:style w:type="character" w:styleId="BalloonTextChar" w:customStyle="1">
    <w:name w:val="Balloon Text Char"/>
    <w:uiPriority w:val="99"/>
    <w:qFormat/>
    <w:semiHidden/>
    <w:link w:val="BalloonText"/>
    <w:rsid w:val="003c4fc8"/>
    <w:basedOn w:val="DefaultParagraphFont"/>
    <w:rPr>
      <w:rFonts w:ascii="Tahoma" w:hAnsi="Tahoma" w:cs="Tahoma"/>
      <w:sz w:val="16"/>
      <w:szCs w:val="16"/>
    </w:rPr>
  </w:style>
  <w:style w:type="paragraph" w:styleId="Heading" w:customStyle="1">
    <w:name w:val="Heading"/>
    <w:qFormat/>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customStyle="1">
    <w:name w:val="Index"/>
    <w:qFormat/>
    <w:basedOn w:val="Normal"/>
    <w:pPr>
      <w:suppressLineNumbers/>
    </w:pPr>
    <w:rPr>
      <w:rFonts w:cs="Mangal"/>
    </w:rPr>
  </w:style>
  <w:style w:type="paragraph" w:styleId="Caption1">
    <w:name w:val="caption"/>
    <w:qFormat/>
    <w:basedOn w:val="Normal"/>
    <w:pPr>
      <w:suppressLineNumbers/>
      <w:spacing w:before="120" w:after="120"/>
    </w:pPr>
    <w:rPr>
      <w:rFonts w:cs="Mangal"/>
      <w:i/>
      <w:iCs/>
    </w:rPr>
  </w:style>
  <w:style w:type="paragraph" w:styleId="Header">
    <w:name w:val="Header"/>
    <w:uiPriority w:val="99"/>
    <w:unhideWhenUsed/>
    <w:link w:val="HeaderChar"/>
    <w:rsid w:val="00cb2b1a"/>
    <w:basedOn w:val="Normal"/>
    <w:pPr>
      <w:tabs>
        <w:tab w:val="center" w:pos="4680" w:leader="none"/>
        <w:tab w:val="right" w:pos="9360" w:leader="none"/>
      </w:tabs>
    </w:pPr>
    <w:rPr/>
  </w:style>
  <w:style w:type="paragraph" w:styleId="Footer">
    <w:name w:val="Footer"/>
    <w:uiPriority w:val="99"/>
    <w:unhideWhenUsed/>
    <w:link w:val="FooterChar"/>
    <w:rsid w:val="00cb2b1a"/>
    <w:basedOn w:val="Normal"/>
    <w:pPr>
      <w:tabs>
        <w:tab w:val="center" w:pos="4680" w:leader="none"/>
        <w:tab w:val="right" w:pos="9360" w:leader="none"/>
      </w:tabs>
    </w:pPr>
    <w:rPr/>
  </w:style>
  <w:style w:type="paragraph" w:styleId="Annotationtext">
    <w:name w:val="annotation text"/>
    <w:uiPriority w:val="99"/>
    <w:qFormat/>
    <w:semiHidden/>
    <w:unhideWhenUsed/>
    <w:link w:val="CommentTextChar"/>
    <w:rsid w:val="003c4fc8"/>
    <w:basedOn w:val="Normal"/>
    <w:pPr/>
    <w:rPr>
      <w:sz w:val="20"/>
      <w:szCs w:val="20"/>
    </w:rPr>
  </w:style>
  <w:style w:type="paragraph" w:styleId="Annotationsubject">
    <w:name w:val="annotation subject"/>
    <w:uiPriority w:val="99"/>
    <w:qFormat/>
    <w:semiHidden/>
    <w:unhideWhenUsed/>
    <w:link w:val="CommentSubjectChar"/>
    <w:rsid w:val="003c4fc8"/>
    <w:basedOn w:val="Annotationtext"/>
    <w:pPr/>
    <w:rPr>
      <w:b/>
      <w:bCs/>
    </w:rPr>
  </w:style>
  <w:style w:type="paragraph" w:styleId="BalloonText">
    <w:name w:val="Balloon Text"/>
    <w:uiPriority w:val="99"/>
    <w:qFormat/>
    <w:semiHidden/>
    <w:unhideWhenUsed/>
    <w:link w:val="BalloonTextChar"/>
    <w:rsid w:val="003c4fc8"/>
    <w:basedOn w:val="Normal"/>
    <w:pPr/>
    <w:rPr>
      <w:rFonts w:ascii="Tahoma" w:hAnsi="Tahoma" w:cs="Tahoma"/>
      <w:sz w:val="16"/>
      <w:szCs w:val="16"/>
    </w:rPr>
  </w:style>
  <w:style w:type="paragraph" w:styleId="Revision">
    <w:name w:val="Revision"/>
    <w:uiPriority w:val="99"/>
    <w:qFormat/>
    <w:semiHidden/>
    <w:rsid w:val="00c737d0"/>
    <w:pPr>
      <w:widowControl/>
      <w:suppressAutoHyphens w:val="true"/>
      <w:bidi w:val="0"/>
      <w:jc w:val="left"/>
    </w:pPr>
    <w:rPr>
      <w:rFonts w:ascii="Cambria" w:hAnsi="Cambria" w:eastAsia="SimSun" w:cs="Times New Roman"/>
      <w:color w:val="00000A"/>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Application>LibreOffice/4.4.2.2$Windows_x86 LibreOffice_project/c4c7d32d0d49397cad38d62472b0bc8acff48dd6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2016-03-21T23:30:00Z</dcterms:created>
  <dc:creator>Ray Peterson</dc:creator>
  <dc:language>en-US</dc:language>
  <dcterms:modified xsi:type="dcterms:W3CDTF">2016-03-28T12:37:08Z</dcterms:modified>
  <cp:revision>33</cp:revision>
</cp:coreProperties>
</file>