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288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Executive Summary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of the customer churn dataset reveals significant patterns in service usage and its impact on churn behavior. Below are the key takeaways: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Churn Trends by 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without essential services such as Online Security and Tech Support exhibit higher churn rates. Specifically, 42% of customers without Online Security and 45% without Tech Support are likely to churn, compared to 15-20% for those who utilize these services.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Streaming services (TV and Movies) have a smaller impact on churn, with churn rates of approximately 30% for customers who opt out of these services versus 25% for those who use them.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Internet Service Type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Fiber optic users experience the highest churn rates at 41%, compared to 23% for DSL users and 10% for customers with no internet service. This highlights potential dissatisfaction or cost concerns among fiber optic users.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Phone and Multiple Line Services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with no phone service have a churn rate of 25%, while those with a single-line plan show a churn rate of 30%. In contrast, customers with multiple lines exhibit a churn rate of 38%, suggesting possible dissatisfaction with multi-line plans.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Tenure and Monthly Charges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with a tenure of less than one year have a churn rate exceeding 60%, indicating that early retention strategies are critical. Conversely, customers with a tenure of more than five years have a churn rate of only 10%.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 charges also influence churn. Customers paying over $80 per month have a churn rate of 50%, while those paying less than $50 exhibit a churn rate of 15%.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 online security and tech support services to retain customers. Target customers without these services with promotional offers or improved features.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Investigate and address issues specific to fiber optic internet, such as pricing or service quality, to reduce churn.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multi-line service plans to understand their relationship with higher churn rates and adjust offerings accordingly.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retention strategies focused on new customers, especially within the first year of service, to improve long-term loyalty.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Reassess pricing strategies, particularly for customers with higher monthly charges, to make services more appealing and reduce churn.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analysis underscores the importance of tailoring services and addressing pain points to improve customer retention and reduce churn effectively.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