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rFonts w:ascii="Aptos Display" w:hAnsi="Aptos Display"/>
          <w:b/>
          <w:color w:val="000000"/>
          <w:sz w:val="50"/>
        </w:rPr>
        <w:t>CherryOnTop Product Strategy and Implementation Roadmap</w:t>
      </w:r>
    </w:p>
    <w:p>
      <w:pPr>
        <w:spacing w:after="520"/>
      </w:pPr>
      <w:r>
        <w:rPr>
          <w:rFonts w:ascii="Aptos" w:hAnsi="Aptos"/>
          <w:b w:val="0"/>
          <w:color w:val="536474"/>
          <w:sz w:val="26"/>
        </w:rPr>
        <w:t>Competitive GUI assessment, differentiation strategy, and implementation sequence</w:t>
      </w:r>
    </w:p>
    <w:p>
      <w:pPr>
        <w:spacing w:after="80"/>
      </w:pPr>
      <w:r>
        <w:rPr>
          <w:rFonts w:ascii="Aptos" w:hAnsi="Aptos"/>
          <w:b/>
          <w:color w:val="18232D"/>
          <w:sz w:val="21"/>
        </w:rPr>
        <w:t xml:space="preserve">Audience: </w:t>
      </w:r>
      <w:r>
        <w:rPr>
          <w:rFonts w:ascii="Aptos" w:hAnsi="Aptos"/>
          <w:b w:val="0"/>
          <w:color w:val="18232D"/>
          <w:sz w:val="21"/>
        </w:rPr>
        <w:t>Product and founding team</w:t>
      </w:r>
    </w:p>
    <w:p>
      <w:pPr>
        <w:spacing w:after="80"/>
      </w:pPr>
      <w:r>
        <w:rPr>
          <w:rFonts w:ascii="Aptos" w:hAnsi="Aptos"/>
          <w:b/>
          <w:color w:val="18232D"/>
          <w:sz w:val="21"/>
        </w:rPr>
        <w:t xml:space="preserve">Date: </w:t>
      </w:r>
      <w:r>
        <w:rPr>
          <w:rFonts w:ascii="Aptos" w:hAnsi="Aptos"/>
          <w:b w:val="0"/>
          <w:color w:val="18232D"/>
          <w:sz w:val="21"/>
        </w:rPr>
        <w:t>7 September 2026</w:t>
      </w:r>
    </w:p>
    <w:p>
      <w:pPr>
        <w:spacing w:after="80"/>
      </w:pPr>
      <w:r>
        <w:rPr>
          <w:rFonts w:ascii="Aptos" w:hAnsi="Aptos"/>
          <w:b/>
          <w:color w:val="18232D"/>
          <w:sz w:val="21"/>
        </w:rPr>
        <w:t xml:space="preserve">Scope: </w:t>
      </w:r>
      <w:r>
        <w:rPr>
          <w:rFonts w:ascii="Aptos" w:hAnsi="Aptos"/>
          <w:b w:val="0"/>
          <w:color w:val="18232D"/>
          <w:sz w:val="21"/>
        </w:rPr>
        <w:t>Current desktop GUI and runtime compared with transferable feature families from mature open-source and enterprise agent platforms</w:t>
      </w:r>
    </w:p>
    <w:p>
      <w:pPr>
        <w:pStyle w:val="Heading1"/>
        <w:keepNext/>
        <w:spacing w:before="260" w:after="100"/>
      </w:pPr>
      <w:r>
        <w:rPr>
          <w:rFonts w:ascii="Aptos" w:hAnsi="Aptos"/>
          <w:b/>
          <w:color w:val="000000"/>
          <w:sz w:val="32"/>
        </w:rPr>
        <w:t>Executive answer</w:t>
      </w:r>
    </w:p>
    <w:p>
      <w:pPr>
        <w:keepNext w:val="0"/>
        <w:spacing w:before="0" w:after="100" w:line="278" w:lineRule="auto"/>
      </w:pPr>
      <w:r>
        <w:rPr>
          <w:rFonts w:ascii="Aptos" w:hAnsi="Aptos"/>
          <w:b w:val="0"/>
          <w:color w:val="18232D"/>
          <w:sz w:val="21"/>
        </w:rPr>
        <w:t>CherryOnTop should not try to win by cloning a generic drag-and-drop agent canvas. Its defensible core already exists: a recursive organization of agents operates under explicit goals, budgets, tool authority, commitments, human approvals, sandbox boundaries, and accumulated runtime performance evidence. The strategy is to turn that runtime into the accountable AI organization control plane.</w:t>
      </w:r>
    </w:p>
    <w:p>
      <w:pPr>
        <w:keepNext w:val="0"/>
        <w:spacing w:before="0" w:after="100" w:line="278" w:lineRule="auto"/>
      </w:pPr>
      <w:r>
        <w:rPr>
          <w:rFonts w:ascii="Aptos" w:hAnsi="Aptos"/>
          <w:b w:val="0"/>
          <w:color w:val="18232D"/>
          <w:sz w:val="21"/>
        </w:rPr>
        <w:t>The largest market gap is the operating system around the current graph: identity and workspaces, policy-managed connectors and secrets, durable/recoverable runs, searchable operational telemetry, evaluation and feedback loops, versioned releases, and team lifecycle governance. The GUI opportunity is to make the existing accountability record useful to humans through a Case File for every task and a Decision Receipt for each consequential action.</w:t>
      </w:r>
    </w:p>
    <w:p>
      <w:pPr>
        <w:keepNext w:val="0"/>
        <w:spacing w:before="0" w:after="100" w:line="278" w:lineRule="auto"/>
      </w:pPr>
      <w:r>
        <w:rPr>
          <w:rFonts w:ascii="Aptos" w:hAnsi="Aptos"/>
          <w:b w:val="0"/>
          <w:color w:val="18232D"/>
          <w:sz w:val="21"/>
        </w:rPr>
        <w:t>Positioning to validate: “Every AI outcome has an owner, a mandate, an authority boundary, evidence, cost, risk status, and a human decision trail.” The product should expose structured rationale, policy outcomes, tools/data used, artifacts, and approvals—not private model chain-of-thought.</w:t>
      </w:r>
    </w:p>
    <w:p>
      <w:pPr>
        <w:pStyle w:val="Heading1"/>
        <w:keepNext/>
        <w:spacing w:before="260" w:after="100"/>
      </w:pPr>
      <w:r>
        <w:rPr>
          <w:rFonts w:ascii="Aptos" w:hAnsi="Aptos"/>
          <w:b/>
          <w:color w:val="000000"/>
          <w:sz w:val="32"/>
        </w:rPr>
        <w:t>What the current product already has</w:t>
      </w:r>
    </w:p>
    <w:p>
      <w:pPr>
        <w:keepNext w:val="0"/>
        <w:spacing w:before="0" w:after="100" w:line="278" w:lineRule="auto"/>
      </w:pPr>
      <w:r>
        <w:rPr>
          <w:rFonts w:ascii="Aptos" w:hAnsi="Aptos"/>
          <w:b w:val="0"/>
          <w:color w:val="18232D"/>
          <w:sz w:val="21"/>
        </w:rPr>
        <w:t>The source audit covers the desktop renderer, tRPC routers, lifecycle engine, execution substrate, and usage documentation. CherryOnTop is already more accountable than a typical chat-first agent interface.</w:t>
      </w:r>
    </w:p>
    <w:p>
      <w:pPr>
        <w:pStyle w:val="ListBullet"/>
        <w:spacing w:after="40" w:line="264" w:lineRule="auto"/>
      </w:pPr>
      <w:r>
        <w:rPr>
          <w:rFonts w:ascii="Aptos" w:hAnsi="Aptos"/>
          <w:b w:val="0"/>
          <w:color w:val="18232D"/>
          <w:sz w:val="20"/>
        </w:rPr>
        <w:t>A task is a root goal plus its recursively delegated organization, rather than an isolated conversation.</w:t>
      </w:r>
    </w:p>
    <w:p>
      <w:pPr>
        <w:pStyle w:val="ListBullet"/>
        <w:spacing w:after="40" w:line="264" w:lineRule="auto"/>
      </w:pPr>
      <w:r>
        <w:rPr>
          <w:rFonts w:ascii="Aptos" w:hAnsi="Aptos"/>
          <w:b w:val="0"/>
          <w:color w:val="18232D"/>
          <w:sz w:val="20"/>
        </w:rPr>
        <w:t>Each node has an explicit goal, definition of done, tool/delegation authority, spend limit, constraints, and optional deadline.</w:t>
      </w:r>
    </w:p>
    <w:p>
      <w:pPr>
        <w:pStyle w:val="ListBullet"/>
        <w:spacing w:after="40" w:line="264" w:lineRule="auto"/>
      </w:pPr>
      <w:r>
        <w:rPr>
          <w:rFonts w:ascii="Aptos" w:hAnsi="Aptos"/>
          <w:b w:val="0"/>
          <w:color w:val="18232D"/>
          <w:sz w:val="20"/>
        </w:rPr>
        <w:t>The desktop GUI already supplies Conversation, Flow, live event streaming, task rail, per-node inspector, approval inbox, artifacts, decisions, costs, runtime memory, and cancellation.</w:t>
      </w:r>
    </w:p>
    <w:p>
      <w:pPr>
        <w:pStyle w:val="ListBullet"/>
        <w:spacing w:after="40" w:line="264" w:lineRule="auto"/>
      </w:pPr>
      <w:r>
        <w:rPr>
          <w:rFonts w:ascii="Aptos" w:hAnsi="Aptos"/>
          <w:b w:val="0"/>
          <w:color w:val="18232D"/>
          <w:sz w:val="20"/>
        </w:rPr>
        <w:t>The runtime persists append-only events, commitments, decisions, artifacts, approvals, and measured runtime outcomes. It dispatches Claude Code or Codex in non-root, network-restricted Kubernetes jobs with ephemeral credentials.</w:t>
      </w:r>
    </w:p>
    <w:p>
      <w:pPr>
        <w:pStyle w:val="ListBullet"/>
        <w:spacing w:after="40" w:line="264" w:lineRule="auto"/>
      </w:pPr>
      <w:r>
        <w:rPr>
          <w:rFonts w:ascii="Aptos" w:hAnsi="Aptos"/>
          <w:b w:val="0"/>
          <w:color w:val="18232D"/>
          <w:sz w:val="20"/>
        </w:rPr>
        <w:t>Approval requests show the reason and scored decision that crossed an authority boundary. This is a valuable foundation for a trust product.</w:t>
      </w:r>
    </w:p>
    <w:p>
      <w:pPr>
        <w:pStyle w:val="Heading1"/>
        <w:keepNext/>
        <w:spacing w:before="260" w:after="100"/>
      </w:pPr>
      <w:r>
        <w:rPr>
          <w:rFonts w:ascii="Aptos" w:hAnsi="Aptos"/>
          <w:b/>
          <w:color w:val="000000"/>
          <w:sz w:val="32"/>
        </w:rPr>
        <w:t>Current gaps that block team and enterprise use</w:t>
      </w:r>
    </w:p>
    <w:tbl>
      <w:tblPr>
        <w:tblStyle w:val="TableGrid"/>
        <w:tblW w:type="auto" w:w="0"/>
        <w:tblLayout w:type="fixed"/>
        <w:tblLook w:firstColumn="1" w:firstRow="1" w:lastColumn="0" w:lastRow="0" w:noHBand="0" w:noVBand="1" w:val="04A0"/>
      </w:tblPr>
      <w:tblGrid>
        <w:gridCol w:w="3360"/>
        <w:gridCol w:w="3360"/>
        <w:gridCol w:w="3360"/>
      </w:tblGrid>
      <w:tr>
        <w:trPr>
          <w:tblHeader/>
        </w:trPr>
        <w:tc>
          <w:tcPr>
            <w:tcW w:type="dxa" w:w="1944"/>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color w:val="FFFFFF"/>
                <w:sz w:val="17"/>
              </w:rPr>
              <w:t>Capability family</w:t>
            </w:r>
          </w:p>
        </w:tc>
        <w:tc>
          <w:tcPr>
            <w:tcW w:type="dxa" w:w="6840"/>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color w:val="FFFFFF"/>
                <w:sz w:val="17"/>
              </w:rPr>
              <w:t>Audited current gap</w:t>
            </w:r>
          </w:p>
        </w:tc>
        <w:tc>
          <w:tcPr>
            <w:tcW w:type="dxa" w:w="792"/>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color w:val="FFFFFF"/>
                <w:sz w:val="17"/>
              </w:rPr>
              <w:t>Priority</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Identity and workspaces</w:t>
            </w:r>
          </w:p>
        </w:tc>
        <w:tc>
          <w:tcPr>
            <w:tcW w:type="dxa" w:w="68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Local public procedures only; no workspace, tenant, user, role, SSO, service identity, or collaboration surface.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P0</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Policy and secrets</w:t>
            </w:r>
          </w:p>
        </w:tc>
        <w:tc>
          <w:tcPr>
            <w:tcW w:type="dxa" w:w="68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Authority is limited to tools/delegation/budget. No policy bundles, connector registry, scoped secret references, data classes, or endpoint controls.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P0</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Durability</w:t>
            </w:r>
          </w:p>
        </w:tc>
        <w:tc>
          <w:tcPr>
            <w:tcW w:type="dxa" w:w="68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Live event records exist, but no persisted checkpoints, safe resume after restart, task replay model, or formal long-running wait states.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P0</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Trace and operations</w:t>
            </w:r>
          </w:p>
        </w:tc>
        <w:tc>
          <w:tcPr>
            <w:tcW w:type="dxa" w:w="68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Per-run visibility exists, but no searchable trace explorer, cross-run dashboards, alerts, error taxonomy, retention, or evidence export.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P0</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Quality assurance</w:t>
            </w:r>
          </w:p>
        </w:tc>
        <w:tc>
          <w:tcPr>
            <w:tcW w:type="dxa" w:w="68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Definition of done and artifact capture exist, but there are no evaluation sets, release gates, feedback loops, or regression comparisons.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P1</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Release lifecycle</w:t>
            </w:r>
          </w:p>
        </w:tc>
        <w:tc>
          <w:tcPr>
            <w:tcW w:type="dxa" w:w="68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No drafts, immutable released versions, environment promotion, version diffs, protected production, or rollback.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P1</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Interoperability</w:t>
            </w:r>
          </w:p>
        </w:tc>
        <w:tc>
          <w:tcPr>
            <w:tcW w:type="dxa" w:w="68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No UI/catalog for MCP, APIs, webhooks, chat, issue tracker, source control, or knowledge integrations.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P1</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Task authoring</w:t>
            </w:r>
          </w:p>
        </w:tc>
        <w:tc>
          <w:tcPr>
            <w:tcW w:type="dxa" w:w="68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New tasks use a fixed default authority contract; no templates, risk profile, owner, SLA, policy preview, or execution-mode selection.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P0</w:t>
            </w:r>
          </w:p>
        </w:tc>
      </w:tr>
    </w:tbl>
    <w:p>
      <w:pPr>
        <w:spacing w:after="40"/>
      </w:pPr>
    </w:p>
    <w:p>
      <w:pPr>
        <w:pStyle w:val="Heading1"/>
        <w:keepNext/>
        <w:spacing w:before="260" w:after="100"/>
      </w:pPr>
      <w:r>
        <w:rPr>
          <w:rFonts w:ascii="Aptos" w:hAnsi="Aptos"/>
          <w:b/>
          <w:color w:val="000000"/>
          <w:sz w:val="32"/>
        </w:rPr>
        <w:t>Competitive evidence</w:t>
      </w:r>
    </w:p>
    <w:p>
      <w:pPr>
        <w:keepNext w:val="0"/>
        <w:spacing w:before="0" w:after="100" w:line="278" w:lineRule="auto"/>
      </w:pPr>
      <w:r>
        <w:rPr>
          <w:rFonts w:ascii="Aptos" w:hAnsi="Aptos"/>
          <w:b w:val="0"/>
          <w:color w:val="18232D"/>
          <w:sz w:val="21"/>
        </w:rPr>
        <w:t>The comparison focuses on transferable feature families rather than claiming every competitor edition has every capability. Open-source products set a high bar for visual design, tool integration, run replay, human intervention, and testability. Enterprise products add the control-plane expectations of identity, policy, auditability, lifecycle promotion, and operations.</w:t>
      </w:r>
    </w:p>
    <w:tbl>
      <w:tblPr>
        <w:tblStyle w:val="TableGrid"/>
        <w:tblW w:type="auto" w:w="0"/>
        <w:tblLayout w:type="fixed"/>
        <w:tblLook w:firstColumn="1" w:firstRow="1" w:lastColumn="0" w:lastRow="0" w:noHBand="0" w:noVBand="1" w:val="04A0"/>
      </w:tblPr>
      <w:tblGrid>
        <w:gridCol w:w="3360"/>
        <w:gridCol w:w="3360"/>
        <w:gridCol w:w="3360"/>
      </w:tblGrid>
      <w:tr>
        <w:trPr>
          <w:tblHeader/>
        </w:trPr>
        <w:tc>
          <w:tcPr>
            <w:tcW w:type="dxa" w:w="1656"/>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color w:val="FFFFFF"/>
                <w:sz w:val="17"/>
              </w:rPr>
              <w:t>Platform</w:t>
            </w:r>
          </w:p>
        </w:tc>
        <w:tc>
          <w:tcPr>
            <w:tcW w:type="dxa" w:w="5256"/>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color w:val="FFFFFF"/>
                <w:sz w:val="17"/>
              </w:rPr>
              <w:t>Verified capability family</w:t>
            </w:r>
          </w:p>
        </w:tc>
        <w:tc>
          <w:tcPr>
            <w:tcW w:type="dxa" w:w="2664"/>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color w:val="FFFFFF"/>
                <w:sz w:val="17"/>
              </w:rPr>
              <w:t>CherryOnTop implication</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OpenHands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Repository-first work, sandboxing, budgets, secrets/MCP, Git; Cloud/Enterprise adds collaboration, RBAC, sharing and spend controls.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Project context, spend ownership, shareable case work.</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Langflow</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Visual flow editor, Playground tool-call inspection, API/export/embed, MCP client/server.</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Form + graph views and interop, not a generic graph as the product core.</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Flowise</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Supervisor/worker flows, durable checkpoints, resume, tool approvals, reviewer trace links, workspace controls.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Durable human intervention and action-level traceability.</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Dify</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Logs with cost/latency/traces, team feedback, annotations, replay, archive download, roles.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Feedback-to-improvement loop and reviewable operations.</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n8n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Execution history/retry/replay, version comparison/restore, source-controlled environments, audit.</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Versioned organization and protected production promotion.</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Copilot Studio</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Environment boundaries, RBAC, connector policy, dev/test/prod, publishing, audit and telemetry.</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Enterprise minimum control plane.</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Salesforce Agentforce</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Builder plus debug/trace/testing plane, versions, evaluations, targeted MCP policy and quotas.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Design-to-production evidence must be continuous.</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UiPath</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Synchronized Form/Canvas, tools/context/escalation nodes, trace, breakpoints, history, evaluations.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One underlying definition, several useful user views.</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ServiceNow</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Central orchestration, dynamic selection, parallel tools, user-context actions and approval logs.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Make the organization and accountability chain legible.</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IBM watsonx Orchestrate</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Agent orchestration with deterministic workflow branches, state, long-running and human work.</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Autonomy should operate inside controlled, reviewable lanes.</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LangSmith</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Offline evaluations, online monitoring, feedback loop from production traces to new tests.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Quality is a lifecycle, not an end-of-run claim.</w:t>
            </w:r>
          </w:p>
        </w:tc>
      </w:tr>
    </w:tbl>
    <w:p>
      <w:pPr>
        <w:spacing w:after="40"/>
      </w:pPr>
    </w:p>
    <w:p>
      <w:pPr>
        <w:pStyle w:val="Heading1"/>
        <w:keepNext/>
        <w:spacing w:before="260" w:after="100"/>
      </w:pPr>
      <w:r>
        <w:rPr>
          <w:rFonts w:ascii="Aptos" w:hAnsi="Aptos"/>
          <w:b/>
          <w:color w:val="000000"/>
          <w:sz w:val="32"/>
        </w:rPr>
        <w:t>Design thesis  The accountable AI organization</w:t>
      </w:r>
    </w:p>
    <w:p>
      <w:pPr>
        <w:pStyle w:val="Heading2"/>
        <w:keepNext/>
        <w:spacing w:before="180" w:after="100"/>
      </w:pPr>
      <w:r>
        <w:rPr>
          <w:rFonts w:ascii="Aptos" w:hAnsi="Aptos"/>
          <w:b/>
          <w:color w:val="000000"/>
          <w:sz w:val="25"/>
        </w:rPr>
        <w:t>Organization, not canvas</w:t>
      </w:r>
    </w:p>
    <w:p>
      <w:pPr>
        <w:keepNext w:val="0"/>
        <w:spacing w:before="0" w:after="80" w:line="278" w:lineRule="auto"/>
      </w:pPr>
      <w:r>
        <w:rPr>
          <w:rFonts w:ascii="Aptos" w:hAnsi="Aptos"/>
          <w:b w:val="0"/>
          <w:color w:val="18232D"/>
          <w:sz w:val="21"/>
        </w:rPr>
        <w:t>The primary product object is an accountable organization that performs work. The graph explains roles, delegation, dependencies, and authority; it is not a blank surface users must configure.</w:t>
      </w:r>
    </w:p>
    <w:p>
      <w:pPr>
        <w:pStyle w:val="Heading2"/>
        <w:keepNext/>
        <w:spacing w:before="180" w:after="100"/>
      </w:pPr>
      <w:r>
        <w:rPr>
          <w:rFonts w:ascii="Aptos" w:hAnsi="Aptos"/>
          <w:b/>
          <w:color w:val="000000"/>
          <w:sz w:val="25"/>
        </w:rPr>
        <w:t>Case File before chat</w:t>
      </w:r>
    </w:p>
    <w:p>
      <w:pPr>
        <w:keepNext w:val="0"/>
        <w:spacing w:before="0" w:after="80" w:line="278" w:lineRule="auto"/>
      </w:pPr>
      <w:r>
        <w:rPr>
          <w:rFonts w:ascii="Aptos" w:hAnsi="Aptos"/>
          <w:b w:val="0"/>
          <w:color w:val="18232D"/>
          <w:sz w:val="21"/>
        </w:rPr>
        <w:t>A task view should lead with objective, accountable owner, health, risk, expected outcome, budget, approvals, proof, and the next required human action. The transcript is evidence, not the page hierarchy.</w:t>
      </w:r>
    </w:p>
    <w:p>
      <w:pPr>
        <w:pStyle w:val="Heading2"/>
        <w:keepNext/>
        <w:spacing w:before="180" w:after="100"/>
      </w:pPr>
      <w:r>
        <w:rPr>
          <w:rFonts w:ascii="Aptos" w:hAnsi="Aptos"/>
          <w:b/>
          <w:color w:val="000000"/>
          <w:sz w:val="25"/>
        </w:rPr>
        <w:t>Authority as a product primitive</w:t>
      </w:r>
    </w:p>
    <w:p>
      <w:pPr>
        <w:keepNext w:val="0"/>
        <w:spacing w:before="0" w:after="80" w:line="278" w:lineRule="auto"/>
      </w:pPr>
      <w:r>
        <w:rPr>
          <w:rFonts w:ascii="Aptos" w:hAnsi="Aptos"/>
          <w:b w:val="0"/>
          <w:color w:val="18232D"/>
          <w:sz w:val="21"/>
        </w:rPr>
        <w:t>Every agent card and approval should answer: who authorized this, what can it access, how much may it spend, what data/tool scope applies, what changes at this boundary, and how can a person stop it?</w:t>
      </w:r>
    </w:p>
    <w:p>
      <w:pPr>
        <w:pStyle w:val="Heading2"/>
        <w:keepNext/>
        <w:spacing w:before="180" w:after="100"/>
      </w:pPr>
      <w:r>
        <w:rPr>
          <w:rFonts w:ascii="Aptos" w:hAnsi="Aptos"/>
          <w:b/>
          <w:color w:val="000000"/>
          <w:sz w:val="25"/>
        </w:rPr>
        <w:t>Evidence without opaque reasoning</w:t>
      </w:r>
    </w:p>
    <w:p>
      <w:pPr>
        <w:keepNext w:val="0"/>
        <w:spacing w:before="0" w:after="80" w:line="278" w:lineRule="auto"/>
      </w:pPr>
      <w:r>
        <w:rPr>
          <w:rFonts w:ascii="Aptos" w:hAnsi="Aptos"/>
          <w:b w:val="0"/>
          <w:color w:val="18232D"/>
          <w:sz w:val="21"/>
        </w:rPr>
        <w:t>Show structured decision inputs/outputs, policy evaluation, tool I/O metadata, artifacts, tests, sources, and human interventions. Do not expose or claim to audit private model reasoning.</w:t>
      </w:r>
    </w:p>
    <w:p>
      <w:pPr>
        <w:pStyle w:val="Heading2"/>
        <w:keepNext/>
        <w:spacing w:before="180" w:after="100"/>
      </w:pPr>
      <w:r>
        <w:rPr>
          <w:rFonts w:ascii="Aptos" w:hAnsi="Aptos"/>
          <w:b/>
          <w:color w:val="000000"/>
          <w:sz w:val="25"/>
        </w:rPr>
        <w:t>One definition, useful views</w:t>
      </w:r>
    </w:p>
    <w:p>
      <w:pPr>
        <w:keepNext w:val="0"/>
        <w:spacing w:before="0" w:after="80" w:line="278" w:lineRule="auto"/>
      </w:pPr>
      <w:r>
        <w:rPr>
          <w:rFonts w:ascii="Aptos" w:hAnsi="Aptos"/>
          <w:b w:val="0"/>
          <w:color w:val="18232D"/>
          <w:sz w:val="21"/>
        </w:rPr>
        <w:t>Keep the existing live hierarchy, then add synchronized Case File, Timeline/Trace, Plan/Policy, and Evidence views over the same contracts and events.</w:t>
      </w:r>
    </w:p>
    <w:p>
      <w:pPr>
        <w:pStyle w:val="Heading2"/>
        <w:keepNext/>
        <w:spacing w:before="180" w:after="100"/>
      </w:pPr>
      <w:r>
        <w:rPr>
          <w:rFonts w:ascii="Aptos" w:hAnsi="Aptos"/>
          <w:b/>
          <w:color w:val="000000"/>
          <w:sz w:val="25"/>
        </w:rPr>
        <w:t>Graduated autonomy</w:t>
      </w:r>
    </w:p>
    <w:p>
      <w:pPr>
        <w:keepNext w:val="0"/>
        <w:spacing w:before="0" w:after="80" w:line="278" w:lineRule="auto"/>
      </w:pPr>
      <w:r>
        <w:rPr>
          <w:rFonts w:ascii="Aptos" w:hAnsi="Aptos"/>
          <w:b w:val="0"/>
          <w:color w:val="18232D"/>
          <w:sz w:val="21"/>
        </w:rPr>
        <w:t>A case moves through Observe, Guided, Delegated, and Autonomous modes. Moving modes shows an authority/policy diff and captures the named approver.</w:t>
      </w:r>
    </w:p>
    <w:p>
      <w:pPr>
        <w:pStyle w:val="Heading1"/>
        <w:keepNext/>
        <w:spacing w:before="260" w:after="100"/>
      </w:pPr>
      <w:r>
        <w:rPr>
          <w:rFonts w:ascii="Aptos" w:hAnsi="Aptos"/>
          <w:b/>
          <w:color w:val="000000"/>
          <w:sz w:val="32"/>
        </w:rPr>
        <w:t>The proposed GUI</w:t>
      </w:r>
    </w:p>
    <w:p>
      <w:pPr>
        <w:keepNext w:val="0"/>
        <w:spacing w:before="0" w:after="100" w:line="278" w:lineRule="auto"/>
      </w:pPr>
      <w:r>
        <w:rPr>
          <w:rFonts w:ascii="Aptos" w:hAnsi="Aptos"/>
          <w:b w:val="0"/>
          <w:color w:val="18232D"/>
          <w:sz w:val="21"/>
        </w:rPr>
        <w:t>Retain the current Conversation and Flow views as the operating core. Add a portfolio layer above them and a proof/governance layer beside them. The interface should feel like a mission control center and a case-management system, not a chatbot with more tabs.</w:t>
      </w:r>
    </w:p>
    <w:tbl>
      <w:tblPr>
        <w:tblStyle w:val="TableGrid"/>
        <w:tblW w:type="auto" w:w="0"/>
        <w:tblLayout w:type="fixed"/>
        <w:tblLook w:firstColumn="1" w:firstRow="1" w:lastColumn="0" w:lastRow="0" w:noHBand="0" w:noVBand="1" w:val="04A0"/>
      </w:tblPr>
      <w:tblGrid>
        <w:gridCol w:w="5040"/>
        <w:gridCol w:w="5040"/>
      </w:tblGrid>
      <w:tr>
        <w:trPr>
          <w:tblHeader/>
        </w:trPr>
        <w:tc>
          <w:tcPr>
            <w:tcW w:type="dxa" w:w="172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color w:val="FFFFFF"/>
                <w:sz w:val="17"/>
              </w:rPr>
              <w:t>Surface</w:t>
            </w:r>
          </w:p>
        </w:tc>
        <w:tc>
          <w:tcPr>
            <w:tcW w:type="dxa" w:w="7848"/>
            <w:shd w:fill="17324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color w:val="FFFFFF"/>
                <w:sz w:val="17"/>
              </w:rPr>
              <w:t>Purpose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Portfolio</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Workspace health, active cases, approval queue, SLA/risk/cost/quality trends, attention-required work.</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Cases</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Searchable work cases with owner, template, environment, policy profile, autonomy mode, status, and evidence summary.</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Organization</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Existing Flow upgraded with role cards, live activity, authority/risk overlays, dependency edges, workload and handoff details.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Proof</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Filterable evidence ledger/timeline for delegations, decisions, tool calls, artifacts, tests, approvals, policy checks and results.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Blueprints</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line="252" w:lineRule="auto"/>
            </w:pPr>
            <w:r>
              <w:rPr>
                <w:rFonts w:ascii="Aptos" w:hAnsi="Aptos"/>
                <w:b w:val="0"/>
                <w:color w:val="18232D"/>
                <w:sz w:val="16"/>
              </w:rPr>
              <w:t>Versioned templates and organization/policy definitions. Form-first authoring with an optional graph preview.</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Govern</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4F7FA"/>
          </w:tcPr>
          <w:p>
            <w:pPr>
              <w:spacing w:after="0" w:line="252" w:lineRule="auto"/>
            </w:pPr>
            <w:r>
              <w:rPr>
                <w:rFonts w:ascii="Aptos" w:hAnsi="Aptos"/>
                <w:b w:val="0"/>
                <w:color w:val="18232D"/>
                <w:sz w:val="16"/>
              </w:rPr>
              <w:t>People, service identities, connectors, secrets, policy bundles, environments, release gates and audit exports.</w:t>
            </w:r>
          </w:p>
        </w:tc>
      </w:tr>
    </w:tbl>
    <w:p>
      <w:pPr>
        <w:spacing w:after="40"/>
      </w:pPr>
    </w:p>
    <w:p>
      <w:pPr>
        <w:pStyle w:val="Heading2"/>
        <w:keepNext/>
        <w:spacing w:before="180" w:after="100"/>
      </w:pPr>
      <w:r>
        <w:rPr>
          <w:rFonts w:ascii="Aptos" w:hAnsi="Aptos"/>
          <w:b/>
          <w:color w:val="000000"/>
          <w:sz w:val="25"/>
        </w:rPr>
        <w:t>The Decision Receipt</w:t>
      </w:r>
    </w:p>
    <w:p>
      <w:pPr>
        <w:keepNext w:val="0"/>
        <w:spacing w:before="0" w:after="100" w:line="278" w:lineRule="auto"/>
      </w:pPr>
      <w:r>
        <w:rPr>
          <w:rFonts w:ascii="Aptos" w:hAnsi="Aptos"/>
          <w:b w:val="0"/>
          <w:color w:val="18232D"/>
          <w:sz w:val="21"/>
        </w:rPr>
        <w:t>For a consequential delegation, tool use, budget expansion, release, or failure, provide one compact and shareable receipt: objective; accountable agent and human owner; context classes; decision and alternatives; policy/authority evaluated; tools/data accessed; change or artifact; evidence/quality result; cost/latency; approval or exception; and links to the exact event and organization version. This is both the core UX object and the strongest marketing demonstration.</w:t>
      </w:r>
    </w:p>
    <w:p>
      <w:pPr>
        <w:pStyle w:val="Heading1"/>
        <w:keepNext/>
        <w:spacing w:before="260" w:after="100"/>
      </w:pPr>
      <w:r>
        <w:rPr>
          <w:rFonts w:ascii="Aptos" w:hAnsi="Aptos"/>
          <w:b/>
          <w:color w:val="000000"/>
          <w:sz w:val="32"/>
        </w:rPr>
        <w:t>Implementation roadmap in dependency order</w:t>
      </w:r>
    </w:p>
    <w:p>
      <w:pPr>
        <w:keepNext w:val="0"/>
        <w:spacing w:before="0" w:after="100" w:line="278" w:lineRule="auto"/>
      </w:pPr>
      <w:r>
        <w:rPr>
          <w:rFonts w:ascii="Aptos" w:hAnsi="Aptos"/>
          <w:b w:val="0"/>
          <w:color w:val="18232D"/>
          <w:sz w:val="21"/>
        </w:rPr>
        <w:t>This is a sequence, not a staffing estimate. Deliver each phase as a vertical slice with product, runtime, API, and test evidence. Do not begin a multi-tenant launch before the identity and policy foundations are in place.</w:t>
      </w:r>
    </w:p>
    <w:p>
      <w:pPr>
        <w:pStyle w:val="Heading2"/>
        <w:keepNext/>
        <w:spacing w:before="180" w:after="100"/>
      </w:pPr>
      <w:r>
        <w:rPr>
          <w:rFonts w:ascii="Aptos" w:hAnsi="Aptos"/>
          <w:b/>
          <w:color w:val="000000"/>
          <w:sz w:val="25"/>
        </w:rPr>
        <w:t>Phase 0  Establish the control-plane contract</w:t>
      </w:r>
    </w:p>
    <w:p>
      <w:pPr>
        <w:keepNext w:val="0"/>
        <w:spacing w:before="0" w:after="60" w:line="278" w:lineRule="auto"/>
      </w:pPr>
      <w:r>
        <w:rPr>
          <w:rFonts w:ascii="Aptos" w:hAnsi="Aptos"/>
          <w:b w:val="0"/>
          <w:color w:val="18232D"/>
          <w:sz w:val="21"/>
        </w:rPr>
        <w:t>Create Workspace, Project, Environment, User/ServiceIdentity, PolicyBundle, Connector, SecretReference, OrganizationVersion, Case, Run, TraceSpan, Approval, EvaluationSet, EvaluationRun, and Feedback contracts. Add actor identity and policy/version identifiers to every event, approval, and artifact. Maintain local-first single-user mode while creating a migration path from SQLite to Postgres/object storage. Define draft, test, approved, released, suspended and retired lifecycle states.</w:t>
      </w:r>
    </w:p>
    <w:p>
      <w:pPr>
        <w:spacing w:after="80"/>
      </w:pPr>
      <w:r>
        <w:rPr>
          <w:rFonts w:ascii="Aptos" w:hAnsi="Aptos"/>
          <w:b/>
          <w:color w:val="18232D"/>
          <w:sz w:val="20"/>
        </w:rPr>
        <w:t xml:space="preserve">Acceptance gate: </w:t>
      </w:r>
      <w:r>
        <w:rPr>
          <w:rFonts w:ascii="Aptos" w:hAnsi="Aptos"/>
          <w:b w:val="0"/>
          <w:color w:val="18232D"/>
          <w:sz w:val="20"/>
        </w:rPr>
        <w:t>every run reconstructs the exact organization, policy, runtime, connector version and actor that governed it.</w:t>
      </w:r>
    </w:p>
    <w:p>
      <w:pPr>
        <w:pStyle w:val="Heading2"/>
        <w:keepNext/>
        <w:spacing w:before="180" w:after="100"/>
      </w:pPr>
      <w:r>
        <w:rPr>
          <w:rFonts w:ascii="Aptos" w:hAnsi="Aptos"/>
          <w:b/>
          <w:color w:val="000000"/>
          <w:sz w:val="25"/>
        </w:rPr>
        <w:t>Phase 1  Make accountability visible in the current GUI</w:t>
      </w:r>
    </w:p>
    <w:p>
      <w:pPr>
        <w:keepNext w:val="0"/>
        <w:spacing w:before="0" w:after="60" w:line="278" w:lineRule="auto"/>
      </w:pPr>
      <w:r>
        <w:rPr>
          <w:rFonts w:ascii="Aptos" w:hAnsi="Aptos"/>
          <w:b w:val="0"/>
          <w:color w:val="18232D"/>
          <w:sz w:val="21"/>
        </w:rPr>
        <w:t>Turn each task into a Case File. Add task authoring with template, project/repository, desired outcome, success checks, owner, risk/autonomy profile, budget/deadline and environment. Add Decision Receipts and a filtered Proof timeline. Upgrade Flow with role labels, contract summaries, live activity, authority overlay, dependencies and deep-linked evidence. Add pause/resume/cancel and retry/replay only where state guarantees safety.</w:t>
      </w:r>
    </w:p>
    <w:p>
      <w:pPr>
        <w:spacing w:after="80"/>
      </w:pPr>
      <w:r>
        <w:rPr>
          <w:rFonts w:ascii="Aptos" w:hAnsi="Aptos"/>
          <w:b/>
          <w:color w:val="18232D"/>
          <w:sz w:val="20"/>
        </w:rPr>
        <w:t xml:space="preserve">Acceptance gate: </w:t>
      </w:r>
      <w:r>
        <w:rPr>
          <w:rFonts w:ascii="Aptos" w:hAnsi="Aptos"/>
          <w:b w:val="0"/>
          <w:color w:val="18232D"/>
          <w:sz w:val="20"/>
        </w:rPr>
        <w:t>a nontechnical stakeholder can answer what happened, who owned it, why it was permitted, what changed, and what needs attention without raw logs.</w:t>
      </w:r>
    </w:p>
    <w:p>
      <w:pPr>
        <w:pStyle w:val="Heading2"/>
        <w:keepNext/>
        <w:spacing w:before="180" w:after="100"/>
      </w:pPr>
      <w:r>
        <w:rPr>
          <w:rFonts w:ascii="Aptos" w:hAnsi="Aptos"/>
          <w:b/>
          <w:color w:val="000000"/>
          <w:sz w:val="25"/>
        </w:rPr>
        <w:t>Phase 2  Workspace, identity, policy, and approval controls</w:t>
      </w:r>
    </w:p>
    <w:p>
      <w:pPr>
        <w:keepNext w:val="0"/>
        <w:spacing w:before="0" w:after="60" w:line="278" w:lineRule="auto"/>
      </w:pPr>
      <w:r>
        <w:rPr>
          <w:rFonts w:ascii="Aptos" w:hAnsi="Aptos"/>
          <w:b w:val="0"/>
          <w:color w:val="18232D"/>
          <w:sz w:val="21"/>
        </w:rPr>
        <w:t>Add workspace/project membership, RBAC, named human ownership, service identities, and then SSO/SCIM. Build policy enforcement for connector/tool allowlists, data class, model/runtime, spend/concurrency, required approval, execution mode, retention and egress endpoint. Add scoped secret references and a connector registry. Extend approvals with decision/tool scope, delegated approvers, expiry/SLA, comments, escalation and immutable resolution history.</w:t>
      </w:r>
    </w:p>
    <w:p>
      <w:pPr>
        <w:spacing w:after="80"/>
      </w:pPr>
      <w:r>
        <w:rPr>
          <w:rFonts w:ascii="Aptos" w:hAnsi="Aptos"/>
          <w:b/>
          <w:color w:val="18232D"/>
          <w:sz w:val="20"/>
        </w:rPr>
        <w:t xml:space="preserve">Acceptance gate: </w:t>
      </w:r>
      <w:r>
        <w:rPr>
          <w:rFonts w:ascii="Aptos" w:hAnsi="Aptos"/>
          <w:b w:val="0"/>
          <w:color w:val="18232D"/>
          <w:sz w:val="20"/>
        </w:rPr>
        <w:t>separate projects use separate people, secrets, policies, retention and tool boundaries; a policy simulator explains allow/deny before a run.</w:t>
      </w:r>
    </w:p>
    <w:p>
      <w:pPr>
        <w:pStyle w:val="Heading2"/>
        <w:keepNext/>
        <w:spacing w:before="180" w:after="100"/>
      </w:pPr>
      <w:r>
        <w:rPr>
          <w:rFonts w:ascii="Aptos" w:hAnsi="Aptos"/>
          <w:b/>
          <w:color w:val="000000"/>
          <w:sz w:val="25"/>
        </w:rPr>
        <w:t>Phase 3  Durable operations and observability</w:t>
      </w:r>
    </w:p>
    <w:p>
      <w:pPr>
        <w:keepNext w:val="0"/>
        <w:spacing w:before="0" w:after="60" w:line="278" w:lineRule="auto"/>
      </w:pPr>
      <w:r>
        <w:rPr>
          <w:rFonts w:ascii="Aptos" w:hAnsi="Aptos"/>
          <w:b w:val="0"/>
          <w:color w:val="18232D"/>
          <w:sz w:val="21"/>
        </w:rPr>
        <w:t>Normalize Run -&gt; AgentAttempt -&gt; Decision -&gt; ToolCall -&gt; Artifact -&gt; Evaluation -&gt; Approval traces. Persist checkpoints for safe human/external waits. Add searchable traces, duration/cost/error breakdown, redacted tool I/O metadata, comparison, outcome taxonomy, alerting, budget forecast, queue visibility and evidence export. Emit OpenTelemetry-compatible boundary telemetry.</w:t>
      </w:r>
    </w:p>
    <w:p>
      <w:pPr>
        <w:spacing w:after="80"/>
      </w:pPr>
      <w:r>
        <w:rPr>
          <w:rFonts w:ascii="Aptos" w:hAnsi="Aptos"/>
          <w:b/>
          <w:color w:val="18232D"/>
          <w:sz w:val="20"/>
        </w:rPr>
        <w:t xml:space="preserve">Acceptance gate: </w:t>
      </w:r>
      <w:r>
        <w:rPr>
          <w:rFonts w:ascii="Aptos" w:hAnsi="Aptos"/>
          <w:b w:val="0"/>
          <w:color w:val="18232D"/>
          <w:sz w:val="20"/>
        </w:rPr>
        <w:t>an operator isolates failure by policy, tool, runtime, model, connector, organization version, project or error class and can launch a safe diagnostic replay.</w:t>
      </w:r>
    </w:p>
    <w:p>
      <w:pPr>
        <w:pStyle w:val="Heading2"/>
        <w:keepNext/>
        <w:spacing w:before="180" w:after="100"/>
      </w:pPr>
      <w:r>
        <w:rPr>
          <w:rFonts w:ascii="Aptos" w:hAnsi="Aptos"/>
          <w:b/>
          <w:color w:val="000000"/>
          <w:sz w:val="25"/>
        </w:rPr>
        <w:t>Phase 4  Quality, releases, and controlled autonomy</w:t>
      </w:r>
    </w:p>
    <w:p>
      <w:pPr>
        <w:keepNext w:val="0"/>
        <w:spacing w:before="0" w:after="60" w:line="278" w:lineRule="auto"/>
      </w:pPr>
      <w:r>
        <w:rPr>
          <w:rFonts w:ascii="Aptos" w:hAnsi="Aptos"/>
          <w:b w:val="0"/>
          <w:color w:val="18232D"/>
          <w:sz w:val="21"/>
        </w:rPr>
        <w:t>Add test inputs, evaluation datasets, expected outcomes, policy/safety checks, artifact/test verification, human review and scorecards. Let annotations/incidents generate candidate tests or playbook changes, never automatic production policy changes. Add drafts, immutable releases, diffs, promotion, rollback and approved autonomy-mode changes.</w:t>
      </w:r>
    </w:p>
    <w:p>
      <w:pPr>
        <w:spacing w:after="80"/>
      </w:pPr>
      <w:r>
        <w:rPr>
          <w:rFonts w:ascii="Aptos" w:hAnsi="Aptos"/>
          <w:b/>
          <w:color w:val="18232D"/>
          <w:sz w:val="20"/>
        </w:rPr>
        <w:t xml:space="preserve">Acceptance gate: </w:t>
      </w:r>
      <w:r>
        <w:rPr>
          <w:rFonts w:ascii="Aptos" w:hAnsi="Aptos"/>
          <w:b w:val="0"/>
          <w:color w:val="18232D"/>
          <w:sz w:val="20"/>
        </w:rPr>
        <w:t>production release requires its quality/policy gates and every production run declares its immutable version.</w:t>
      </w:r>
    </w:p>
    <w:p>
      <w:pPr>
        <w:pStyle w:val="Heading2"/>
        <w:keepNext/>
        <w:spacing w:before="180" w:after="100"/>
      </w:pPr>
      <w:r>
        <w:rPr>
          <w:rFonts w:ascii="Aptos" w:hAnsi="Aptos"/>
          <w:b/>
          <w:color w:val="000000"/>
          <w:sz w:val="25"/>
        </w:rPr>
        <w:t>Phase 5  Interoperability and collaboration</w:t>
      </w:r>
    </w:p>
    <w:p>
      <w:pPr>
        <w:keepNext w:val="0"/>
        <w:spacing w:before="0" w:after="60" w:line="278" w:lineRule="auto"/>
      </w:pPr>
      <w:r>
        <w:rPr>
          <w:rFonts w:ascii="Aptos" w:hAnsi="Aptos"/>
          <w:b w:val="0"/>
          <w:color w:val="18232D"/>
          <w:sz w:val="21"/>
        </w:rPr>
        <w:t>Deliver a versioned connector/tool catalog for MCP, GitHub/GitLab, Jira/Linear, Slack/Teams, CI, storage, webhooks and APIs. Begin with Git, issue tracking, chat, generic webhooks and MCP. Add read-only Case/Receipt links, comment/mention subscriptions, approval actions in chat, notifications, exports and APIs.</w:t>
      </w:r>
    </w:p>
    <w:p>
      <w:pPr>
        <w:spacing w:after="80"/>
      </w:pPr>
      <w:r>
        <w:rPr>
          <w:rFonts w:ascii="Aptos" w:hAnsi="Aptos"/>
          <w:b/>
          <w:color w:val="18232D"/>
          <w:sz w:val="20"/>
        </w:rPr>
        <w:t xml:space="preserve">Acceptance gate: </w:t>
      </w:r>
      <w:r>
        <w:rPr>
          <w:rFonts w:ascii="Aptos" w:hAnsi="Aptos"/>
          <w:b w:val="0"/>
          <w:color w:val="18232D"/>
          <w:sz w:val="20"/>
        </w:rPr>
        <w:t>connector health, ownership, deprecation and changed permission scope are visible before impact to a release or run.</w:t>
      </w:r>
    </w:p>
    <w:p>
      <w:pPr>
        <w:pStyle w:val="Heading2"/>
        <w:keepNext/>
        <w:spacing w:before="180" w:after="100"/>
      </w:pPr>
      <w:r>
        <w:rPr>
          <w:rFonts w:ascii="Aptos" w:hAnsi="Aptos"/>
          <w:b/>
          <w:color w:val="000000"/>
          <w:sz w:val="25"/>
        </w:rPr>
        <w:t>Phase 6  Enterprise hardening and scale</w:t>
      </w:r>
    </w:p>
    <w:p>
      <w:pPr>
        <w:keepNext w:val="0"/>
        <w:spacing w:before="0" w:after="60" w:line="278" w:lineRule="auto"/>
      </w:pPr>
      <w:r>
        <w:rPr>
          <w:rFonts w:ascii="Aptos" w:hAnsi="Aptos"/>
          <w:b w:val="0"/>
          <w:color w:val="18232D"/>
          <w:sz w:val="21"/>
        </w:rPr>
        <w:t>Add tenant/domain isolation, SSO/SCIM, audit retention/hold/export, data residency, secret-provider integration, endpoint-level network policy, environment deployment, quotas/rate limits, security posture reports and administrator readiness checks.</w:t>
      </w:r>
    </w:p>
    <w:p>
      <w:pPr>
        <w:spacing w:after="80"/>
      </w:pPr>
      <w:r>
        <w:rPr>
          <w:rFonts w:ascii="Aptos" w:hAnsi="Aptos"/>
          <w:b/>
          <w:color w:val="18232D"/>
          <w:sz w:val="20"/>
        </w:rPr>
        <w:t xml:space="preserve">Acceptance gate: </w:t>
      </w:r>
      <w:r>
        <w:rPr>
          <w:rFonts w:ascii="Aptos" w:hAnsi="Aptos"/>
          <w:b w:val="0"/>
          <w:color w:val="18232D"/>
          <w:sz w:val="20"/>
        </w:rPr>
        <w:t>a security review can demonstrate least privilege from person to agent to tool to data to network endpoint and export a complete case record.</w:t>
      </w:r>
    </w:p>
    <w:p>
      <w:pPr>
        <w:pStyle w:val="Heading1"/>
        <w:keepNext/>
        <w:spacing w:before="260" w:after="100"/>
      </w:pPr>
      <w:r>
        <w:rPr>
          <w:rFonts w:ascii="Aptos" w:hAnsi="Aptos"/>
          <w:b/>
          <w:color w:val="000000"/>
          <w:sz w:val="32"/>
        </w:rPr>
        <w:t>Priority calls</w:t>
      </w:r>
    </w:p>
    <w:p>
      <w:pPr>
        <w:spacing w:after="60"/>
      </w:pPr>
      <w:r>
        <w:rPr>
          <w:rFonts w:ascii="Aptos" w:hAnsi="Aptos"/>
          <w:b/>
          <w:color w:val="18232D"/>
          <w:sz w:val="21"/>
        </w:rPr>
        <w:t xml:space="preserve">Build now: </w:t>
      </w:r>
      <w:r>
        <w:rPr>
          <w:rFonts w:ascii="Aptos" w:hAnsi="Aptos"/>
          <w:b w:val="0"/>
          <w:color w:val="18232D"/>
          <w:sz w:val="21"/>
        </w:rPr>
        <w:t>Case File, Decision Receipt, deep-linked evidence timeline, templates and task-authoring form, policy metadata on events, budget/queue visibility, safe pause/retry/replay primitives, and workspace/role data model.</w:t>
      </w:r>
    </w:p>
    <w:p>
      <w:pPr>
        <w:spacing w:after="60"/>
      </w:pPr>
      <w:r>
        <w:rPr>
          <w:rFonts w:ascii="Aptos" w:hAnsi="Aptos"/>
          <w:b/>
          <w:color w:val="18232D"/>
          <w:sz w:val="21"/>
        </w:rPr>
        <w:t xml:space="preserve">Build next: </w:t>
      </w:r>
      <w:r>
        <w:rPr>
          <w:rFonts w:ascii="Aptos" w:hAnsi="Aptos"/>
          <w:b w:val="0"/>
          <w:color w:val="18232D"/>
          <w:sz w:val="21"/>
        </w:rPr>
        <w:t>Policy simulation/enforcement, connector and secret registry, durable checkpoints, trace explorer, operations dashboard, evaluation and feedback loops, version/release mechanics.</w:t>
      </w:r>
    </w:p>
    <w:p>
      <w:pPr>
        <w:spacing w:after="60"/>
      </w:pPr>
      <w:r>
        <w:rPr>
          <w:rFonts w:ascii="Aptos" w:hAnsi="Aptos"/>
          <w:b/>
          <w:color w:val="18232D"/>
          <w:sz w:val="21"/>
        </w:rPr>
        <w:t xml:space="preserve">Build after the foundation is credible: </w:t>
      </w:r>
      <w:r>
        <w:rPr>
          <w:rFonts w:ascii="Aptos" w:hAnsi="Aptos"/>
          <w:b w:val="0"/>
          <w:color w:val="18232D"/>
          <w:sz w:val="21"/>
        </w:rPr>
        <w:t>Full visual blueprint editor, broad connector marketplace, SaaS multitenancy, SSO/SCIM, advanced compliance/residency, and general-purpose workflow canvas.</w:t>
      </w:r>
    </w:p>
    <w:p>
      <w:pPr>
        <w:spacing w:after="60"/>
      </w:pPr>
      <w:r>
        <w:rPr>
          <w:rFonts w:ascii="Aptos" w:hAnsi="Aptos"/>
          <w:b/>
          <w:color w:val="18232D"/>
          <w:sz w:val="21"/>
        </w:rPr>
        <w:t xml:space="preserve">Do not copy: </w:t>
      </w:r>
      <w:r>
        <w:rPr>
          <w:rFonts w:ascii="Aptos" w:hAnsi="Aptos"/>
          <w:b w:val="0"/>
          <w:color w:val="18232D"/>
          <w:sz w:val="21"/>
        </w:rPr>
        <w:t>An unconstrained drag-and-drop canvas as the core product; hundreds of shallow connectors before policy/ownership; freeform production editing without release gates; or opaque “AI audit” claims based on raw model reasoning.</w:t>
      </w:r>
    </w:p>
    <w:p>
      <w:pPr>
        <w:pStyle w:val="Heading1"/>
        <w:keepNext/>
        <w:spacing w:before="260" w:after="100"/>
      </w:pPr>
      <w:r>
        <w:rPr>
          <w:rFonts w:ascii="Aptos" w:hAnsi="Aptos"/>
          <w:b/>
          <w:color w:val="000000"/>
          <w:sz w:val="32"/>
        </w:rPr>
        <w:t>Measures that prove the strategy</w:t>
      </w:r>
    </w:p>
    <w:p>
      <w:pPr>
        <w:pStyle w:val="ListBullet"/>
        <w:spacing w:after="40" w:line="264" w:lineRule="auto"/>
      </w:pPr>
      <w:r>
        <w:rPr>
          <w:rFonts w:ascii="Aptos" w:hAnsi="Aptos"/>
          <w:b w:val="0"/>
          <w:color w:val="18232D"/>
          <w:sz w:val="20"/>
        </w:rPr>
        <w:t>Time to answer “what happened and why?” from the GUI, measured in moderated customer sessions.</w:t>
      </w:r>
    </w:p>
    <w:p>
      <w:pPr>
        <w:pStyle w:val="ListBullet"/>
        <w:spacing w:after="40" w:line="264" w:lineRule="auto"/>
      </w:pPr>
      <w:r>
        <w:rPr>
          <w:rFonts w:ascii="Aptos" w:hAnsi="Aptos"/>
          <w:b w:val="0"/>
          <w:color w:val="18232D"/>
          <w:sz w:val="20"/>
        </w:rPr>
        <w:t>Share of consequential actions with a complete Decision Receipt and linked evidence.</w:t>
      </w:r>
    </w:p>
    <w:p>
      <w:pPr>
        <w:pStyle w:val="ListBullet"/>
        <w:spacing w:after="40" w:line="264" w:lineRule="auto"/>
      </w:pPr>
      <w:r>
        <w:rPr>
          <w:rFonts w:ascii="Aptos" w:hAnsi="Aptos"/>
          <w:b w:val="0"/>
          <w:color w:val="18232D"/>
          <w:sz w:val="20"/>
        </w:rPr>
        <w:t>Approval response time, escalation rate, and prevented out-of-policy actions.</w:t>
      </w:r>
    </w:p>
    <w:p>
      <w:pPr>
        <w:pStyle w:val="ListBullet"/>
        <w:spacing w:after="40" w:line="264" w:lineRule="auto"/>
      </w:pPr>
      <w:r>
        <w:rPr>
          <w:rFonts w:ascii="Aptos" w:hAnsi="Aptos"/>
          <w:b w:val="0"/>
          <w:color w:val="18232D"/>
          <w:sz w:val="20"/>
        </w:rPr>
        <w:t>Completed-case success, verified-definition-of-done, safe replay/retry recovery, and human rework rates.</w:t>
      </w:r>
    </w:p>
    <w:p>
      <w:pPr>
        <w:pStyle w:val="ListBullet"/>
        <w:spacing w:after="40" w:line="264" w:lineRule="auto"/>
      </w:pPr>
      <w:r>
        <w:rPr>
          <w:rFonts w:ascii="Aptos" w:hAnsi="Aptos"/>
          <w:b w:val="0"/>
          <w:color w:val="18232D"/>
          <w:sz w:val="20"/>
        </w:rPr>
        <w:t>Cost, latency and success by organization version, runtime/model, tool/connector, template, risk mode and project.</w:t>
      </w:r>
    </w:p>
    <w:p>
      <w:pPr>
        <w:pStyle w:val="ListBullet"/>
        <w:spacing w:after="40" w:line="264" w:lineRule="auto"/>
      </w:pPr>
      <w:r>
        <w:rPr>
          <w:rFonts w:ascii="Aptos" w:hAnsi="Aptos"/>
          <w:b w:val="0"/>
          <w:color w:val="18232D"/>
          <w:sz w:val="20"/>
        </w:rPr>
        <w:t>Evaluation coverage before release, post-release regression, and feedback-to-test conversion.</w:t>
      </w:r>
    </w:p>
    <w:p>
      <w:pPr>
        <w:pStyle w:val="ListBullet"/>
        <w:spacing w:after="40" w:line="264" w:lineRule="auto"/>
      </w:pPr>
      <w:r>
        <w:rPr>
          <w:rFonts w:ascii="Aptos" w:hAnsi="Aptos"/>
          <w:b w:val="0"/>
          <w:color w:val="18232D"/>
          <w:sz w:val="20"/>
        </w:rPr>
        <w:t>Policy coverage: runs with named owner, identity, environment, policy, version, tool/data scope and retention classification.</w:t>
      </w:r>
    </w:p>
    <w:p>
      <w:pPr>
        <w:pStyle w:val="Heading1"/>
        <w:keepNext/>
        <w:spacing w:before="260" w:after="100"/>
      </w:pPr>
      <w:r>
        <w:rPr>
          <w:rFonts w:ascii="Aptos" w:hAnsi="Aptos"/>
          <w:b/>
          <w:color w:val="000000"/>
          <w:sz w:val="32"/>
        </w:rPr>
        <w:t>Source notes</w:t>
      </w:r>
    </w:p>
    <w:p>
      <w:pPr>
        <w:keepNext w:val="0"/>
        <w:spacing w:before="0" w:after="100" w:line="278" w:lineRule="auto"/>
      </w:pPr>
      <w:r>
        <w:rPr>
          <w:rFonts w:ascii="Aptos" w:hAnsi="Aptos"/>
          <w:b w:val="0"/>
          <w:color w:val="18232D"/>
          <w:sz w:val="21"/>
        </w:rPr>
        <w:t>All external claims in this report use public first-party documentation accessed on 7 September 2026. Edition, tenant, and preview availability varies. The research stopped when independent sources converged on control-plane, durability, observability, release, and governance requirements; further broad searches repeated those findings.</w:t>
      </w:r>
    </w:p>
    <w:p>
      <w:pPr>
        <w:pStyle w:val="ListBullet"/>
        <w:spacing w:after="20"/>
      </w:pPr>
      <w:r>
        <w:rPr>
          <w:rFonts w:ascii="Aptos" w:hAnsi="Aptos"/>
          <w:b/>
          <w:color w:val="18232D"/>
          <w:sz w:val="17"/>
        </w:rPr>
        <w:t xml:space="preserve">OpenHands — Cloud UI, roles/permissions, budgets and runtime architecture: </w:t>
      </w:r>
      <w:hyperlink r:id="rId9">
        <w:r>
          <w:rPr>
            <w:color w:val="0563C1"/>
            <w:u w:val="single"/>
          </w:rPr>
          <w:t>https://docs.openhands.dev/openhands/usage/cloud/cloud-ui</w:t>
        </w:r>
      </w:hyperlink>
    </w:p>
    <w:p>
      <w:pPr>
        <w:pStyle w:val="ListBullet"/>
        <w:spacing w:after="20"/>
      </w:pPr>
      <w:r>
        <w:rPr>
          <w:rFonts w:ascii="Aptos" w:hAnsi="Aptos"/>
          <w:b/>
          <w:color w:val="18232D"/>
          <w:sz w:val="17"/>
        </w:rPr>
        <w:t xml:space="preserve">Langflow — Visual editor, Playground and MCP server: </w:t>
      </w:r>
      <w:hyperlink r:id="rId10">
        <w:r>
          <w:rPr>
            <w:color w:val="0563C1"/>
            <w:u w:val="single"/>
          </w:rPr>
          <w:t>https://docs.langflow.org/concepts-overview</w:t>
        </w:r>
      </w:hyperlink>
    </w:p>
    <w:p>
      <w:pPr>
        <w:pStyle w:val="ListBullet"/>
        <w:spacing w:after="20"/>
      </w:pPr>
      <w:r>
        <w:rPr>
          <w:rFonts w:ascii="Aptos" w:hAnsi="Aptos"/>
          <w:b/>
          <w:color w:val="18232D"/>
          <w:sz w:val="17"/>
        </w:rPr>
        <w:t xml:space="preserve">Flowise — Agentflow V2 and human-in-the-loop: </w:t>
      </w:r>
      <w:hyperlink r:id="rId11">
        <w:r>
          <w:rPr>
            <w:color w:val="0563C1"/>
            <w:u w:val="single"/>
          </w:rPr>
          <w:t>https://docs.flowiseai.com/using-flowise/agentflowv2</w:t>
        </w:r>
      </w:hyperlink>
    </w:p>
    <w:p>
      <w:pPr>
        <w:pStyle w:val="ListBullet"/>
        <w:spacing w:after="20"/>
      </w:pPr>
      <w:r>
        <w:rPr>
          <w:rFonts w:ascii="Aptos" w:hAnsi="Aptos"/>
          <w:b/>
          <w:color w:val="18232D"/>
          <w:sz w:val="17"/>
        </w:rPr>
        <w:t xml:space="preserve">Dify — Logs, run inspection, feedback, replay and retention: </w:t>
      </w:r>
      <w:hyperlink r:id="rId12">
        <w:r>
          <w:rPr>
            <w:color w:val="0563C1"/>
            <w:u w:val="single"/>
          </w:rPr>
          <w:t>https://docs.dify.ai/en/cloud/use-dify/monitor/logs</w:t>
        </w:r>
      </w:hyperlink>
    </w:p>
    <w:p>
      <w:pPr>
        <w:pStyle w:val="ListBullet"/>
        <w:spacing w:after="20"/>
      </w:pPr>
      <w:r>
        <w:rPr>
          <w:rFonts w:ascii="Aptos" w:hAnsi="Aptos"/>
          <w:b/>
          <w:color w:val="18232D"/>
          <w:sz w:val="17"/>
        </w:rPr>
        <w:t xml:space="preserve">n8n — Execution history, version history and environments: </w:t>
      </w:r>
      <w:hyperlink r:id="rId13">
        <w:r>
          <w:rPr>
            <w:color w:val="0563C1"/>
            <w:u w:val="single"/>
          </w:rPr>
          <w:t>https://docs.n8n.io/workflows/executions/all-executions/</w:t>
        </w:r>
      </w:hyperlink>
    </w:p>
    <w:p>
      <w:pPr>
        <w:pStyle w:val="ListBullet"/>
        <w:spacing w:after="20"/>
      </w:pPr>
      <w:r>
        <w:rPr>
          <w:rFonts w:ascii="Aptos" w:hAnsi="Aptos"/>
          <w:b/>
          <w:color w:val="18232D"/>
          <w:sz w:val="17"/>
        </w:rPr>
        <w:t xml:space="preserve">Microsoft Copilot Studio — Zoned governance and lifecycle controls: </w:t>
      </w:r>
      <w:hyperlink r:id="rId14">
        <w:r>
          <w:rPr>
            <w:color w:val="0563C1"/>
            <w:u w:val="single"/>
          </w:rPr>
          <w:t>https://learn.microsoft.com/en-us/microsoft-copilot-studio/guidance/sec-gov-phase2</w:t>
        </w:r>
      </w:hyperlink>
    </w:p>
    <w:p>
      <w:pPr>
        <w:pStyle w:val="ListBullet"/>
        <w:spacing w:after="20"/>
      </w:pPr>
      <w:r>
        <w:rPr>
          <w:rFonts w:ascii="Aptos" w:hAnsi="Aptos"/>
          <w:b/>
          <w:color w:val="18232D"/>
          <w:sz w:val="17"/>
        </w:rPr>
        <w:t xml:space="preserve">Salesforce Agentforce — Builder, testing, analytics and agent-scoped MCP policy: </w:t>
      </w:r>
      <w:hyperlink r:id="rId15">
        <w:r>
          <w:rPr>
            <w:color w:val="0563C1"/>
            <w:u w:val="single"/>
          </w:rPr>
          <w:t>https://help.salesforce.com/s/articleView?id=ai.agent_builder_tour.htm&amp;language=en_US</w:t>
        </w:r>
      </w:hyperlink>
    </w:p>
    <w:p>
      <w:pPr>
        <w:pStyle w:val="ListBullet"/>
        <w:spacing w:after="20"/>
      </w:pPr>
      <w:r>
        <w:rPr>
          <w:rFonts w:ascii="Aptos" w:hAnsi="Aptos"/>
          <w:b/>
          <w:color w:val="18232D"/>
          <w:sz w:val="17"/>
        </w:rPr>
        <w:t xml:space="preserve">UiPath Agents — Studio Web builder, Form/Canvas, trace, tools, escalation and evaluations: </w:t>
      </w:r>
      <w:hyperlink r:id="rId16">
        <w:r>
          <w:rPr>
            <w:color w:val="0563C1"/>
            <w:u w:val="single"/>
          </w:rPr>
          <w:t>https://docs.uipath.com/agents/automation-cloud/latest/user-guide/building-an-agent-in-studio-web</w:t>
        </w:r>
      </w:hyperlink>
    </w:p>
    <w:p>
      <w:pPr>
        <w:pStyle w:val="ListBullet"/>
        <w:spacing w:after="20"/>
      </w:pPr>
      <w:r>
        <w:rPr>
          <w:rFonts w:ascii="Aptos" w:hAnsi="Aptos"/>
          <w:b/>
          <w:color w:val="18232D"/>
          <w:sz w:val="17"/>
        </w:rPr>
        <w:t xml:space="preserve">ServiceNow — AI Agent Orchestrator and accountable user-context actions: </w:t>
      </w:r>
      <w:hyperlink r:id="rId17">
        <w:r>
          <w:rPr>
            <w:color w:val="0563C1"/>
            <w:u w:val="single"/>
          </w:rPr>
          <w:t>https://www.servicenow.com/docs/r/intelligent-experiences/understand-na-aia.html</w:t>
        </w:r>
      </w:hyperlink>
    </w:p>
    <w:p>
      <w:pPr>
        <w:pStyle w:val="ListBullet"/>
        <w:spacing w:after="20"/>
      </w:pPr>
      <w:r>
        <w:rPr>
          <w:rFonts w:ascii="Aptos" w:hAnsi="Aptos"/>
          <w:b/>
          <w:color w:val="18232D"/>
          <w:sz w:val="17"/>
        </w:rPr>
        <w:t xml:space="preserve">IBM watsonx Orchestrate — Agent orchestration and deterministic agentic workflows: </w:t>
      </w:r>
      <w:hyperlink r:id="rId18">
        <w:r>
          <w:rPr>
            <w:color w:val="0563C1"/>
            <w:u w:val="single"/>
          </w:rPr>
          <w:t>https://www.ibm.com/docs/en/watsonx/watson-orchestrate/base?topic=tools-agentic-workflows</w:t>
        </w:r>
      </w:hyperlink>
    </w:p>
    <w:p>
      <w:pPr>
        <w:pStyle w:val="ListBullet"/>
        <w:spacing w:after="20"/>
      </w:pPr>
      <w:r>
        <w:rPr>
          <w:rFonts w:ascii="Aptos" w:hAnsi="Aptos"/>
          <w:b/>
          <w:color w:val="18232D"/>
          <w:sz w:val="17"/>
        </w:rPr>
        <w:t xml:space="preserve">LangSmith — Offline/online evaluation and platform deployment: </w:t>
      </w:r>
      <w:hyperlink r:id="rId19">
        <w:r>
          <w:rPr>
            <w:color w:val="0563C1"/>
            <w:u w:val="single"/>
          </w:rPr>
          <w:t>https://docs.langchain.com/langsmith/evaluation</w:t>
        </w:r>
      </w:hyperlink>
    </w:p>
    <w:sectPr w:rsidR="00FC693F" w:rsidRPr="0006063C" w:rsidSect="00034616">
      <w:footerReference w:type="default" r:id="rId2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36474"/>
        <w:sz w:val="16"/>
      </w:rPr>
      <w:t xml:space="preserve">CherryOnTop Product Strategy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openhands.dev/openhands/usage/cloud/cloud-ui" TargetMode="External"/><Relationship Id="rId10" Type="http://schemas.openxmlformats.org/officeDocument/2006/relationships/hyperlink" Target="https://docs.langflow.org/concepts-overview" TargetMode="External"/><Relationship Id="rId11" Type="http://schemas.openxmlformats.org/officeDocument/2006/relationships/hyperlink" Target="https://docs.flowiseai.com/using-flowise/agentflowv2" TargetMode="External"/><Relationship Id="rId12" Type="http://schemas.openxmlformats.org/officeDocument/2006/relationships/hyperlink" Target="https://docs.dify.ai/en/cloud/use-dify/monitor/logs" TargetMode="External"/><Relationship Id="rId13" Type="http://schemas.openxmlformats.org/officeDocument/2006/relationships/hyperlink" Target="https://docs.n8n.io/workflows/executions/all-executions/" TargetMode="External"/><Relationship Id="rId14" Type="http://schemas.openxmlformats.org/officeDocument/2006/relationships/hyperlink" Target="https://learn.microsoft.com/en-us/microsoft-copilot-studio/guidance/sec-gov-phase2" TargetMode="External"/><Relationship Id="rId15" Type="http://schemas.openxmlformats.org/officeDocument/2006/relationships/hyperlink" Target="https://help.salesforce.com/s/articleView?id=ai.agent_builder_tour.htm&amp;language=en_US" TargetMode="External"/><Relationship Id="rId16" Type="http://schemas.openxmlformats.org/officeDocument/2006/relationships/hyperlink" Target="https://docs.uipath.com/agents/automation-cloud/latest/user-guide/building-an-agent-in-studio-web" TargetMode="External"/><Relationship Id="rId17" Type="http://schemas.openxmlformats.org/officeDocument/2006/relationships/hyperlink" Target="https://www.servicenow.com/docs/r/intelligent-experiences/understand-na-aia.html" TargetMode="External"/><Relationship Id="rId18" Type="http://schemas.openxmlformats.org/officeDocument/2006/relationships/hyperlink" Target="https://www.ibm.com/docs/en/watsonx/watson-orchestrate/base?topic=tools-agentic-workflows" TargetMode="External"/><Relationship Id="rId19" Type="http://schemas.openxmlformats.org/officeDocument/2006/relationships/hyperlink" Target="https://docs.langchain.com/langsmith/evaluation"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