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08A9" w14:textId="762C583E" w:rsidR="006E5CDF" w:rsidRPr="00066147" w:rsidRDefault="006E5CDF" w:rsidP="00066147">
      <w:pPr>
        <w:rPr>
          <w:rFonts w:ascii="Times New Roman" w:hAnsi="Times New Roman" w:cs="Times New Roman"/>
          <w:sz w:val="24"/>
          <w:szCs w:val="24"/>
        </w:rPr>
      </w:pPr>
      <w:r w:rsidRPr="00066147">
        <w:rPr>
          <w:rFonts w:ascii="Times New Roman" w:hAnsi="Times New Roman" w:cs="Times New Roman"/>
          <w:b/>
          <w:bCs/>
          <w:sz w:val="36"/>
          <w:szCs w:val="36"/>
        </w:rPr>
        <w:t>IoT Applications in Smart Agriculture Technical Report</w:t>
      </w:r>
      <w:r w:rsidRPr="00066147">
        <w:rPr>
          <w:rFonts w:ascii="Times New Roman" w:hAnsi="Times New Roman" w:cs="Times New Roman"/>
          <w:sz w:val="36"/>
          <w:szCs w:val="36"/>
        </w:rPr>
        <w:t xml:space="preserve"> </w:t>
      </w:r>
      <w:r w:rsidR="004A2B2B" w:rsidRPr="00066147">
        <w:rPr>
          <w:rFonts w:ascii="Times New Roman" w:hAnsi="Times New Roman" w:cs="Times New Roman"/>
          <w:sz w:val="24"/>
          <w:szCs w:val="24"/>
        </w:rPr>
        <w:br/>
      </w:r>
      <w:r w:rsidRPr="00066147">
        <w:rPr>
          <w:rFonts w:ascii="Times New Roman" w:hAnsi="Times New Roman" w:cs="Times New Roman"/>
          <w:sz w:val="24"/>
          <w:szCs w:val="24"/>
        </w:rPr>
        <w:t xml:space="preserve">Internship Application Submitted by: Abhay </w:t>
      </w:r>
      <w:r w:rsidR="00066147" w:rsidRPr="00066147">
        <w:rPr>
          <w:rFonts w:ascii="Times New Roman" w:hAnsi="Times New Roman" w:cs="Times New Roman"/>
          <w:sz w:val="24"/>
          <w:szCs w:val="24"/>
        </w:rPr>
        <w:t>Singh Chouhan</w:t>
      </w:r>
      <w:r w:rsidR="00066147" w:rsidRPr="00066147">
        <w:rPr>
          <w:rFonts w:ascii="Times New Roman" w:hAnsi="Times New Roman" w:cs="Times New Roman"/>
          <w:sz w:val="24"/>
          <w:szCs w:val="24"/>
        </w:rPr>
        <w:br/>
      </w:r>
      <w:r w:rsidRPr="00066147">
        <w:rPr>
          <w:rFonts w:ascii="Times New Roman" w:hAnsi="Times New Roman" w:cs="Times New Roman"/>
          <w:sz w:val="24"/>
          <w:szCs w:val="24"/>
        </w:rPr>
        <w:t>Programme:</w:t>
      </w:r>
      <w:r w:rsidR="00066147" w:rsidRPr="00066147">
        <w:rPr>
          <w:rFonts w:ascii="Times New Roman" w:hAnsi="Times New Roman" w:cs="Times New Roman"/>
          <w:sz w:val="24"/>
          <w:szCs w:val="24"/>
        </w:rPr>
        <w:t xml:space="preserve"> </w:t>
      </w:r>
      <w:proofErr w:type="spellStart"/>
      <w:proofErr w:type="gramStart"/>
      <w:r w:rsidRPr="00066147">
        <w:rPr>
          <w:rFonts w:ascii="Times New Roman" w:hAnsi="Times New Roman" w:cs="Times New Roman"/>
          <w:sz w:val="24"/>
          <w:szCs w:val="24"/>
        </w:rPr>
        <w:t>B.Tech</w:t>
      </w:r>
      <w:proofErr w:type="spellEnd"/>
      <w:proofErr w:type="gramEnd"/>
      <w:r w:rsidRPr="00066147">
        <w:rPr>
          <w:rFonts w:ascii="Times New Roman" w:hAnsi="Times New Roman" w:cs="Times New Roman"/>
          <w:sz w:val="24"/>
          <w:szCs w:val="24"/>
        </w:rPr>
        <w:t xml:space="preserve"> Electronics &amp; Communication Engineering (ECE) </w:t>
      </w:r>
      <w:r w:rsidR="004A2B2B" w:rsidRPr="00066147">
        <w:rPr>
          <w:rFonts w:ascii="Times New Roman" w:hAnsi="Times New Roman" w:cs="Times New Roman"/>
          <w:sz w:val="24"/>
          <w:szCs w:val="24"/>
        </w:rPr>
        <w:br/>
      </w:r>
      <w:r w:rsidRPr="00066147">
        <w:rPr>
          <w:rFonts w:ascii="Times New Roman" w:hAnsi="Times New Roman" w:cs="Times New Roman"/>
          <w:sz w:val="24"/>
          <w:szCs w:val="24"/>
        </w:rPr>
        <w:t xml:space="preserve">Institution: SRM Institute of Science and Technology (SRMIST), Chennai </w:t>
      </w:r>
      <w:r w:rsidR="00066147" w:rsidRPr="00066147">
        <w:rPr>
          <w:rFonts w:ascii="Times New Roman" w:hAnsi="Times New Roman" w:cs="Times New Roman"/>
          <w:sz w:val="24"/>
          <w:szCs w:val="24"/>
        </w:rPr>
        <w:br/>
      </w:r>
      <w:r w:rsidRPr="00066147">
        <w:rPr>
          <w:rFonts w:ascii="Times New Roman" w:hAnsi="Times New Roman" w:cs="Times New Roman"/>
          <w:sz w:val="24"/>
          <w:szCs w:val="24"/>
        </w:rPr>
        <w:t xml:space="preserve">Expected Graduation: 2028 </w:t>
      </w:r>
      <w:r w:rsidR="00066147" w:rsidRPr="00066147">
        <w:rPr>
          <w:rFonts w:ascii="Times New Roman" w:hAnsi="Times New Roman" w:cs="Times New Roman"/>
          <w:sz w:val="24"/>
          <w:szCs w:val="24"/>
        </w:rPr>
        <w:br/>
      </w:r>
      <w:r w:rsidRPr="00066147">
        <w:rPr>
          <w:rFonts w:ascii="Times New Roman" w:hAnsi="Times New Roman" w:cs="Times New Roman"/>
          <w:sz w:val="24"/>
          <w:szCs w:val="24"/>
        </w:rPr>
        <w:t xml:space="preserve">GitHub: </w:t>
      </w:r>
      <w:r w:rsidR="00736E16" w:rsidRPr="00736E16">
        <w:rPr>
          <w:rFonts w:ascii="Times New Roman" w:hAnsi="Times New Roman" w:cs="Times New Roman"/>
          <w:sz w:val="24"/>
          <w:szCs w:val="24"/>
        </w:rPr>
        <w:t>github.com/</w:t>
      </w:r>
      <w:proofErr w:type="spellStart"/>
      <w:r w:rsidR="00736E16" w:rsidRPr="00736E16">
        <w:rPr>
          <w:rFonts w:ascii="Times New Roman" w:hAnsi="Times New Roman" w:cs="Times New Roman"/>
          <w:sz w:val="24"/>
          <w:szCs w:val="24"/>
        </w:rPr>
        <w:t>abhaycore</w:t>
      </w:r>
      <w:proofErr w:type="spellEnd"/>
      <w:r w:rsidR="00066147" w:rsidRPr="00066147">
        <w:rPr>
          <w:rFonts w:ascii="Times New Roman" w:hAnsi="Times New Roman" w:cs="Times New Roman"/>
          <w:sz w:val="24"/>
          <w:szCs w:val="24"/>
        </w:rPr>
        <w:br/>
      </w:r>
      <w:r w:rsidRPr="00066147">
        <w:rPr>
          <w:rFonts w:ascii="Times New Roman" w:hAnsi="Times New Roman" w:cs="Times New Roman"/>
          <w:sz w:val="24"/>
          <w:szCs w:val="24"/>
        </w:rPr>
        <w:t>Date: May 2026</w:t>
      </w:r>
    </w:p>
    <w:p w14:paraId="0B64F65E" w14:textId="607EAC9F" w:rsidR="006E5CDF" w:rsidRPr="00066147" w:rsidRDefault="006E5CDF" w:rsidP="00066147">
      <w:pPr>
        <w:jc w:val="both"/>
        <w:rPr>
          <w:rFonts w:ascii="Times New Roman" w:hAnsi="Times New Roman" w:cs="Times New Roman"/>
          <w:sz w:val="24"/>
          <w:szCs w:val="24"/>
        </w:rPr>
      </w:pPr>
    </w:p>
    <w:p w14:paraId="3B4C25C0" w14:textId="77777777" w:rsidR="006E5CDF" w:rsidRPr="00066147" w:rsidRDefault="006E5CDF" w:rsidP="00066147">
      <w:pPr>
        <w:jc w:val="both"/>
        <w:rPr>
          <w:rFonts w:ascii="Times New Roman" w:hAnsi="Times New Roman" w:cs="Times New Roman"/>
          <w:b/>
          <w:bCs/>
          <w:sz w:val="32"/>
          <w:szCs w:val="32"/>
        </w:rPr>
      </w:pPr>
      <w:r w:rsidRPr="00066147">
        <w:rPr>
          <w:rFonts w:ascii="Times New Roman" w:hAnsi="Times New Roman" w:cs="Times New Roman"/>
          <w:b/>
          <w:bCs/>
          <w:sz w:val="32"/>
          <w:szCs w:val="32"/>
        </w:rPr>
        <w:t>Abstract</w:t>
      </w:r>
    </w:p>
    <w:p w14:paraId="73511A07" w14:textId="241DA6B9"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Farming has always been hard work. But over the last decade, a quiet technological revolution has been changing what that work actually looks like — and the Internet of Things sits right at the centre of it. This report takes a close look at how IoT is being deployed across modern agricultural systems, from the sensors buried in soil to the </w:t>
      </w:r>
      <w:r w:rsidR="00B44B8A" w:rsidRPr="00066147">
        <w:rPr>
          <w:rFonts w:ascii="Times New Roman" w:hAnsi="Times New Roman" w:cs="Times New Roman"/>
          <w:sz w:val="24"/>
          <w:szCs w:val="24"/>
        </w:rPr>
        <w:t>drone’s</w:t>
      </w:r>
      <w:r w:rsidRPr="00066147">
        <w:rPr>
          <w:rFonts w:ascii="Times New Roman" w:hAnsi="Times New Roman" w:cs="Times New Roman"/>
          <w:sz w:val="24"/>
          <w:szCs w:val="24"/>
        </w:rPr>
        <w:t xml:space="preserve"> scanning crops from above to the cold storage units keeping produce fresh hundreds of kilometres from the farm. It covers system architecture, the major application areas, a methodology section explaining how this review was conducted, real numbers from documented deployments, five case studies drawn from India, Australia, and the Netherlands, and an honest assessment of the barriers that still hold this technology back. It also looks ahead at where things are going — AI, edge computing, 5G, and blockchain all have a role to play. Every claim in this report is backed by published research or verified industry data from between 2016 and 2024.</w:t>
      </w:r>
    </w:p>
    <w:p w14:paraId="5810CEF4" w14:textId="77777777" w:rsidR="000871CB" w:rsidRPr="00066147" w:rsidRDefault="000871CB" w:rsidP="00066147">
      <w:pPr>
        <w:jc w:val="both"/>
        <w:rPr>
          <w:rFonts w:ascii="Times New Roman" w:hAnsi="Times New Roman" w:cs="Times New Roman"/>
          <w:sz w:val="24"/>
          <w:szCs w:val="24"/>
        </w:rPr>
        <w:sectPr w:rsidR="000871CB" w:rsidRPr="00066147" w:rsidSect="00912D0A">
          <w:pgSz w:w="11906" w:h="16838"/>
          <w:pgMar w:top="1440" w:right="1440" w:bottom="1440" w:left="1440" w:header="708" w:footer="708" w:gutter="0"/>
          <w:cols w:space="708"/>
          <w:docGrid w:linePitch="360"/>
        </w:sectPr>
      </w:pPr>
    </w:p>
    <w:p w14:paraId="0960723C" w14:textId="4B5A410F" w:rsidR="006E5CDF" w:rsidRPr="00066147" w:rsidRDefault="006E5CDF" w:rsidP="00066147">
      <w:pPr>
        <w:jc w:val="both"/>
        <w:rPr>
          <w:rFonts w:ascii="Times New Roman" w:hAnsi="Times New Roman" w:cs="Times New Roman"/>
          <w:sz w:val="24"/>
          <w:szCs w:val="24"/>
        </w:rPr>
      </w:pPr>
    </w:p>
    <w:p w14:paraId="7745E60B" w14:textId="77777777" w:rsidR="00B44B8A" w:rsidRDefault="00B44B8A" w:rsidP="00066147">
      <w:pPr>
        <w:numPr>
          <w:ilvl w:val="0"/>
          <w:numId w:val="1"/>
        </w:numPr>
        <w:jc w:val="both"/>
        <w:rPr>
          <w:rFonts w:ascii="Times New Roman" w:hAnsi="Times New Roman" w:cs="Times New Roman"/>
          <w:b/>
          <w:bCs/>
          <w:sz w:val="32"/>
          <w:szCs w:val="32"/>
        </w:rPr>
        <w:sectPr w:rsidR="00B44B8A" w:rsidSect="00912D0A">
          <w:type w:val="continuous"/>
          <w:pgSz w:w="11906" w:h="16838"/>
          <w:pgMar w:top="1440" w:right="1440" w:bottom="1440" w:left="1440" w:header="708" w:footer="708" w:gutter="0"/>
          <w:cols w:space="708"/>
          <w:docGrid w:linePitch="360"/>
        </w:sectPr>
      </w:pPr>
    </w:p>
    <w:p w14:paraId="540B2CA8" w14:textId="77777777" w:rsidR="006E5CDF" w:rsidRPr="00066147" w:rsidRDefault="006E5CDF" w:rsidP="00066147">
      <w:pPr>
        <w:numPr>
          <w:ilvl w:val="0"/>
          <w:numId w:val="1"/>
        </w:numPr>
        <w:jc w:val="both"/>
        <w:rPr>
          <w:rFonts w:ascii="Times New Roman" w:hAnsi="Times New Roman" w:cs="Times New Roman"/>
          <w:b/>
          <w:bCs/>
          <w:sz w:val="32"/>
          <w:szCs w:val="32"/>
        </w:rPr>
      </w:pPr>
      <w:r w:rsidRPr="00066147">
        <w:rPr>
          <w:rFonts w:ascii="Times New Roman" w:hAnsi="Times New Roman" w:cs="Times New Roman"/>
          <w:b/>
          <w:bCs/>
          <w:sz w:val="32"/>
          <w:szCs w:val="32"/>
        </w:rPr>
        <w:t>Introduction</w:t>
      </w:r>
    </w:p>
    <w:p w14:paraId="4BBD0019"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Agriculture is, and has always been, the backbone of human civilisation. It employs over a billion people worldwide and contributes anywhere between 4 and 25 percent of GDP across developing economies [World Bank, 2023]. Those numbers are not going to shrink anytime soon. The UN's Food and Agriculture Organization projects that global food production will need to grow by around 70 percent just to feed the 9.7 billion people expected to inhabit this planet by 2050 [FAO, 2022]. The math is uncomfortable. More mouths, the same amount of land, and a climate that is becoming increasingly unpredictable.</w:t>
      </w:r>
    </w:p>
    <w:p w14:paraId="2CB99B7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Traditional farming, for all its wisdom, was not built for this kind of pressure [Wolfert et al., 2017]. Decisions made on gut feeling and seasonal calendars worked well enough </w:t>
      </w:r>
      <w:r w:rsidRPr="00066147">
        <w:rPr>
          <w:rFonts w:ascii="Times New Roman" w:hAnsi="Times New Roman" w:cs="Times New Roman"/>
          <w:sz w:val="24"/>
          <w:szCs w:val="24"/>
        </w:rPr>
        <w:t>when margins were comfortable. They are less suited to a world where a single bad monsoon or a surprise pest outbreak can wipe out an entire season's income. Something had to change.</w:t>
      </w:r>
    </w:p>
    <w:p w14:paraId="678E230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Internet of Things offers one of the most practical answers available right now. At its core, IoT is simply a network of physical devices — sensors, actuators, processors, communication modules — that talk to each other and share data without needing a human to sit in the middle of every exchange [Sethi and Sarangi, 2017]. In agriculture, this translates to what people call Smart Agriculture or Precision Farming: using real data, collected continuously from the actual field, to make decisions that are sharper, faster, and far less wasteful than anything a manual observation system could produce [Farooq et al., 2020].</w:t>
      </w:r>
    </w:p>
    <w:p w14:paraId="52E1EA7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lastRenderedPageBreak/>
        <w:t>The shift is more fundamental than it might first appear. It is not just about putting sensors in fields and reading the numbers. It is about changing the entire logic of how a farm operates — from scheduled, generalised interventions to targeted, real-time responses based on what the data actually says [Wolfert et al., 2017]. A farmer using an IoT soil monitoring system does not just know that their field needs water. They know exactly which zone needs water, how much, and when — because the sensors have been measuring moisture at root depth every few minutes and the system has cross-referenced that data with the weather forecast [Rehman et al., 2022].</w:t>
      </w:r>
    </w:p>
    <w:p w14:paraId="3FEC3F1B"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market for this technology reflects the confidence behind it. Smart agriculture was valued at USD 13.8 billion globally in 2023 and is expected to reach USD 25.4 billion by 2030, growing at close to 10 percent annually [MarketsandMarkets, 2024]. This report digs into how and why — covering the architecture, the applications, the evidence, and the real challenges that still need solving.</w:t>
      </w:r>
    </w:p>
    <w:p w14:paraId="653DB5EA" w14:textId="76B1373C" w:rsidR="006E5CDF" w:rsidRPr="00066147" w:rsidRDefault="006E5CDF" w:rsidP="00066147">
      <w:pPr>
        <w:jc w:val="both"/>
        <w:rPr>
          <w:rFonts w:ascii="Times New Roman" w:hAnsi="Times New Roman" w:cs="Times New Roman"/>
          <w:sz w:val="24"/>
          <w:szCs w:val="24"/>
        </w:rPr>
      </w:pPr>
    </w:p>
    <w:p w14:paraId="0B78BA50" w14:textId="77777777" w:rsidR="006E5CDF" w:rsidRPr="00066147" w:rsidRDefault="006E5CDF" w:rsidP="00066147">
      <w:pPr>
        <w:numPr>
          <w:ilvl w:val="0"/>
          <w:numId w:val="2"/>
        </w:numPr>
        <w:jc w:val="both"/>
        <w:rPr>
          <w:rFonts w:ascii="Times New Roman" w:hAnsi="Times New Roman" w:cs="Times New Roman"/>
          <w:b/>
          <w:bCs/>
          <w:sz w:val="32"/>
          <w:szCs w:val="32"/>
        </w:rPr>
      </w:pPr>
      <w:r w:rsidRPr="00066147">
        <w:rPr>
          <w:rFonts w:ascii="Times New Roman" w:hAnsi="Times New Roman" w:cs="Times New Roman"/>
          <w:b/>
          <w:bCs/>
          <w:sz w:val="32"/>
          <w:szCs w:val="32"/>
        </w:rPr>
        <w:t>Research Methodology</w:t>
      </w:r>
    </w:p>
    <w:p w14:paraId="31903C8C" w14:textId="77777777" w:rsidR="006E5CDF" w:rsidRPr="00066147" w:rsidRDefault="006E5CDF" w:rsidP="00066147">
      <w:pPr>
        <w:jc w:val="both"/>
        <w:rPr>
          <w:rFonts w:ascii="Times New Roman" w:hAnsi="Times New Roman" w:cs="Times New Roman"/>
          <w:b/>
          <w:bCs/>
          <w:sz w:val="28"/>
          <w:szCs w:val="28"/>
        </w:rPr>
      </w:pPr>
      <w:r w:rsidRPr="00066147">
        <w:rPr>
          <w:rFonts w:ascii="Times New Roman" w:hAnsi="Times New Roman" w:cs="Times New Roman"/>
          <w:b/>
          <w:bCs/>
          <w:sz w:val="28"/>
          <w:szCs w:val="28"/>
        </w:rPr>
        <w:t>2.1 Scope and Approach</w:t>
      </w:r>
    </w:p>
    <w:p w14:paraId="056F842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This report draws on a structured review of peer-reviewed academic literature, publications from government and intergovernmental bodies, and verified industry research published between 2016 and 2024. The databases searched include IEEE Xplore, ScienceDirect, MDPI Open Access, Google Scholar, and the FAO digital library. Search terms covered IoT in agriculture, precision farming, smart irrigation, agricultural drones, livestock monitoring, greenhouse automation, edge computing in agriculture, and 5G </w:t>
      </w:r>
      <w:r w:rsidRPr="00066147">
        <w:rPr>
          <w:rFonts w:ascii="Times New Roman" w:hAnsi="Times New Roman" w:cs="Times New Roman"/>
          <w:sz w:val="24"/>
          <w:szCs w:val="24"/>
        </w:rPr>
        <w:t>agriculture, used individually and in combination.</w:t>
      </w:r>
    </w:p>
    <w:p w14:paraId="222D95F9" w14:textId="77777777" w:rsidR="006E5CDF" w:rsidRPr="00066147" w:rsidRDefault="006E5CDF" w:rsidP="00066147">
      <w:pPr>
        <w:jc w:val="both"/>
        <w:rPr>
          <w:rFonts w:ascii="Times New Roman" w:hAnsi="Times New Roman" w:cs="Times New Roman"/>
          <w:b/>
          <w:bCs/>
          <w:sz w:val="28"/>
          <w:szCs w:val="28"/>
        </w:rPr>
      </w:pPr>
      <w:r w:rsidRPr="00066147">
        <w:rPr>
          <w:rFonts w:ascii="Times New Roman" w:hAnsi="Times New Roman" w:cs="Times New Roman"/>
          <w:b/>
          <w:bCs/>
          <w:sz w:val="28"/>
          <w:szCs w:val="28"/>
        </w:rPr>
        <w:t>2.2 Inclusion and Exclusion Criteria</w:t>
      </w:r>
    </w:p>
    <w:p w14:paraId="49DF4813"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 source was included if it appeared in a peer-reviewed journal, presented quantitative outcome data from an actual field deployment or controlled experiment, and was directly relevant to IoT applications in agriculture [Kamilaris and Prenafeta-Boldu, 2018]. Sources that offered only theoretical frameworks without field validation, that were published before 2014, or that could not be accessed through a reliable academic repository were excluded. The final set of primary sources used across this report totals 24.</w:t>
      </w:r>
    </w:p>
    <w:p w14:paraId="15DCD9D8" w14:textId="77777777" w:rsidR="006E5CDF" w:rsidRPr="00066147" w:rsidRDefault="006E5CDF" w:rsidP="00066147">
      <w:pPr>
        <w:jc w:val="both"/>
        <w:rPr>
          <w:rFonts w:ascii="Times New Roman" w:hAnsi="Times New Roman" w:cs="Times New Roman"/>
          <w:b/>
          <w:bCs/>
          <w:sz w:val="28"/>
          <w:szCs w:val="28"/>
        </w:rPr>
      </w:pPr>
      <w:r w:rsidRPr="00066147">
        <w:rPr>
          <w:rFonts w:ascii="Times New Roman" w:hAnsi="Times New Roman" w:cs="Times New Roman"/>
          <w:b/>
          <w:bCs/>
          <w:sz w:val="28"/>
          <w:szCs w:val="28"/>
        </w:rPr>
        <w:t>2.3 Analytical Framework</w:t>
      </w:r>
    </w:p>
    <w:p w14:paraId="549DFE3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Where multiple studies reported data on the same outcome, results were compared and synthesised to identify consistent patterns [Tzounis et al., 2017]. When studies reported a range rather than a single figure, the full range is given here. Any genuine conflicts between sources are flagged rather than smoothed over. Case studies were chosen to reflect a spread of geographies, with deliberate emphasis on Indian deployments given the report's context.</w:t>
      </w:r>
    </w:p>
    <w:p w14:paraId="4C2F9B5D" w14:textId="07A0F315" w:rsidR="006E5CDF" w:rsidRPr="00066147" w:rsidRDefault="006E5CDF" w:rsidP="00066147">
      <w:pPr>
        <w:jc w:val="both"/>
        <w:rPr>
          <w:rFonts w:ascii="Times New Roman" w:hAnsi="Times New Roman" w:cs="Times New Roman"/>
          <w:sz w:val="24"/>
          <w:szCs w:val="24"/>
        </w:rPr>
      </w:pPr>
    </w:p>
    <w:p w14:paraId="59682EE0" w14:textId="77777777" w:rsidR="006E5CDF" w:rsidRPr="0083192C" w:rsidRDefault="006E5CDF" w:rsidP="00066147">
      <w:pPr>
        <w:numPr>
          <w:ilvl w:val="0"/>
          <w:numId w:val="3"/>
        </w:numPr>
        <w:jc w:val="both"/>
        <w:rPr>
          <w:rFonts w:ascii="Times New Roman" w:hAnsi="Times New Roman" w:cs="Times New Roman"/>
          <w:b/>
          <w:bCs/>
          <w:sz w:val="32"/>
          <w:szCs w:val="32"/>
        </w:rPr>
      </w:pPr>
      <w:r w:rsidRPr="0083192C">
        <w:rPr>
          <w:rFonts w:ascii="Times New Roman" w:hAnsi="Times New Roman" w:cs="Times New Roman"/>
          <w:b/>
          <w:bCs/>
          <w:sz w:val="32"/>
          <w:szCs w:val="32"/>
        </w:rPr>
        <w:t>IoT System Architecture in Agriculture</w:t>
      </w:r>
    </w:p>
    <w:p w14:paraId="0CDB3D6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Before getting into what IoT does on a farm, it helps to understand how it is put together. Most agricultural IoT deployments follow a three-layer architecture — perception, network, and application — and each layer has a distinct job [Sethi and Sarangi, 2017].</w:t>
      </w:r>
    </w:p>
    <w:p w14:paraId="51CEDC0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lastRenderedPageBreak/>
        <w:t>The perception layer is where the system touches the physical world. Soil sensors, temperature probes, humidity detectors, RFID tags, drones, and weather stations all sit here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 These devices are the ones actually in the field, measuring conditions as they change in real time. A well-equipped perception layer in a modern deployment might include capacitive soil moisture sensors, resistive temperature probes at multiple depths, electrochemical NPK sensors for nutrient measurement, ultrasonic water level sensors, and pyranometers tracking solar radiation [Rehman et al., 2022]. It is, in a sense, the nervous system of the farm.</w:t>
      </w:r>
    </w:p>
    <w:p w14:paraId="07DBC2F3"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 network layer is the communication backbone that carries all that field data back to somewhere it can be processed [Sethi and Sarangi, 2017]. This is where protocol choice matters enormously. </w:t>
      </w:r>
      <w:proofErr w:type="spellStart"/>
      <w:r w:rsidRPr="00066147">
        <w:rPr>
          <w:rFonts w:ascii="Times New Roman" w:hAnsi="Times New Roman" w:cs="Times New Roman"/>
          <w:sz w:val="24"/>
          <w:szCs w:val="24"/>
        </w:rPr>
        <w:t>LoRaWAN</w:t>
      </w:r>
      <w:proofErr w:type="spellEnd"/>
      <w:r w:rsidRPr="00066147">
        <w:rPr>
          <w:rFonts w:ascii="Times New Roman" w:hAnsi="Times New Roman" w:cs="Times New Roman"/>
          <w:sz w:val="24"/>
          <w:szCs w:val="24"/>
        </w:rPr>
        <w:t>, NB-IoT, Zigbee, Wi-Fi, and 4G or 5G cellular networks are the most common options, and picking the wrong one for a given environment can mean the difference between a system that works reliably and one that drops data constantly [Farooq et al., 2020].</w:t>
      </w:r>
    </w:p>
    <w:p w14:paraId="14D2A5EB"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application layer is where the data becomes useful. Cloud platforms like AWS IoT and Azure IoT Hub, combined with AI analytics engines, mobile apps, and web dashboards, take the raw numbers from the field and turn them into recommendations a farmer can actually act on [Wolfert et al., 2017].</w:t>
      </w:r>
    </w:p>
    <w:p w14:paraId="7033E057"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A quick note on protocols, because this is a decision that shapes every deployment. </w:t>
      </w:r>
      <w:proofErr w:type="spellStart"/>
      <w:r w:rsidRPr="00066147">
        <w:rPr>
          <w:rFonts w:ascii="Times New Roman" w:hAnsi="Times New Roman" w:cs="Times New Roman"/>
          <w:sz w:val="24"/>
          <w:szCs w:val="24"/>
        </w:rPr>
        <w:t>LoRaWAN</w:t>
      </w:r>
      <w:proofErr w:type="spellEnd"/>
      <w:r w:rsidRPr="00066147">
        <w:rPr>
          <w:rFonts w:ascii="Times New Roman" w:hAnsi="Times New Roman" w:cs="Times New Roman"/>
          <w:sz w:val="24"/>
          <w:szCs w:val="24"/>
        </w:rPr>
        <w:t xml:space="preserve"> is the dominant choice for open farmland — it can push data 2 to 15 kilometres on very little power, which makes it ideal for battery-operated field sensors that nobody wants to be changing batteries on every few weeks [Sethi and Sarangi, 2017]. A single gateway can serve </w:t>
      </w:r>
      <w:r w:rsidRPr="00066147">
        <w:rPr>
          <w:rFonts w:ascii="Times New Roman" w:hAnsi="Times New Roman" w:cs="Times New Roman"/>
          <w:sz w:val="24"/>
          <w:szCs w:val="24"/>
        </w:rPr>
        <w:t>thousands of devices across several square kilometres, which keeps infrastructure costs reasonable [Farooq et al., 2020]. NB-IoT is the better call where cellular coverage exists, because it piggybacks on existing tower infrastructure [Rehman et al., 2022]. Inside greenhouses and storage facilities, Zigbee and Wi-Fi work fine since range is not the constraint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w:t>
      </w:r>
    </w:p>
    <w:p w14:paraId="11325DBF" w14:textId="77777777" w:rsidR="006E5CDF" w:rsidRPr="00066147" w:rsidRDefault="006E5CDF" w:rsidP="00066147">
      <w:pPr>
        <w:jc w:val="both"/>
        <w:rPr>
          <w:rFonts w:ascii="Times New Roman" w:hAnsi="Times New Roman" w:cs="Times New Roman"/>
          <w:sz w:val="24"/>
          <w:szCs w:val="24"/>
        </w:rPr>
      </w:pPr>
      <w:r w:rsidRPr="00C47101">
        <w:rPr>
          <w:rFonts w:ascii="Times New Roman" w:hAnsi="Times New Roman" w:cs="Times New Roman"/>
          <w:b/>
          <w:bCs/>
          <w:sz w:val="24"/>
          <w:szCs w:val="24"/>
        </w:rPr>
        <w:t>Table 1:</w:t>
      </w:r>
      <w:r w:rsidRPr="00066147">
        <w:rPr>
          <w:rFonts w:ascii="Times New Roman" w:hAnsi="Times New Roman" w:cs="Times New Roman"/>
          <w:sz w:val="24"/>
          <w:szCs w:val="24"/>
        </w:rPr>
        <w:t xml:space="preserve"> Comparison of IoT Communication Protocols Used in Agriculture</w:t>
      </w:r>
    </w:p>
    <w:tbl>
      <w:tblPr>
        <w:tblStyle w:val="TableGrid"/>
        <w:tblW w:w="0" w:type="auto"/>
        <w:tblLook w:val="04A0" w:firstRow="1" w:lastRow="0" w:firstColumn="1" w:lastColumn="0" w:noHBand="0" w:noVBand="1"/>
      </w:tblPr>
      <w:tblGrid>
        <w:gridCol w:w="849"/>
        <w:gridCol w:w="599"/>
        <w:gridCol w:w="1030"/>
        <w:gridCol w:w="693"/>
        <w:gridCol w:w="978"/>
      </w:tblGrid>
      <w:tr w:rsidR="00F72637" w:rsidRPr="003F145E" w14:paraId="003C9284" w14:textId="33E94FBC" w:rsidTr="00D96936">
        <w:trPr>
          <w:trHeight w:val="257"/>
        </w:trPr>
        <w:tc>
          <w:tcPr>
            <w:tcW w:w="0" w:type="auto"/>
          </w:tcPr>
          <w:p w14:paraId="24BDEF98" w14:textId="2E51FF4C" w:rsidR="00F72637" w:rsidRPr="000B4439" w:rsidRDefault="006123D2" w:rsidP="00AF34F4">
            <w:pPr>
              <w:jc w:val="both"/>
              <w:rPr>
                <w:rFonts w:ascii="Times New Roman" w:hAnsi="Times New Roman" w:cs="Times New Roman"/>
                <w:b/>
                <w:bCs/>
                <w:sz w:val="24"/>
                <w:szCs w:val="24"/>
              </w:rPr>
            </w:pPr>
            <w:r w:rsidRPr="000B4439">
              <w:rPr>
                <w:rFonts w:ascii="Times New Roman" w:hAnsi="Times New Roman" w:cs="Times New Roman"/>
                <w:b/>
                <w:bCs/>
                <w:sz w:val="24"/>
                <w:szCs w:val="24"/>
              </w:rPr>
              <w:t>Protocol</w:t>
            </w:r>
          </w:p>
        </w:tc>
        <w:tc>
          <w:tcPr>
            <w:tcW w:w="0" w:type="auto"/>
          </w:tcPr>
          <w:p w14:paraId="259D4E98" w14:textId="3AE29663" w:rsidR="00F72637" w:rsidRPr="000B4439" w:rsidRDefault="00EF2BA0" w:rsidP="00AF34F4">
            <w:pPr>
              <w:jc w:val="both"/>
              <w:rPr>
                <w:rFonts w:ascii="Times New Roman" w:hAnsi="Times New Roman" w:cs="Times New Roman"/>
                <w:b/>
                <w:bCs/>
                <w:sz w:val="24"/>
                <w:szCs w:val="24"/>
              </w:rPr>
            </w:pPr>
            <w:r w:rsidRPr="000B4439">
              <w:rPr>
                <w:rFonts w:ascii="Times New Roman" w:hAnsi="Times New Roman" w:cs="Times New Roman"/>
                <w:b/>
                <w:bCs/>
                <w:sz w:val="24"/>
                <w:szCs w:val="24"/>
              </w:rPr>
              <w:t>Range</w:t>
            </w:r>
          </w:p>
        </w:tc>
        <w:tc>
          <w:tcPr>
            <w:tcW w:w="815" w:type="dxa"/>
          </w:tcPr>
          <w:p w14:paraId="1EDCF5C9" w14:textId="5F4E71C8" w:rsidR="00F72637" w:rsidRPr="000B4439" w:rsidRDefault="00EF2BA0" w:rsidP="00AF34F4">
            <w:pPr>
              <w:jc w:val="both"/>
              <w:rPr>
                <w:rFonts w:ascii="Times New Roman" w:hAnsi="Times New Roman" w:cs="Times New Roman"/>
                <w:b/>
                <w:bCs/>
                <w:sz w:val="24"/>
                <w:szCs w:val="24"/>
              </w:rPr>
            </w:pPr>
            <w:r w:rsidRPr="000B4439">
              <w:rPr>
                <w:rFonts w:ascii="Times New Roman" w:hAnsi="Times New Roman" w:cs="Times New Roman"/>
                <w:b/>
                <w:bCs/>
                <w:sz w:val="24"/>
                <w:szCs w:val="24"/>
              </w:rPr>
              <w:t>Power Consumption</w:t>
            </w:r>
          </w:p>
        </w:tc>
        <w:tc>
          <w:tcPr>
            <w:tcW w:w="908" w:type="dxa"/>
          </w:tcPr>
          <w:p w14:paraId="1DCDEE52" w14:textId="38837E82" w:rsidR="00F72637" w:rsidRPr="000B4439" w:rsidRDefault="00157826" w:rsidP="00AF34F4">
            <w:pPr>
              <w:jc w:val="both"/>
              <w:rPr>
                <w:rFonts w:ascii="Times New Roman" w:hAnsi="Times New Roman" w:cs="Times New Roman"/>
                <w:b/>
                <w:bCs/>
                <w:sz w:val="24"/>
                <w:szCs w:val="24"/>
              </w:rPr>
            </w:pPr>
            <w:r w:rsidRPr="000B4439">
              <w:rPr>
                <w:rFonts w:ascii="Times New Roman" w:hAnsi="Times New Roman" w:cs="Times New Roman"/>
                <w:b/>
                <w:bCs/>
                <w:sz w:val="24"/>
                <w:szCs w:val="24"/>
              </w:rPr>
              <w:t>Data Rate</w:t>
            </w:r>
          </w:p>
        </w:tc>
        <w:tc>
          <w:tcPr>
            <w:tcW w:w="0" w:type="auto"/>
          </w:tcPr>
          <w:p w14:paraId="18A4A32F" w14:textId="6F5EE7E9" w:rsidR="00F72637" w:rsidRPr="000B4439" w:rsidRDefault="006A08CE" w:rsidP="00AF34F4">
            <w:pPr>
              <w:jc w:val="both"/>
              <w:rPr>
                <w:rFonts w:ascii="Times New Roman" w:hAnsi="Times New Roman" w:cs="Times New Roman"/>
                <w:b/>
                <w:bCs/>
                <w:sz w:val="24"/>
                <w:szCs w:val="24"/>
              </w:rPr>
            </w:pPr>
            <w:r w:rsidRPr="000B4439">
              <w:rPr>
                <w:rFonts w:ascii="Times New Roman" w:hAnsi="Times New Roman" w:cs="Times New Roman"/>
                <w:b/>
                <w:bCs/>
                <w:sz w:val="24"/>
                <w:szCs w:val="24"/>
              </w:rPr>
              <w:t>Best Use Case</w:t>
            </w:r>
          </w:p>
        </w:tc>
      </w:tr>
      <w:tr w:rsidR="00C5413F" w:rsidRPr="003F145E" w14:paraId="79195394" w14:textId="77777777" w:rsidTr="00D96936">
        <w:trPr>
          <w:trHeight w:val="257"/>
        </w:trPr>
        <w:tc>
          <w:tcPr>
            <w:tcW w:w="0" w:type="auto"/>
          </w:tcPr>
          <w:p w14:paraId="3AF79474" w14:textId="7F9FC8E4" w:rsidR="00C5413F" w:rsidRPr="003F145E" w:rsidRDefault="006A08CE" w:rsidP="00AF34F4">
            <w:pPr>
              <w:jc w:val="both"/>
              <w:rPr>
                <w:rFonts w:ascii="Times New Roman" w:hAnsi="Times New Roman" w:cs="Times New Roman"/>
                <w:sz w:val="24"/>
                <w:szCs w:val="24"/>
              </w:rPr>
            </w:pPr>
            <w:proofErr w:type="spellStart"/>
            <w:r w:rsidRPr="006A08CE">
              <w:rPr>
                <w:rFonts w:ascii="Times New Roman" w:hAnsi="Times New Roman" w:cs="Times New Roman"/>
                <w:sz w:val="24"/>
                <w:szCs w:val="24"/>
              </w:rPr>
              <w:t>LoRaWAN</w:t>
            </w:r>
            <w:proofErr w:type="spellEnd"/>
          </w:p>
        </w:tc>
        <w:tc>
          <w:tcPr>
            <w:tcW w:w="0" w:type="auto"/>
          </w:tcPr>
          <w:p w14:paraId="4706FBB5" w14:textId="64BFA41F" w:rsidR="00C5413F" w:rsidRPr="003F145E" w:rsidRDefault="00490ED5" w:rsidP="00AF34F4">
            <w:pPr>
              <w:jc w:val="both"/>
              <w:rPr>
                <w:rFonts w:ascii="Times New Roman" w:hAnsi="Times New Roman" w:cs="Times New Roman"/>
                <w:sz w:val="24"/>
                <w:szCs w:val="24"/>
              </w:rPr>
            </w:pPr>
            <w:r w:rsidRPr="00490ED5">
              <w:rPr>
                <w:rFonts w:ascii="Times New Roman" w:hAnsi="Times New Roman" w:cs="Times New Roman"/>
                <w:sz w:val="24"/>
                <w:szCs w:val="24"/>
              </w:rPr>
              <w:t>2 to 15 km</w:t>
            </w:r>
          </w:p>
        </w:tc>
        <w:tc>
          <w:tcPr>
            <w:tcW w:w="815" w:type="dxa"/>
          </w:tcPr>
          <w:p w14:paraId="71F33939" w14:textId="514EF225" w:rsidR="00C5413F" w:rsidRPr="003F145E" w:rsidRDefault="001D6363" w:rsidP="00AF34F4">
            <w:pPr>
              <w:jc w:val="both"/>
              <w:rPr>
                <w:rFonts w:ascii="Times New Roman" w:hAnsi="Times New Roman" w:cs="Times New Roman"/>
                <w:sz w:val="24"/>
                <w:szCs w:val="24"/>
              </w:rPr>
            </w:pPr>
            <w:r w:rsidRPr="001D6363">
              <w:rPr>
                <w:rFonts w:ascii="Times New Roman" w:hAnsi="Times New Roman" w:cs="Times New Roman"/>
                <w:sz w:val="24"/>
                <w:szCs w:val="24"/>
              </w:rPr>
              <w:t>Very Low</w:t>
            </w:r>
          </w:p>
        </w:tc>
        <w:tc>
          <w:tcPr>
            <w:tcW w:w="908" w:type="dxa"/>
          </w:tcPr>
          <w:p w14:paraId="1AE7442F" w14:textId="0B455EF8" w:rsidR="00C5413F" w:rsidRPr="003F145E" w:rsidRDefault="001D11F7" w:rsidP="00AF34F4">
            <w:pPr>
              <w:jc w:val="both"/>
              <w:rPr>
                <w:rFonts w:ascii="Times New Roman" w:hAnsi="Times New Roman" w:cs="Times New Roman"/>
                <w:sz w:val="24"/>
                <w:szCs w:val="24"/>
              </w:rPr>
            </w:pPr>
            <w:r w:rsidRPr="001D11F7">
              <w:rPr>
                <w:rFonts w:ascii="Times New Roman" w:hAnsi="Times New Roman" w:cs="Times New Roman"/>
                <w:sz w:val="24"/>
                <w:szCs w:val="24"/>
              </w:rPr>
              <w:t>Low</w:t>
            </w:r>
          </w:p>
        </w:tc>
        <w:tc>
          <w:tcPr>
            <w:tcW w:w="0" w:type="auto"/>
          </w:tcPr>
          <w:p w14:paraId="352F77F2" w14:textId="5BFBE1E7" w:rsidR="00C5413F" w:rsidRPr="003F145E" w:rsidRDefault="000007F0" w:rsidP="00AF34F4">
            <w:pPr>
              <w:jc w:val="both"/>
              <w:rPr>
                <w:rFonts w:ascii="Times New Roman" w:hAnsi="Times New Roman" w:cs="Times New Roman"/>
                <w:sz w:val="24"/>
                <w:szCs w:val="24"/>
              </w:rPr>
            </w:pPr>
            <w:r w:rsidRPr="000007F0">
              <w:rPr>
                <w:rFonts w:ascii="Times New Roman" w:hAnsi="Times New Roman" w:cs="Times New Roman"/>
                <w:sz w:val="24"/>
                <w:szCs w:val="24"/>
              </w:rPr>
              <w:t>Field sensors in open land</w:t>
            </w:r>
          </w:p>
        </w:tc>
      </w:tr>
      <w:tr w:rsidR="00C5413F" w:rsidRPr="003F145E" w14:paraId="0B256334" w14:textId="77777777" w:rsidTr="00D96936">
        <w:trPr>
          <w:trHeight w:val="245"/>
        </w:trPr>
        <w:tc>
          <w:tcPr>
            <w:tcW w:w="0" w:type="auto"/>
          </w:tcPr>
          <w:p w14:paraId="59B78FCE" w14:textId="1ACF3E33" w:rsidR="00C5413F" w:rsidRPr="003F145E" w:rsidRDefault="006A08CE" w:rsidP="00AF34F4">
            <w:pPr>
              <w:jc w:val="both"/>
              <w:rPr>
                <w:rFonts w:ascii="Times New Roman" w:hAnsi="Times New Roman" w:cs="Times New Roman"/>
                <w:sz w:val="24"/>
                <w:szCs w:val="24"/>
              </w:rPr>
            </w:pPr>
            <w:r w:rsidRPr="006A08CE">
              <w:rPr>
                <w:rFonts w:ascii="Times New Roman" w:hAnsi="Times New Roman" w:cs="Times New Roman"/>
                <w:sz w:val="24"/>
                <w:szCs w:val="24"/>
              </w:rPr>
              <w:t>NB-IoT</w:t>
            </w:r>
          </w:p>
        </w:tc>
        <w:tc>
          <w:tcPr>
            <w:tcW w:w="0" w:type="auto"/>
          </w:tcPr>
          <w:p w14:paraId="7214AB86" w14:textId="113206E9" w:rsidR="00C5413F" w:rsidRPr="003F145E" w:rsidRDefault="008E55F5" w:rsidP="00AF34F4">
            <w:pPr>
              <w:jc w:val="both"/>
              <w:rPr>
                <w:rFonts w:ascii="Times New Roman" w:hAnsi="Times New Roman" w:cs="Times New Roman"/>
                <w:sz w:val="24"/>
                <w:szCs w:val="24"/>
              </w:rPr>
            </w:pPr>
            <w:r w:rsidRPr="008E55F5">
              <w:rPr>
                <w:rFonts w:ascii="Times New Roman" w:hAnsi="Times New Roman" w:cs="Times New Roman"/>
                <w:sz w:val="24"/>
                <w:szCs w:val="24"/>
              </w:rPr>
              <w:t>1 to 10 km</w:t>
            </w:r>
          </w:p>
        </w:tc>
        <w:tc>
          <w:tcPr>
            <w:tcW w:w="815" w:type="dxa"/>
          </w:tcPr>
          <w:p w14:paraId="1E051DC8" w14:textId="25AFAF66" w:rsidR="00C5413F" w:rsidRPr="003F145E" w:rsidRDefault="001D6363" w:rsidP="00AF34F4">
            <w:pPr>
              <w:jc w:val="both"/>
              <w:rPr>
                <w:rFonts w:ascii="Times New Roman" w:hAnsi="Times New Roman" w:cs="Times New Roman"/>
                <w:sz w:val="24"/>
                <w:szCs w:val="24"/>
              </w:rPr>
            </w:pPr>
            <w:r w:rsidRPr="001D6363">
              <w:rPr>
                <w:rFonts w:ascii="Times New Roman" w:hAnsi="Times New Roman" w:cs="Times New Roman"/>
                <w:sz w:val="24"/>
                <w:szCs w:val="24"/>
              </w:rPr>
              <w:t>Low</w:t>
            </w:r>
          </w:p>
        </w:tc>
        <w:tc>
          <w:tcPr>
            <w:tcW w:w="908" w:type="dxa"/>
          </w:tcPr>
          <w:p w14:paraId="45543CED" w14:textId="2049C306" w:rsidR="00C5413F" w:rsidRPr="003F145E" w:rsidRDefault="001D11F7" w:rsidP="00AF34F4">
            <w:pPr>
              <w:jc w:val="both"/>
              <w:rPr>
                <w:rFonts w:ascii="Times New Roman" w:hAnsi="Times New Roman" w:cs="Times New Roman"/>
                <w:sz w:val="24"/>
                <w:szCs w:val="24"/>
              </w:rPr>
            </w:pPr>
            <w:r w:rsidRPr="001D11F7">
              <w:rPr>
                <w:rFonts w:ascii="Times New Roman" w:hAnsi="Times New Roman" w:cs="Times New Roman"/>
                <w:sz w:val="24"/>
                <w:szCs w:val="24"/>
              </w:rPr>
              <w:t>Medium</w:t>
            </w:r>
          </w:p>
        </w:tc>
        <w:tc>
          <w:tcPr>
            <w:tcW w:w="0" w:type="auto"/>
          </w:tcPr>
          <w:p w14:paraId="4BB21D93" w14:textId="6F8E7F15" w:rsidR="00C5413F" w:rsidRPr="003F145E" w:rsidRDefault="000007F0" w:rsidP="00AF34F4">
            <w:pPr>
              <w:jc w:val="both"/>
              <w:rPr>
                <w:rFonts w:ascii="Times New Roman" w:hAnsi="Times New Roman" w:cs="Times New Roman"/>
                <w:sz w:val="24"/>
                <w:szCs w:val="24"/>
              </w:rPr>
            </w:pPr>
            <w:r w:rsidRPr="000007F0">
              <w:rPr>
                <w:rFonts w:ascii="Times New Roman" w:hAnsi="Times New Roman" w:cs="Times New Roman"/>
                <w:sz w:val="24"/>
                <w:szCs w:val="24"/>
              </w:rPr>
              <w:t>Cellular coverage areas</w:t>
            </w:r>
          </w:p>
        </w:tc>
      </w:tr>
      <w:tr w:rsidR="00C5413F" w:rsidRPr="003F145E" w14:paraId="2342DB52" w14:textId="77777777" w:rsidTr="00D96936">
        <w:trPr>
          <w:trHeight w:val="257"/>
        </w:trPr>
        <w:tc>
          <w:tcPr>
            <w:tcW w:w="0" w:type="auto"/>
          </w:tcPr>
          <w:p w14:paraId="692793E8" w14:textId="4121EC66" w:rsidR="00C5413F" w:rsidRPr="003F145E" w:rsidRDefault="006A08CE" w:rsidP="00AF34F4">
            <w:pPr>
              <w:jc w:val="both"/>
              <w:rPr>
                <w:rFonts w:ascii="Times New Roman" w:hAnsi="Times New Roman" w:cs="Times New Roman"/>
                <w:sz w:val="24"/>
                <w:szCs w:val="24"/>
              </w:rPr>
            </w:pPr>
            <w:r w:rsidRPr="006A08CE">
              <w:rPr>
                <w:rFonts w:ascii="Times New Roman" w:hAnsi="Times New Roman" w:cs="Times New Roman"/>
                <w:sz w:val="24"/>
                <w:szCs w:val="24"/>
              </w:rPr>
              <w:t>Zigbee</w:t>
            </w:r>
          </w:p>
        </w:tc>
        <w:tc>
          <w:tcPr>
            <w:tcW w:w="0" w:type="auto"/>
          </w:tcPr>
          <w:p w14:paraId="2E6226B1" w14:textId="6C130CF8" w:rsidR="00C5413F" w:rsidRPr="003F145E" w:rsidRDefault="008E55F5" w:rsidP="00AF34F4">
            <w:pPr>
              <w:jc w:val="both"/>
              <w:rPr>
                <w:rFonts w:ascii="Times New Roman" w:hAnsi="Times New Roman" w:cs="Times New Roman"/>
                <w:sz w:val="24"/>
                <w:szCs w:val="24"/>
              </w:rPr>
            </w:pPr>
            <w:r w:rsidRPr="008E55F5">
              <w:rPr>
                <w:rFonts w:ascii="Times New Roman" w:hAnsi="Times New Roman" w:cs="Times New Roman"/>
                <w:sz w:val="24"/>
                <w:szCs w:val="24"/>
              </w:rPr>
              <w:t>10 to 100 m</w:t>
            </w:r>
          </w:p>
        </w:tc>
        <w:tc>
          <w:tcPr>
            <w:tcW w:w="815" w:type="dxa"/>
          </w:tcPr>
          <w:p w14:paraId="06730E00" w14:textId="266949A2" w:rsidR="00C5413F" w:rsidRPr="003F145E" w:rsidRDefault="00835EED" w:rsidP="00AF34F4">
            <w:pPr>
              <w:jc w:val="both"/>
              <w:rPr>
                <w:rFonts w:ascii="Times New Roman" w:hAnsi="Times New Roman" w:cs="Times New Roman"/>
                <w:sz w:val="24"/>
                <w:szCs w:val="24"/>
              </w:rPr>
            </w:pPr>
            <w:r w:rsidRPr="00835EED">
              <w:rPr>
                <w:rFonts w:ascii="Times New Roman" w:hAnsi="Times New Roman" w:cs="Times New Roman"/>
                <w:sz w:val="24"/>
                <w:szCs w:val="24"/>
              </w:rPr>
              <w:t>Low</w:t>
            </w:r>
          </w:p>
        </w:tc>
        <w:tc>
          <w:tcPr>
            <w:tcW w:w="908" w:type="dxa"/>
          </w:tcPr>
          <w:p w14:paraId="06ECC43C" w14:textId="58B14508" w:rsidR="00C5413F" w:rsidRPr="003F145E" w:rsidRDefault="001D11F7" w:rsidP="00AF34F4">
            <w:pPr>
              <w:jc w:val="both"/>
              <w:rPr>
                <w:rFonts w:ascii="Times New Roman" w:hAnsi="Times New Roman" w:cs="Times New Roman"/>
                <w:sz w:val="24"/>
                <w:szCs w:val="24"/>
              </w:rPr>
            </w:pPr>
            <w:r w:rsidRPr="001D11F7">
              <w:rPr>
                <w:rFonts w:ascii="Times New Roman" w:hAnsi="Times New Roman" w:cs="Times New Roman"/>
                <w:sz w:val="24"/>
                <w:szCs w:val="24"/>
              </w:rPr>
              <w:t>Medium</w:t>
            </w:r>
          </w:p>
        </w:tc>
        <w:tc>
          <w:tcPr>
            <w:tcW w:w="0" w:type="auto"/>
          </w:tcPr>
          <w:p w14:paraId="4430E80C" w14:textId="55D0F39E" w:rsidR="00C5413F" w:rsidRPr="003F145E" w:rsidRDefault="000007F0" w:rsidP="00AF34F4">
            <w:pPr>
              <w:jc w:val="both"/>
              <w:rPr>
                <w:rFonts w:ascii="Times New Roman" w:hAnsi="Times New Roman" w:cs="Times New Roman"/>
                <w:sz w:val="24"/>
                <w:szCs w:val="24"/>
              </w:rPr>
            </w:pPr>
            <w:r w:rsidRPr="000007F0">
              <w:rPr>
                <w:rFonts w:ascii="Times New Roman" w:hAnsi="Times New Roman" w:cs="Times New Roman"/>
                <w:sz w:val="24"/>
                <w:szCs w:val="24"/>
              </w:rPr>
              <w:t>Greenhouses, indoor setups</w:t>
            </w:r>
          </w:p>
        </w:tc>
      </w:tr>
      <w:tr w:rsidR="00C5413F" w:rsidRPr="003F145E" w14:paraId="3E488C58" w14:textId="77777777" w:rsidTr="00D96936">
        <w:trPr>
          <w:trHeight w:val="257"/>
        </w:trPr>
        <w:tc>
          <w:tcPr>
            <w:tcW w:w="0" w:type="auto"/>
          </w:tcPr>
          <w:p w14:paraId="589261CC" w14:textId="7AF5F8A0" w:rsidR="00C5413F" w:rsidRPr="003F145E" w:rsidRDefault="00490ED5" w:rsidP="00AF34F4">
            <w:pPr>
              <w:jc w:val="both"/>
              <w:rPr>
                <w:rFonts w:ascii="Times New Roman" w:hAnsi="Times New Roman" w:cs="Times New Roman"/>
                <w:sz w:val="24"/>
                <w:szCs w:val="24"/>
              </w:rPr>
            </w:pPr>
            <w:r w:rsidRPr="00490ED5">
              <w:rPr>
                <w:rFonts w:ascii="Times New Roman" w:hAnsi="Times New Roman" w:cs="Times New Roman"/>
                <w:sz w:val="24"/>
                <w:szCs w:val="24"/>
              </w:rPr>
              <w:t>Wi-Fi</w:t>
            </w:r>
          </w:p>
        </w:tc>
        <w:tc>
          <w:tcPr>
            <w:tcW w:w="0" w:type="auto"/>
          </w:tcPr>
          <w:p w14:paraId="02BEC25A" w14:textId="3FD27E13" w:rsidR="00C5413F" w:rsidRPr="003F145E" w:rsidRDefault="002B18EC" w:rsidP="00AF34F4">
            <w:pPr>
              <w:jc w:val="both"/>
              <w:rPr>
                <w:rFonts w:ascii="Times New Roman" w:hAnsi="Times New Roman" w:cs="Times New Roman"/>
                <w:sz w:val="24"/>
                <w:szCs w:val="24"/>
              </w:rPr>
            </w:pPr>
            <w:r w:rsidRPr="002B18EC">
              <w:rPr>
                <w:rFonts w:ascii="Times New Roman" w:hAnsi="Times New Roman" w:cs="Times New Roman"/>
                <w:sz w:val="24"/>
                <w:szCs w:val="24"/>
              </w:rPr>
              <w:t>Up to 100 m</w:t>
            </w:r>
          </w:p>
        </w:tc>
        <w:tc>
          <w:tcPr>
            <w:tcW w:w="815" w:type="dxa"/>
          </w:tcPr>
          <w:p w14:paraId="6B32B81B" w14:textId="397F655C" w:rsidR="00C5413F" w:rsidRPr="003F145E" w:rsidRDefault="00835EED" w:rsidP="00AF34F4">
            <w:pPr>
              <w:jc w:val="both"/>
              <w:rPr>
                <w:rFonts w:ascii="Times New Roman" w:hAnsi="Times New Roman" w:cs="Times New Roman"/>
                <w:sz w:val="24"/>
                <w:szCs w:val="24"/>
              </w:rPr>
            </w:pPr>
            <w:r w:rsidRPr="00835EED">
              <w:rPr>
                <w:rFonts w:ascii="Times New Roman" w:hAnsi="Times New Roman" w:cs="Times New Roman"/>
                <w:sz w:val="24"/>
                <w:szCs w:val="24"/>
              </w:rPr>
              <w:t>High</w:t>
            </w:r>
          </w:p>
        </w:tc>
        <w:tc>
          <w:tcPr>
            <w:tcW w:w="908" w:type="dxa"/>
          </w:tcPr>
          <w:p w14:paraId="13CDD39B" w14:textId="699C42FA" w:rsidR="00C5413F" w:rsidRPr="003F145E" w:rsidRDefault="001D11F7" w:rsidP="00AF34F4">
            <w:pPr>
              <w:jc w:val="both"/>
              <w:rPr>
                <w:rFonts w:ascii="Times New Roman" w:hAnsi="Times New Roman" w:cs="Times New Roman"/>
                <w:sz w:val="24"/>
                <w:szCs w:val="24"/>
              </w:rPr>
            </w:pPr>
            <w:r w:rsidRPr="001D11F7">
              <w:rPr>
                <w:rFonts w:ascii="Times New Roman" w:hAnsi="Times New Roman" w:cs="Times New Roman"/>
                <w:sz w:val="24"/>
                <w:szCs w:val="24"/>
              </w:rPr>
              <w:t>High</w:t>
            </w:r>
          </w:p>
        </w:tc>
        <w:tc>
          <w:tcPr>
            <w:tcW w:w="0" w:type="auto"/>
          </w:tcPr>
          <w:p w14:paraId="5A3BAC29" w14:textId="280163FC" w:rsidR="00C5413F" w:rsidRPr="003F145E" w:rsidRDefault="000007F0" w:rsidP="00AF34F4">
            <w:pPr>
              <w:jc w:val="both"/>
              <w:rPr>
                <w:rFonts w:ascii="Times New Roman" w:hAnsi="Times New Roman" w:cs="Times New Roman"/>
                <w:sz w:val="24"/>
                <w:szCs w:val="24"/>
              </w:rPr>
            </w:pPr>
            <w:r w:rsidRPr="000007F0">
              <w:rPr>
                <w:rFonts w:ascii="Times New Roman" w:hAnsi="Times New Roman" w:cs="Times New Roman"/>
                <w:sz w:val="24"/>
                <w:szCs w:val="24"/>
              </w:rPr>
              <w:t>Automated indoor facilities</w:t>
            </w:r>
          </w:p>
        </w:tc>
      </w:tr>
      <w:tr w:rsidR="00F72637" w:rsidRPr="003F145E" w14:paraId="57C7474C" w14:textId="77777777" w:rsidTr="00D96936">
        <w:trPr>
          <w:trHeight w:val="193"/>
        </w:trPr>
        <w:tc>
          <w:tcPr>
            <w:tcW w:w="0" w:type="auto"/>
          </w:tcPr>
          <w:p w14:paraId="168FCE79" w14:textId="5846E910" w:rsidR="00F72637" w:rsidRPr="003F145E" w:rsidRDefault="00490ED5" w:rsidP="00AF34F4">
            <w:pPr>
              <w:jc w:val="both"/>
              <w:rPr>
                <w:rFonts w:ascii="Times New Roman" w:hAnsi="Times New Roman" w:cs="Times New Roman"/>
                <w:sz w:val="24"/>
                <w:szCs w:val="24"/>
              </w:rPr>
            </w:pPr>
            <w:r w:rsidRPr="00490ED5">
              <w:rPr>
                <w:rFonts w:ascii="Times New Roman" w:hAnsi="Times New Roman" w:cs="Times New Roman"/>
                <w:sz w:val="24"/>
                <w:szCs w:val="24"/>
              </w:rPr>
              <w:t>4G/5G</w:t>
            </w:r>
          </w:p>
        </w:tc>
        <w:tc>
          <w:tcPr>
            <w:tcW w:w="0" w:type="auto"/>
          </w:tcPr>
          <w:p w14:paraId="25F0B699" w14:textId="72471D0F" w:rsidR="00F72637" w:rsidRPr="003F145E" w:rsidRDefault="001D6363" w:rsidP="00AF34F4">
            <w:pPr>
              <w:jc w:val="both"/>
              <w:rPr>
                <w:rFonts w:ascii="Times New Roman" w:hAnsi="Times New Roman" w:cs="Times New Roman"/>
                <w:sz w:val="24"/>
                <w:szCs w:val="24"/>
              </w:rPr>
            </w:pPr>
            <w:r w:rsidRPr="001D6363">
              <w:rPr>
                <w:rFonts w:ascii="Times New Roman" w:hAnsi="Times New Roman" w:cs="Times New Roman"/>
                <w:sz w:val="24"/>
                <w:szCs w:val="24"/>
              </w:rPr>
              <w:t>1 to 10 km</w:t>
            </w:r>
          </w:p>
        </w:tc>
        <w:tc>
          <w:tcPr>
            <w:tcW w:w="815" w:type="dxa"/>
          </w:tcPr>
          <w:p w14:paraId="1E99DFBB" w14:textId="539B3AC0" w:rsidR="00F72637" w:rsidRPr="003F145E" w:rsidRDefault="00835EED" w:rsidP="00AF34F4">
            <w:pPr>
              <w:jc w:val="both"/>
              <w:rPr>
                <w:rFonts w:ascii="Times New Roman" w:hAnsi="Times New Roman" w:cs="Times New Roman"/>
                <w:sz w:val="24"/>
                <w:szCs w:val="24"/>
              </w:rPr>
            </w:pPr>
            <w:r w:rsidRPr="00835EED">
              <w:rPr>
                <w:rFonts w:ascii="Times New Roman" w:hAnsi="Times New Roman" w:cs="Times New Roman"/>
                <w:sz w:val="24"/>
                <w:szCs w:val="24"/>
              </w:rPr>
              <w:t>High</w:t>
            </w:r>
          </w:p>
        </w:tc>
        <w:tc>
          <w:tcPr>
            <w:tcW w:w="908" w:type="dxa"/>
          </w:tcPr>
          <w:p w14:paraId="1028BBBD" w14:textId="622DA084" w:rsidR="00F72637" w:rsidRPr="003F145E" w:rsidRDefault="00835EED" w:rsidP="00AF34F4">
            <w:pPr>
              <w:jc w:val="both"/>
              <w:rPr>
                <w:rFonts w:ascii="Times New Roman" w:hAnsi="Times New Roman" w:cs="Times New Roman"/>
                <w:sz w:val="24"/>
                <w:szCs w:val="24"/>
              </w:rPr>
            </w:pPr>
            <w:r w:rsidRPr="00835EED">
              <w:rPr>
                <w:rFonts w:ascii="Times New Roman" w:hAnsi="Times New Roman" w:cs="Times New Roman"/>
                <w:sz w:val="24"/>
                <w:szCs w:val="24"/>
              </w:rPr>
              <w:t>Very High</w:t>
            </w:r>
          </w:p>
        </w:tc>
        <w:tc>
          <w:tcPr>
            <w:tcW w:w="0" w:type="auto"/>
          </w:tcPr>
          <w:p w14:paraId="05B6FAFC" w14:textId="6123C95A" w:rsidR="00F72637" w:rsidRPr="003F145E" w:rsidRDefault="000B4439" w:rsidP="00AF34F4">
            <w:pPr>
              <w:jc w:val="both"/>
              <w:rPr>
                <w:rFonts w:ascii="Times New Roman" w:hAnsi="Times New Roman" w:cs="Times New Roman"/>
                <w:sz w:val="24"/>
                <w:szCs w:val="24"/>
              </w:rPr>
            </w:pPr>
            <w:r w:rsidRPr="000B4439">
              <w:rPr>
                <w:rFonts w:ascii="Times New Roman" w:hAnsi="Times New Roman" w:cs="Times New Roman"/>
                <w:sz w:val="24"/>
                <w:szCs w:val="24"/>
              </w:rPr>
              <w:t>Real-time video, robotics</w:t>
            </w:r>
          </w:p>
        </w:tc>
      </w:tr>
    </w:tbl>
    <w:p w14:paraId="30B59AB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Sources: Sethi and Sarangi, 2017; Rehman et al., 2022; Farooq et al., 2020.</w:t>
      </w:r>
    </w:p>
    <w:p w14:paraId="41FE67C7" w14:textId="5A223D29" w:rsidR="006E5CDF" w:rsidRDefault="006E5CDF" w:rsidP="00066147">
      <w:pPr>
        <w:jc w:val="both"/>
        <w:rPr>
          <w:rFonts w:ascii="Times New Roman" w:hAnsi="Times New Roman" w:cs="Times New Roman"/>
          <w:sz w:val="24"/>
          <w:szCs w:val="24"/>
        </w:rPr>
      </w:pPr>
    </w:p>
    <w:p w14:paraId="5B7793B6" w14:textId="77777777" w:rsidR="002B40F9" w:rsidRDefault="002B40F9" w:rsidP="00066147">
      <w:pPr>
        <w:jc w:val="both"/>
        <w:rPr>
          <w:rFonts w:ascii="Times New Roman" w:hAnsi="Times New Roman" w:cs="Times New Roman"/>
          <w:sz w:val="24"/>
          <w:szCs w:val="24"/>
        </w:rPr>
      </w:pPr>
    </w:p>
    <w:p w14:paraId="369C6A94" w14:textId="77777777" w:rsidR="002B40F9" w:rsidRPr="00066147" w:rsidRDefault="002B40F9" w:rsidP="00066147">
      <w:pPr>
        <w:jc w:val="both"/>
        <w:rPr>
          <w:rFonts w:ascii="Times New Roman" w:hAnsi="Times New Roman" w:cs="Times New Roman"/>
          <w:sz w:val="24"/>
          <w:szCs w:val="24"/>
        </w:rPr>
      </w:pPr>
    </w:p>
    <w:p w14:paraId="57E027B1" w14:textId="77777777" w:rsidR="006E5CDF" w:rsidRPr="000A6E35" w:rsidRDefault="006E5CDF" w:rsidP="00066147">
      <w:pPr>
        <w:numPr>
          <w:ilvl w:val="0"/>
          <w:numId w:val="4"/>
        </w:numPr>
        <w:jc w:val="both"/>
        <w:rPr>
          <w:rFonts w:ascii="Times New Roman" w:hAnsi="Times New Roman" w:cs="Times New Roman"/>
          <w:b/>
          <w:bCs/>
          <w:sz w:val="32"/>
          <w:szCs w:val="32"/>
        </w:rPr>
      </w:pPr>
      <w:r w:rsidRPr="000A6E35">
        <w:rPr>
          <w:rFonts w:ascii="Times New Roman" w:hAnsi="Times New Roman" w:cs="Times New Roman"/>
          <w:b/>
          <w:bCs/>
          <w:sz w:val="32"/>
          <w:szCs w:val="32"/>
        </w:rPr>
        <w:lastRenderedPageBreak/>
        <w:t>Key IoT Applications in Smart Agriculture</w:t>
      </w:r>
    </w:p>
    <w:p w14:paraId="4D5F8871" w14:textId="77777777" w:rsidR="006E5CDF" w:rsidRPr="000A6E35" w:rsidRDefault="006E5CDF" w:rsidP="00066147">
      <w:pPr>
        <w:jc w:val="both"/>
        <w:rPr>
          <w:rFonts w:ascii="Times New Roman" w:hAnsi="Times New Roman" w:cs="Times New Roman"/>
          <w:b/>
          <w:bCs/>
          <w:sz w:val="28"/>
          <w:szCs w:val="28"/>
        </w:rPr>
      </w:pPr>
      <w:r w:rsidRPr="000A6E35">
        <w:rPr>
          <w:rFonts w:ascii="Times New Roman" w:hAnsi="Times New Roman" w:cs="Times New Roman"/>
          <w:b/>
          <w:bCs/>
          <w:sz w:val="28"/>
          <w:szCs w:val="28"/>
        </w:rPr>
        <w:t>4.1 Precision Soil Monitoring and Crop Management</w:t>
      </w:r>
    </w:p>
    <w:p w14:paraId="65023A67"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If you had to pick the single most important variable in crop farming, soil condition would be a strong candidate. Get it right and everything else becomes easier. Get it wrong and it almost does not matter what else you do [Rehman et al., 2022].</w:t>
      </w:r>
    </w:p>
    <w:p w14:paraId="21877C1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IoT soil monitoring systems address this by deploying sensor arrays across a field to track moisture content at multiple depths, temperature, electrical conductivity, pH, and the concentration of key macronutrients — nitrogen, phosphorus, and potassium [Farooq et al., 2020]. All of this data streams continuously via LoRa or NB-IoT to a central platform, where it gets assembled into detailed spatial and temporal maps of field conditions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 Instead of treating a 50-hectare field as a single uniform entity, a farmer can now see exactly which zones are nutrient-deficient, which are waterlogged, and which are performing well.</w:t>
      </w:r>
    </w:p>
    <w:p w14:paraId="65AFCC00"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practical outcome is a practice called variable rate application — applying fertiliser, water, or treatment chemicals at different rates in different zones based on what the data actually shows, rather than spreading everything uniformly and hoping for the best [Rehman et al., 2022]. Studies show this approach reduces fertiliser use by 15 to 25 percent without hurting yield [Farooq et al., 2020]. Capacitive moisture probes installed at 15 cm and 30 cm depth have proven particularly reliable for root-zone analysis [Rehman et al., 2022].</w:t>
      </w:r>
    </w:p>
    <w:p w14:paraId="243219CE"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These sensor networks do more than just track soil. They also log ambient temperature, humidity, wind speed, and </w:t>
      </w:r>
      <w:r w:rsidRPr="00066147">
        <w:rPr>
          <w:rFonts w:ascii="Times New Roman" w:hAnsi="Times New Roman" w:cs="Times New Roman"/>
          <w:sz w:val="24"/>
          <w:szCs w:val="24"/>
        </w:rPr>
        <w:t>solar radiation across the field, and that microclimate data feeds into crop growth models that can estimate evapotranspiration rates and predict disease pressure from fungal or bacterial pathogens before any visible symptoms appear [Wolfert et al., 2017; Kamilaris and Prenafeta-Boldu, 2018]. That is an important capability — catching a problem two weeks early is a very different situation from trying to respond after the damage is visible.</w:t>
      </w:r>
    </w:p>
    <w:p w14:paraId="3114CCB4" w14:textId="77777777" w:rsidR="006E5CDF" w:rsidRPr="0039683C" w:rsidRDefault="006E5CDF" w:rsidP="00066147">
      <w:pPr>
        <w:jc w:val="both"/>
        <w:rPr>
          <w:rFonts w:ascii="Times New Roman" w:hAnsi="Times New Roman" w:cs="Times New Roman"/>
          <w:b/>
          <w:bCs/>
          <w:sz w:val="28"/>
          <w:szCs w:val="28"/>
        </w:rPr>
      </w:pPr>
      <w:r w:rsidRPr="0039683C">
        <w:rPr>
          <w:rFonts w:ascii="Times New Roman" w:hAnsi="Times New Roman" w:cs="Times New Roman"/>
          <w:b/>
          <w:bCs/>
          <w:sz w:val="28"/>
          <w:szCs w:val="28"/>
        </w:rPr>
        <w:t>4.2 Smart Irrigation Systems</w:t>
      </w:r>
    </w:p>
    <w:p w14:paraId="05FDD93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Water is agriculture's most critical input and, increasingly, its scarcest one. Irrigation already accounts for roughly 70 percent of all freshwater withdrawn globally, and the conventional ways of doing it — flood irrigation, fixed schedules — are remarkably inefficient [FAO, 2022]. Water gets applied based on the calendar rather than what the crop actually needs on that particular day, and the result is widespread overwatering, waterlogging, and salinisation that degrades soil over time.</w:t>
      </w:r>
    </w:p>
    <w:p w14:paraId="76826220"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IoT-based smart irrigation flips this logic entirely. Instead of irrigating on a schedule, the system pulls together real-time soil moisture readings, live weather data, and evapotranspiration models to calculate exactly how much water each zone of a field needs right now [Farooq et al., 2020]. Automated valve controllers and pump actuators then deliver precisely that amount — no more, no less [Rehman et al., 2022]. The results across documented deployments are consistent: drip irrigation systems with IoT control achieve water savings of 40 to 50 percent compared to conventional methods, without any reduction in crop quality or yield [FAO, 2022].</w:t>
      </w:r>
    </w:p>
    <w:p w14:paraId="02FB5559"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In water-stressed parts of India like Maharashtra and Rajasthan, government-backed pilots have reported meaningful </w:t>
      </w:r>
      <w:r w:rsidRPr="00066147">
        <w:rPr>
          <w:rFonts w:ascii="Times New Roman" w:hAnsi="Times New Roman" w:cs="Times New Roman"/>
          <w:sz w:val="24"/>
          <w:szCs w:val="24"/>
        </w:rPr>
        <w:lastRenderedPageBreak/>
        <w:t>reductions in groundwater depletion as a result of these systems [NASSCOM, 2023]. Advanced implementations also close the feedback loop: the soil sensors keep watching after the irrigation starts and only allow the valve to close once the target moisture level has actually been confirmed, preventing both under- and over-irrigation in the same system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 Adding solar-powered pumps on top of this takes grid electricity costs out of the equation almost entirely [Rehman et al., 2022].</w:t>
      </w:r>
    </w:p>
    <w:p w14:paraId="1801266C" w14:textId="77777777" w:rsidR="0039683C" w:rsidRDefault="0039683C" w:rsidP="00066147">
      <w:pPr>
        <w:jc w:val="both"/>
        <w:rPr>
          <w:rFonts w:ascii="Times New Roman" w:hAnsi="Times New Roman" w:cs="Times New Roman"/>
          <w:b/>
          <w:bCs/>
          <w:sz w:val="28"/>
          <w:szCs w:val="28"/>
        </w:rPr>
      </w:pPr>
    </w:p>
    <w:p w14:paraId="7F05E436" w14:textId="1CDAFBF8" w:rsidR="006E5CDF" w:rsidRPr="0039683C" w:rsidRDefault="006E5CDF" w:rsidP="00066147">
      <w:pPr>
        <w:jc w:val="both"/>
        <w:rPr>
          <w:rFonts w:ascii="Times New Roman" w:hAnsi="Times New Roman" w:cs="Times New Roman"/>
          <w:b/>
          <w:bCs/>
          <w:sz w:val="28"/>
          <w:szCs w:val="28"/>
        </w:rPr>
      </w:pPr>
      <w:r w:rsidRPr="0039683C">
        <w:rPr>
          <w:rFonts w:ascii="Times New Roman" w:hAnsi="Times New Roman" w:cs="Times New Roman"/>
          <w:b/>
          <w:bCs/>
          <w:sz w:val="28"/>
          <w:szCs w:val="28"/>
        </w:rPr>
        <w:t>4.3 Drone and UAV-Based Crop Surveillance</w:t>
      </w:r>
    </w:p>
    <w:p w14:paraId="2010E44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Walking a large farm on foot to check for disease or stress is slow, expensive, and easy to get wrong — a plant can look fine from a metre away and be seriously struggling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and Deepak, 2018]. Drones equipped with multispectral cameras have changed this fundamentally. These cameras capture imagery across visible, near-infrared, and red-edge spectral bands simultaneously, and that data is sent to cloud platforms in near real time as the drone flies its survey route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and Deepak, 2018].</w:t>
      </w:r>
    </w:p>
    <w:p w14:paraId="43116D1A"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key output is the Normalised Difference Vegetation Index, or NDVI. This is a value derived from the spectral imagery that correlates closely with how actively a plant is photosynthesising — and by extension, how healthy it is [Kamilaris and Prenafeta-Boldu, 2018]. An NDVI map of a field can reveal zones of water stress, nutrient deficiency, or early disease infection that would be completely invisible to the naked eye from ground level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and Deepak, 2018]. Armed with that information, an agronomist can direct treatment to exactly the zones that need it, reducing total pesticide and herbicide use </w:t>
      </w:r>
      <w:r w:rsidRPr="00066147">
        <w:rPr>
          <w:rFonts w:ascii="Times New Roman" w:hAnsi="Times New Roman" w:cs="Times New Roman"/>
          <w:sz w:val="24"/>
          <w:szCs w:val="24"/>
        </w:rPr>
        <w:t>by up to 30 percent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and Deepak, 2018].</w:t>
      </w:r>
    </w:p>
    <w:p w14:paraId="0E934FF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Beyond sensing, spray drones are increasingly doing the application work as well. An IoT-connected spray drone carrying 10 to 20 litres of agrochemical can cover up to 10 hectares per hour with a level of targeting precision that significantly reduces chemical drift into surrounding areas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and Deepak, 2018]. Mapping drones also build high-resolution 3D terrain models that are useful for drainage planning and field infrastructure design [Wolfert et al., 2017].</w:t>
      </w:r>
    </w:p>
    <w:p w14:paraId="446FA88C" w14:textId="77777777" w:rsidR="006E5CDF" w:rsidRPr="0039683C" w:rsidRDefault="006E5CDF" w:rsidP="00066147">
      <w:pPr>
        <w:jc w:val="both"/>
        <w:rPr>
          <w:rFonts w:ascii="Times New Roman" w:hAnsi="Times New Roman" w:cs="Times New Roman"/>
          <w:b/>
          <w:bCs/>
          <w:sz w:val="28"/>
          <w:szCs w:val="28"/>
        </w:rPr>
      </w:pPr>
      <w:r w:rsidRPr="0039683C">
        <w:rPr>
          <w:rFonts w:ascii="Times New Roman" w:hAnsi="Times New Roman" w:cs="Times New Roman"/>
          <w:b/>
          <w:bCs/>
          <w:sz w:val="28"/>
          <w:szCs w:val="28"/>
        </w:rPr>
        <w:t>4.4 Livestock Health and Location Monitoring</w:t>
      </w:r>
    </w:p>
    <w:p w14:paraId="0AA1D955"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Monitoring the health of individual animals in a large herd has traditionally meant visual inspection — which means you only catch a problem once it is obvious enough to see. By that point, the animal has usually been sick for a while already [Tzounis et al., 2017].</w:t>
      </w:r>
    </w:p>
    <w:p w14:paraId="7E1B368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IoT-based livestock monitoring changes the timeline. Ear-mounted or collar-based tags carrying accelerometers, temperature sensors, heart rate monitors, and GPS modules transmit individual biometric and positional data every few minutes to a central farm management platform [Tzounis et al., 2017]. The system learns each animal's normal baseline and flags deviations automatically. A slight but sustained rise in body temperature might be the first sign of an infection. A </w:t>
      </w:r>
      <w:proofErr w:type="gramStart"/>
      <w:r w:rsidRPr="00066147">
        <w:rPr>
          <w:rFonts w:ascii="Times New Roman" w:hAnsi="Times New Roman" w:cs="Times New Roman"/>
          <w:sz w:val="24"/>
          <w:szCs w:val="24"/>
        </w:rPr>
        <w:t>drop in</w:t>
      </w:r>
      <w:proofErr w:type="gramEnd"/>
      <w:r w:rsidRPr="00066147">
        <w:rPr>
          <w:rFonts w:ascii="Times New Roman" w:hAnsi="Times New Roman" w:cs="Times New Roman"/>
          <w:sz w:val="24"/>
          <w:szCs w:val="24"/>
        </w:rPr>
        <w:t xml:space="preserve"> rumination activity could signal illness, nutritional deficiency, or impending birth [Tzounis et al., 2017]. The farmer gets an alert on their phone before the situation has had time to develop into something serious [Farooq et al., 2020].</w:t>
      </w:r>
    </w:p>
    <w:p w14:paraId="75075F5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GPS-based geofencing adds another layer. If an animal leaves a defined boundary, the </w:t>
      </w:r>
      <w:r w:rsidRPr="00066147">
        <w:rPr>
          <w:rFonts w:ascii="Times New Roman" w:hAnsi="Times New Roman" w:cs="Times New Roman"/>
          <w:sz w:val="24"/>
          <w:szCs w:val="24"/>
        </w:rPr>
        <w:lastRenderedPageBreak/>
        <w:t>system flags it immediately — which matters a great deal on stations covering tens of thousands of hectares where a missing animal might otherwise go unnoticed for days [Tzounis et al., 2017; Farooq et al., 2020]. RFID systems at feeding stations can go further still, enabling feed ration control at the individual animal level so that each animal gets precisely what it needs based on its current health, age, and production stage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w:t>
      </w:r>
    </w:p>
    <w:p w14:paraId="36E149F9" w14:textId="77777777" w:rsidR="006E5CDF" w:rsidRPr="0039683C" w:rsidRDefault="006E5CDF" w:rsidP="0039683C">
      <w:pPr>
        <w:jc w:val="both"/>
        <w:rPr>
          <w:rFonts w:ascii="Times New Roman" w:hAnsi="Times New Roman" w:cs="Times New Roman"/>
          <w:b/>
          <w:bCs/>
          <w:sz w:val="28"/>
          <w:szCs w:val="28"/>
        </w:rPr>
      </w:pPr>
      <w:r w:rsidRPr="0039683C">
        <w:rPr>
          <w:rFonts w:ascii="Times New Roman" w:hAnsi="Times New Roman" w:cs="Times New Roman"/>
          <w:b/>
          <w:bCs/>
          <w:sz w:val="28"/>
          <w:szCs w:val="28"/>
        </w:rPr>
        <w:t>4.5 Greenhouse Automation and Controlled Environment Agriculture</w:t>
      </w:r>
    </w:p>
    <w:p w14:paraId="7BDFA64D"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Controlled Environment Agriculture represents the most intensive form of IoT deployment in farming — and also, arguably, the most impressive in terms of what it achieves. High-value crops like tomatoes, strawberries, leafy greens, and medicinal herbs are grown in fully automated enclosures where every environmental variable is managed precisely, regardless of what is happening outside [Tzounis et al., 2017].</w:t>
      </w:r>
    </w:p>
    <w:p w14:paraId="4DFBD7CD"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 smart greenhouse runs on a dense network of sensors monitoring temperature, relative humidity, CO2 concentration, light intensity (measured as Photosynthetically Active Radiation), vapour pressure deficit, and substrate moisture [Kamilaris and Prenafeta-Boldu, 2018]. An IoT control unit processes all of that against crop-specific growth models and automatically adjusts ventilation, shading, heating, humidification, CO2 enrichment, and LED lighting to keep conditions exactly where they need to be, around the clock [Tzounis et al., 2017].</w:t>
      </w:r>
    </w:p>
    <w:p w14:paraId="5192A8D1"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yield numbers that result are striking. Commercial greenhouse operations consistently report producing 5 to 10 times more per unit area than equivalent open-</w:t>
      </w:r>
      <w:r w:rsidRPr="00066147">
        <w:rPr>
          <w:rFonts w:ascii="Times New Roman" w:hAnsi="Times New Roman" w:cs="Times New Roman"/>
          <w:sz w:val="24"/>
          <w:szCs w:val="24"/>
        </w:rPr>
        <w:t>field cultivation, with substantially lower water and nutrient inputs thanks to closed-loop hydroponic or aeroponic delivery [Tzounis et al., 2017]. Because the growing conditions are stable year-round, production is not constrained by season. A single farm manager can monitor multiple greenhouse units simultaneously from a web or mobile dashboard [Rehman et al., 2022].</w:t>
      </w:r>
    </w:p>
    <w:p w14:paraId="02632F7F" w14:textId="77777777" w:rsidR="006E5CDF" w:rsidRPr="0039683C" w:rsidRDefault="006E5CDF" w:rsidP="00066147">
      <w:pPr>
        <w:jc w:val="both"/>
        <w:rPr>
          <w:rFonts w:ascii="Times New Roman" w:hAnsi="Times New Roman" w:cs="Times New Roman"/>
          <w:b/>
          <w:bCs/>
          <w:sz w:val="28"/>
          <w:szCs w:val="28"/>
        </w:rPr>
      </w:pPr>
      <w:r w:rsidRPr="0039683C">
        <w:rPr>
          <w:rFonts w:ascii="Times New Roman" w:hAnsi="Times New Roman" w:cs="Times New Roman"/>
          <w:b/>
          <w:bCs/>
          <w:sz w:val="28"/>
          <w:szCs w:val="28"/>
        </w:rPr>
        <w:t>4.6 Supply Chain and Post-Harvest Monitoring</w:t>
      </w:r>
    </w:p>
    <w:p w14:paraId="3221DF3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One of the less glamorous but genuinely critical applications of agricultural IoT is what happens after the crop leaves the farm. Post-harvest losses account for 30 to 40 percent of total food production in developing nations — a staggering waste that happens largely because the cold chain is not adequately monitored [FAO, 2022].</w:t>
      </w:r>
    </w:p>
    <w:p w14:paraId="587E51F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Connected cold storage facilities use temperature and humidity sensors to hold produce at optimal conditions, with automated alarms firing the moment anything drifts outside permitted ranges [FAO, 2022]. RFID and barcode systems provide real-time traceability from harvest through processing, packaging, distribution, and retail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 GPS-enabled IoT trackers on refrigerated vehicles confirm that conditions are being maintained throughout transit — dairy products, fresh produce, and pharmaceuticals all benefit from this kind of continuous chain-of-custody data [Wolfert et al., 2017]. For consumers, that traceability data also builds trust in the product they are buying [MarketsandMarkets, 2024].</w:t>
      </w:r>
    </w:p>
    <w:p w14:paraId="011C99E1" w14:textId="6E9125EF" w:rsidR="006E5CDF" w:rsidRDefault="006E5CDF" w:rsidP="00066147">
      <w:pPr>
        <w:jc w:val="both"/>
        <w:rPr>
          <w:rFonts w:ascii="Times New Roman" w:hAnsi="Times New Roman" w:cs="Times New Roman"/>
          <w:sz w:val="24"/>
          <w:szCs w:val="24"/>
        </w:rPr>
      </w:pPr>
    </w:p>
    <w:p w14:paraId="17471B88" w14:textId="77777777" w:rsidR="002B40F9" w:rsidRPr="00066147" w:rsidRDefault="002B40F9" w:rsidP="00066147">
      <w:pPr>
        <w:jc w:val="both"/>
        <w:rPr>
          <w:rFonts w:ascii="Times New Roman" w:hAnsi="Times New Roman" w:cs="Times New Roman"/>
          <w:sz w:val="24"/>
          <w:szCs w:val="24"/>
        </w:rPr>
      </w:pPr>
    </w:p>
    <w:p w14:paraId="4147F1FA" w14:textId="77777777" w:rsidR="006E5CDF" w:rsidRPr="0039683C" w:rsidRDefault="006E5CDF" w:rsidP="00066147">
      <w:pPr>
        <w:numPr>
          <w:ilvl w:val="0"/>
          <w:numId w:val="5"/>
        </w:numPr>
        <w:jc w:val="both"/>
        <w:rPr>
          <w:rFonts w:ascii="Times New Roman" w:hAnsi="Times New Roman" w:cs="Times New Roman"/>
          <w:b/>
          <w:bCs/>
          <w:sz w:val="32"/>
          <w:szCs w:val="32"/>
        </w:rPr>
      </w:pPr>
      <w:r w:rsidRPr="0039683C">
        <w:rPr>
          <w:rFonts w:ascii="Times New Roman" w:hAnsi="Times New Roman" w:cs="Times New Roman"/>
          <w:b/>
          <w:bCs/>
          <w:sz w:val="32"/>
          <w:szCs w:val="32"/>
        </w:rPr>
        <w:lastRenderedPageBreak/>
        <w:t>Documented Benefits of IoT in Agriculture</w:t>
      </w:r>
    </w:p>
    <w:p w14:paraId="001AE83B"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numbers that come out of real-world IoT deployments are consistent enough across different geographies and crop types that they are worth laying out clearly in one place.</w:t>
      </w:r>
    </w:p>
    <w:p w14:paraId="234BC74C" w14:textId="77777777" w:rsidR="006E5CDF" w:rsidRDefault="006E5CDF" w:rsidP="00066147">
      <w:pPr>
        <w:jc w:val="both"/>
        <w:rPr>
          <w:rFonts w:ascii="Times New Roman" w:hAnsi="Times New Roman" w:cs="Times New Roman"/>
          <w:sz w:val="24"/>
          <w:szCs w:val="24"/>
        </w:rPr>
      </w:pPr>
      <w:r w:rsidRPr="00E23065">
        <w:rPr>
          <w:rFonts w:ascii="Times New Roman" w:hAnsi="Times New Roman" w:cs="Times New Roman"/>
          <w:b/>
          <w:bCs/>
          <w:sz w:val="24"/>
          <w:szCs w:val="24"/>
        </w:rPr>
        <w:t>Table 2:</w:t>
      </w:r>
      <w:r w:rsidRPr="00066147">
        <w:rPr>
          <w:rFonts w:ascii="Times New Roman" w:hAnsi="Times New Roman" w:cs="Times New Roman"/>
          <w:sz w:val="24"/>
          <w:szCs w:val="24"/>
        </w:rPr>
        <w:t xml:space="preserve"> Quantified Benefits of IoT Adoption in Agriculture</w:t>
      </w:r>
    </w:p>
    <w:tbl>
      <w:tblPr>
        <w:tblStyle w:val="TableGrid"/>
        <w:tblW w:w="0" w:type="auto"/>
        <w:tblLook w:val="04A0" w:firstRow="1" w:lastRow="0" w:firstColumn="1" w:lastColumn="0" w:noHBand="0" w:noVBand="1"/>
      </w:tblPr>
      <w:tblGrid>
        <w:gridCol w:w="1442"/>
        <w:gridCol w:w="1417"/>
        <w:gridCol w:w="1290"/>
      </w:tblGrid>
      <w:tr w:rsidR="003F1F6F" w14:paraId="2D956E1B" w14:textId="77777777" w:rsidTr="003F1F6F">
        <w:tc>
          <w:tcPr>
            <w:tcW w:w="3005" w:type="dxa"/>
          </w:tcPr>
          <w:p w14:paraId="077928DA" w14:textId="5F14F03A" w:rsidR="003F1F6F" w:rsidRDefault="008C5347" w:rsidP="00066147">
            <w:pPr>
              <w:jc w:val="both"/>
              <w:rPr>
                <w:rFonts w:ascii="Times New Roman" w:hAnsi="Times New Roman" w:cs="Times New Roman"/>
                <w:sz w:val="24"/>
                <w:szCs w:val="24"/>
              </w:rPr>
            </w:pPr>
            <w:r w:rsidRPr="008C5347">
              <w:rPr>
                <w:rFonts w:ascii="Times New Roman" w:hAnsi="Times New Roman" w:cs="Times New Roman"/>
                <w:sz w:val="24"/>
                <w:szCs w:val="24"/>
              </w:rPr>
              <w:t>Benefit Area</w:t>
            </w:r>
          </w:p>
        </w:tc>
        <w:tc>
          <w:tcPr>
            <w:tcW w:w="3005" w:type="dxa"/>
          </w:tcPr>
          <w:p w14:paraId="4E20DB95" w14:textId="42CD72B0" w:rsidR="003F1F6F" w:rsidRDefault="00216D5D" w:rsidP="00066147">
            <w:pPr>
              <w:jc w:val="both"/>
              <w:rPr>
                <w:rFonts w:ascii="Times New Roman" w:hAnsi="Times New Roman" w:cs="Times New Roman"/>
                <w:sz w:val="24"/>
                <w:szCs w:val="24"/>
              </w:rPr>
            </w:pPr>
            <w:r w:rsidRPr="00216D5D">
              <w:rPr>
                <w:rFonts w:ascii="Times New Roman" w:hAnsi="Times New Roman" w:cs="Times New Roman"/>
                <w:sz w:val="24"/>
                <w:szCs w:val="24"/>
              </w:rPr>
              <w:t>Measured Outcome</w:t>
            </w:r>
          </w:p>
        </w:tc>
        <w:tc>
          <w:tcPr>
            <w:tcW w:w="3006" w:type="dxa"/>
          </w:tcPr>
          <w:p w14:paraId="5D94B94C" w14:textId="502DBEE9" w:rsidR="003F1F6F" w:rsidRDefault="00216D5D" w:rsidP="00066147">
            <w:pPr>
              <w:jc w:val="both"/>
              <w:rPr>
                <w:rFonts w:ascii="Times New Roman" w:hAnsi="Times New Roman" w:cs="Times New Roman"/>
                <w:sz w:val="24"/>
                <w:szCs w:val="24"/>
              </w:rPr>
            </w:pPr>
            <w:r w:rsidRPr="00216D5D">
              <w:rPr>
                <w:rFonts w:ascii="Times New Roman" w:hAnsi="Times New Roman" w:cs="Times New Roman"/>
                <w:sz w:val="24"/>
                <w:szCs w:val="24"/>
              </w:rPr>
              <w:t>Source</w:t>
            </w:r>
          </w:p>
        </w:tc>
      </w:tr>
      <w:tr w:rsidR="008C5347" w14:paraId="25F7D64C" w14:textId="77777777" w:rsidTr="003F1F6F">
        <w:tc>
          <w:tcPr>
            <w:tcW w:w="3005" w:type="dxa"/>
          </w:tcPr>
          <w:p w14:paraId="2D17ADC6" w14:textId="7F0E2DD0" w:rsidR="008C5347" w:rsidRDefault="00216D5D" w:rsidP="00066147">
            <w:pPr>
              <w:jc w:val="both"/>
              <w:rPr>
                <w:rFonts w:ascii="Times New Roman" w:hAnsi="Times New Roman" w:cs="Times New Roman"/>
                <w:sz w:val="24"/>
                <w:szCs w:val="24"/>
              </w:rPr>
            </w:pPr>
            <w:r w:rsidRPr="00216D5D">
              <w:rPr>
                <w:rFonts w:ascii="Times New Roman" w:hAnsi="Times New Roman" w:cs="Times New Roman"/>
                <w:sz w:val="24"/>
                <w:szCs w:val="24"/>
              </w:rPr>
              <w:t>Water usage</w:t>
            </w:r>
          </w:p>
        </w:tc>
        <w:tc>
          <w:tcPr>
            <w:tcW w:w="3005" w:type="dxa"/>
          </w:tcPr>
          <w:p w14:paraId="007253FC" w14:textId="11BF20D1" w:rsidR="008C5347" w:rsidRDefault="0091165C" w:rsidP="00066147">
            <w:pPr>
              <w:jc w:val="both"/>
              <w:rPr>
                <w:rFonts w:ascii="Times New Roman" w:hAnsi="Times New Roman" w:cs="Times New Roman"/>
                <w:sz w:val="24"/>
                <w:szCs w:val="24"/>
              </w:rPr>
            </w:pPr>
            <w:r w:rsidRPr="0091165C">
              <w:rPr>
                <w:rFonts w:ascii="Times New Roman" w:hAnsi="Times New Roman" w:cs="Times New Roman"/>
                <w:sz w:val="24"/>
                <w:szCs w:val="24"/>
              </w:rPr>
              <w:t>40 to 50 percent reduction in irrigation water</w:t>
            </w:r>
          </w:p>
        </w:tc>
        <w:tc>
          <w:tcPr>
            <w:tcW w:w="3006" w:type="dxa"/>
          </w:tcPr>
          <w:p w14:paraId="3D0C8FDD" w14:textId="5DB1C4D9" w:rsidR="008C5347" w:rsidRDefault="0091165C" w:rsidP="00066147">
            <w:pPr>
              <w:jc w:val="both"/>
              <w:rPr>
                <w:rFonts w:ascii="Times New Roman" w:hAnsi="Times New Roman" w:cs="Times New Roman"/>
                <w:sz w:val="24"/>
                <w:szCs w:val="24"/>
              </w:rPr>
            </w:pPr>
            <w:r w:rsidRPr="0091165C">
              <w:rPr>
                <w:rFonts w:ascii="Times New Roman" w:hAnsi="Times New Roman" w:cs="Times New Roman"/>
                <w:sz w:val="24"/>
                <w:szCs w:val="24"/>
              </w:rPr>
              <w:t>FAO, 2022</w:t>
            </w:r>
          </w:p>
        </w:tc>
      </w:tr>
      <w:tr w:rsidR="003F1F6F" w14:paraId="32959452" w14:textId="77777777" w:rsidTr="003F1F6F">
        <w:tc>
          <w:tcPr>
            <w:tcW w:w="3005" w:type="dxa"/>
          </w:tcPr>
          <w:p w14:paraId="3F0878D8" w14:textId="02AAEABB" w:rsidR="003F1F6F" w:rsidRDefault="001150C1" w:rsidP="00066147">
            <w:pPr>
              <w:jc w:val="both"/>
              <w:rPr>
                <w:rFonts w:ascii="Times New Roman" w:hAnsi="Times New Roman" w:cs="Times New Roman"/>
                <w:sz w:val="24"/>
                <w:szCs w:val="24"/>
              </w:rPr>
            </w:pPr>
            <w:r w:rsidRPr="001150C1">
              <w:rPr>
                <w:rFonts w:ascii="Times New Roman" w:hAnsi="Times New Roman" w:cs="Times New Roman"/>
                <w:sz w:val="24"/>
                <w:szCs w:val="24"/>
              </w:rPr>
              <w:t>Crop yield</w:t>
            </w:r>
          </w:p>
        </w:tc>
        <w:tc>
          <w:tcPr>
            <w:tcW w:w="3005" w:type="dxa"/>
          </w:tcPr>
          <w:p w14:paraId="4310CA8A" w14:textId="5AB01CC4" w:rsidR="003F1F6F" w:rsidRDefault="002615E6" w:rsidP="00066147">
            <w:pPr>
              <w:jc w:val="both"/>
              <w:rPr>
                <w:rFonts w:ascii="Times New Roman" w:hAnsi="Times New Roman" w:cs="Times New Roman"/>
                <w:sz w:val="24"/>
                <w:szCs w:val="24"/>
              </w:rPr>
            </w:pPr>
            <w:r w:rsidRPr="002615E6">
              <w:rPr>
                <w:rFonts w:ascii="Times New Roman" w:hAnsi="Times New Roman" w:cs="Times New Roman"/>
                <w:sz w:val="24"/>
                <w:szCs w:val="24"/>
              </w:rPr>
              <w:t>15 to 25 percent increase</w:t>
            </w:r>
          </w:p>
        </w:tc>
        <w:tc>
          <w:tcPr>
            <w:tcW w:w="3006" w:type="dxa"/>
          </w:tcPr>
          <w:p w14:paraId="7636E253" w14:textId="201B43A3" w:rsidR="003F1F6F" w:rsidRDefault="002615E6" w:rsidP="00066147">
            <w:pPr>
              <w:jc w:val="both"/>
              <w:rPr>
                <w:rFonts w:ascii="Times New Roman" w:hAnsi="Times New Roman" w:cs="Times New Roman"/>
                <w:sz w:val="24"/>
                <w:szCs w:val="24"/>
              </w:rPr>
            </w:pPr>
            <w:r w:rsidRPr="002615E6">
              <w:rPr>
                <w:rFonts w:ascii="Times New Roman" w:hAnsi="Times New Roman" w:cs="Times New Roman"/>
                <w:sz w:val="24"/>
                <w:szCs w:val="24"/>
              </w:rPr>
              <w:t>Farooq et al., 2020</w:t>
            </w:r>
          </w:p>
        </w:tc>
      </w:tr>
      <w:tr w:rsidR="003F1F6F" w14:paraId="4A1884A4" w14:textId="77777777" w:rsidTr="003F1F6F">
        <w:tc>
          <w:tcPr>
            <w:tcW w:w="3005" w:type="dxa"/>
          </w:tcPr>
          <w:p w14:paraId="4DF5DC8F" w14:textId="4364F939" w:rsidR="003F1F6F" w:rsidRDefault="00B02485" w:rsidP="00066147">
            <w:pPr>
              <w:jc w:val="both"/>
              <w:rPr>
                <w:rFonts w:ascii="Times New Roman" w:hAnsi="Times New Roman" w:cs="Times New Roman"/>
                <w:sz w:val="24"/>
                <w:szCs w:val="24"/>
              </w:rPr>
            </w:pPr>
            <w:r w:rsidRPr="00B02485">
              <w:rPr>
                <w:rFonts w:ascii="Times New Roman" w:hAnsi="Times New Roman" w:cs="Times New Roman"/>
                <w:sz w:val="24"/>
                <w:szCs w:val="24"/>
              </w:rPr>
              <w:t>Fertiliser usage</w:t>
            </w:r>
          </w:p>
        </w:tc>
        <w:tc>
          <w:tcPr>
            <w:tcW w:w="3005" w:type="dxa"/>
          </w:tcPr>
          <w:p w14:paraId="6C1B441F" w14:textId="4B2B7E46" w:rsidR="003F1F6F" w:rsidRDefault="003F4ED3" w:rsidP="00066147">
            <w:pPr>
              <w:jc w:val="both"/>
              <w:rPr>
                <w:rFonts w:ascii="Times New Roman" w:hAnsi="Times New Roman" w:cs="Times New Roman"/>
                <w:sz w:val="24"/>
                <w:szCs w:val="24"/>
              </w:rPr>
            </w:pPr>
            <w:r w:rsidRPr="003F4ED3">
              <w:rPr>
                <w:rFonts w:ascii="Times New Roman" w:hAnsi="Times New Roman" w:cs="Times New Roman"/>
                <w:sz w:val="24"/>
                <w:szCs w:val="24"/>
              </w:rPr>
              <w:t>15 to 25 percent reduction</w:t>
            </w:r>
          </w:p>
        </w:tc>
        <w:tc>
          <w:tcPr>
            <w:tcW w:w="3006" w:type="dxa"/>
          </w:tcPr>
          <w:p w14:paraId="6D1141DC" w14:textId="013243DF" w:rsidR="003F1F6F" w:rsidRDefault="00683391" w:rsidP="00066147">
            <w:pPr>
              <w:jc w:val="both"/>
              <w:rPr>
                <w:rFonts w:ascii="Times New Roman" w:hAnsi="Times New Roman" w:cs="Times New Roman"/>
                <w:sz w:val="24"/>
                <w:szCs w:val="24"/>
              </w:rPr>
            </w:pPr>
            <w:r w:rsidRPr="00683391">
              <w:rPr>
                <w:rFonts w:ascii="Times New Roman" w:hAnsi="Times New Roman" w:cs="Times New Roman"/>
                <w:sz w:val="24"/>
                <w:szCs w:val="24"/>
              </w:rPr>
              <w:t>Rehman et al., 2022</w:t>
            </w:r>
          </w:p>
        </w:tc>
      </w:tr>
      <w:tr w:rsidR="003F1F6F" w14:paraId="2DAEDF84" w14:textId="77777777" w:rsidTr="003F1F6F">
        <w:tc>
          <w:tcPr>
            <w:tcW w:w="3005" w:type="dxa"/>
          </w:tcPr>
          <w:p w14:paraId="7B9A1E44" w14:textId="4B72A4DB" w:rsidR="003F1F6F" w:rsidRDefault="00683391" w:rsidP="00066147">
            <w:pPr>
              <w:jc w:val="both"/>
              <w:rPr>
                <w:rFonts w:ascii="Times New Roman" w:hAnsi="Times New Roman" w:cs="Times New Roman"/>
                <w:sz w:val="24"/>
                <w:szCs w:val="24"/>
              </w:rPr>
            </w:pPr>
            <w:r w:rsidRPr="00683391">
              <w:rPr>
                <w:rFonts w:ascii="Times New Roman" w:hAnsi="Times New Roman" w:cs="Times New Roman"/>
                <w:sz w:val="24"/>
                <w:szCs w:val="24"/>
              </w:rPr>
              <w:t>Pesticide usage</w:t>
            </w:r>
          </w:p>
        </w:tc>
        <w:tc>
          <w:tcPr>
            <w:tcW w:w="3005" w:type="dxa"/>
          </w:tcPr>
          <w:p w14:paraId="628801EC" w14:textId="4DD67518" w:rsidR="003F1F6F" w:rsidRDefault="00683391" w:rsidP="00066147">
            <w:pPr>
              <w:jc w:val="both"/>
              <w:rPr>
                <w:rFonts w:ascii="Times New Roman" w:hAnsi="Times New Roman" w:cs="Times New Roman"/>
                <w:sz w:val="24"/>
                <w:szCs w:val="24"/>
              </w:rPr>
            </w:pPr>
            <w:r w:rsidRPr="00683391">
              <w:rPr>
                <w:rFonts w:ascii="Times New Roman" w:hAnsi="Times New Roman" w:cs="Times New Roman"/>
                <w:sz w:val="24"/>
                <w:szCs w:val="24"/>
              </w:rPr>
              <w:t>Up to 30 percent reduction</w:t>
            </w:r>
          </w:p>
        </w:tc>
        <w:tc>
          <w:tcPr>
            <w:tcW w:w="3006" w:type="dxa"/>
          </w:tcPr>
          <w:p w14:paraId="16BEB83E" w14:textId="5A3E2A89" w:rsidR="003F1F6F" w:rsidRDefault="00EF7D50" w:rsidP="00066147">
            <w:pPr>
              <w:jc w:val="both"/>
              <w:rPr>
                <w:rFonts w:ascii="Times New Roman" w:hAnsi="Times New Roman" w:cs="Times New Roman"/>
                <w:sz w:val="24"/>
                <w:szCs w:val="24"/>
              </w:rPr>
            </w:pPr>
            <w:proofErr w:type="spellStart"/>
            <w:r w:rsidRPr="00EF7D50">
              <w:rPr>
                <w:rFonts w:ascii="Times New Roman" w:hAnsi="Times New Roman" w:cs="Times New Roman"/>
                <w:sz w:val="24"/>
                <w:szCs w:val="24"/>
              </w:rPr>
              <w:t>Mogili</w:t>
            </w:r>
            <w:proofErr w:type="spellEnd"/>
            <w:r w:rsidRPr="00EF7D50">
              <w:rPr>
                <w:rFonts w:ascii="Times New Roman" w:hAnsi="Times New Roman" w:cs="Times New Roman"/>
                <w:sz w:val="24"/>
                <w:szCs w:val="24"/>
              </w:rPr>
              <w:t xml:space="preserve"> and Deepak, 2018</w:t>
            </w:r>
          </w:p>
        </w:tc>
      </w:tr>
      <w:tr w:rsidR="003F1F6F" w14:paraId="0984C412" w14:textId="77777777" w:rsidTr="003F1F6F">
        <w:tc>
          <w:tcPr>
            <w:tcW w:w="3005" w:type="dxa"/>
          </w:tcPr>
          <w:p w14:paraId="2F67E588" w14:textId="78C2B717" w:rsidR="003F1F6F" w:rsidRDefault="00EF7D50" w:rsidP="00066147">
            <w:pPr>
              <w:jc w:val="both"/>
              <w:rPr>
                <w:rFonts w:ascii="Times New Roman" w:hAnsi="Times New Roman" w:cs="Times New Roman"/>
                <w:sz w:val="24"/>
                <w:szCs w:val="24"/>
              </w:rPr>
            </w:pPr>
            <w:r w:rsidRPr="00EF7D50">
              <w:rPr>
                <w:rFonts w:ascii="Times New Roman" w:hAnsi="Times New Roman" w:cs="Times New Roman"/>
                <w:sz w:val="24"/>
                <w:szCs w:val="24"/>
              </w:rPr>
              <w:t>Labour hours</w:t>
            </w:r>
          </w:p>
        </w:tc>
        <w:tc>
          <w:tcPr>
            <w:tcW w:w="3005" w:type="dxa"/>
          </w:tcPr>
          <w:p w14:paraId="3FDD60C8" w14:textId="50E95926" w:rsidR="003F1F6F" w:rsidRDefault="00EF7D50" w:rsidP="00066147">
            <w:pPr>
              <w:jc w:val="both"/>
              <w:rPr>
                <w:rFonts w:ascii="Times New Roman" w:hAnsi="Times New Roman" w:cs="Times New Roman"/>
                <w:sz w:val="24"/>
                <w:szCs w:val="24"/>
              </w:rPr>
            </w:pPr>
            <w:r w:rsidRPr="00EF7D50">
              <w:rPr>
                <w:rFonts w:ascii="Times New Roman" w:hAnsi="Times New Roman" w:cs="Times New Roman"/>
                <w:sz w:val="24"/>
                <w:szCs w:val="24"/>
              </w:rPr>
              <w:t>60 to 70 percent reduction</w:t>
            </w:r>
          </w:p>
        </w:tc>
        <w:tc>
          <w:tcPr>
            <w:tcW w:w="3006" w:type="dxa"/>
          </w:tcPr>
          <w:p w14:paraId="2AD6B259" w14:textId="4C5D4D04" w:rsidR="003F1F6F" w:rsidRDefault="007E6541" w:rsidP="00066147">
            <w:pPr>
              <w:jc w:val="both"/>
              <w:rPr>
                <w:rFonts w:ascii="Times New Roman" w:hAnsi="Times New Roman" w:cs="Times New Roman"/>
                <w:sz w:val="24"/>
                <w:szCs w:val="24"/>
              </w:rPr>
            </w:pPr>
            <w:r w:rsidRPr="007E6541">
              <w:rPr>
                <w:rFonts w:ascii="Times New Roman" w:hAnsi="Times New Roman" w:cs="Times New Roman"/>
                <w:sz w:val="24"/>
                <w:szCs w:val="24"/>
              </w:rPr>
              <w:t>Tzounis et al., 2017</w:t>
            </w:r>
          </w:p>
        </w:tc>
      </w:tr>
      <w:tr w:rsidR="003F1F6F" w14:paraId="31B9F2D8" w14:textId="77777777" w:rsidTr="003F1F6F">
        <w:tc>
          <w:tcPr>
            <w:tcW w:w="3005" w:type="dxa"/>
          </w:tcPr>
          <w:p w14:paraId="4562A1CF" w14:textId="35CD5E42" w:rsidR="003F1F6F" w:rsidRDefault="007E6541" w:rsidP="00066147">
            <w:pPr>
              <w:jc w:val="both"/>
              <w:rPr>
                <w:rFonts w:ascii="Times New Roman" w:hAnsi="Times New Roman" w:cs="Times New Roman"/>
                <w:sz w:val="24"/>
                <w:szCs w:val="24"/>
              </w:rPr>
            </w:pPr>
            <w:r w:rsidRPr="007E6541">
              <w:rPr>
                <w:rFonts w:ascii="Times New Roman" w:hAnsi="Times New Roman" w:cs="Times New Roman"/>
                <w:sz w:val="24"/>
                <w:szCs w:val="24"/>
              </w:rPr>
              <w:t>Disease detection</w:t>
            </w:r>
          </w:p>
        </w:tc>
        <w:tc>
          <w:tcPr>
            <w:tcW w:w="3005" w:type="dxa"/>
          </w:tcPr>
          <w:p w14:paraId="73E64FAC" w14:textId="545F1EB3" w:rsidR="003F1F6F" w:rsidRDefault="007E6541" w:rsidP="00066147">
            <w:pPr>
              <w:jc w:val="both"/>
              <w:rPr>
                <w:rFonts w:ascii="Times New Roman" w:hAnsi="Times New Roman" w:cs="Times New Roman"/>
                <w:sz w:val="24"/>
                <w:szCs w:val="24"/>
              </w:rPr>
            </w:pPr>
            <w:r w:rsidRPr="007E6541">
              <w:rPr>
                <w:rFonts w:ascii="Times New Roman" w:hAnsi="Times New Roman" w:cs="Times New Roman"/>
                <w:sz w:val="24"/>
                <w:szCs w:val="24"/>
              </w:rPr>
              <w:t>2 to 3 weeks earlier than visual scouting</w:t>
            </w:r>
          </w:p>
        </w:tc>
        <w:tc>
          <w:tcPr>
            <w:tcW w:w="3006" w:type="dxa"/>
          </w:tcPr>
          <w:p w14:paraId="658B72A4" w14:textId="67414D3D" w:rsidR="003F1F6F" w:rsidRDefault="00EF1CBB" w:rsidP="00066147">
            <w:pPr>
              <w:jc w:val="both"/>
              <w:rPr>
                <w:rFonts w:ascii="Times New Roman" w:hAnsi="Times New Roman" w:cs="Times New Roman"/>
                <w:sz w:val="24"/>
                <w:szCs w:val="24"/>
              </w:rPr>
            </w:pPr>
            <w:r w:rsidRPr="00EF1CBB">
              <w:rPr>
                <w:rFonts w:ascii="Times New Roman" w:hAnsi="Times New Roman" w:cs="Times New Roman"/>
                <w:sz w:val="24"/>
                <w:szCs w:val="24"/>
              </w:rPr>
              <w:t>Kamilaris and Prenafeta-Boldu, 2018</w:t>
            </w:r>
          </w:p>
        </w:tc>
      </w:tr>
      <w:tr w:rsidR="003F1F6F" w14:paraId="238D231C" w14:textId="77777777" w:rsidTr="003F1F6F">
        <w:tc>
          <w:tcPr>
            <w:tcW w:w="3005" w:type="dxa"/>
          </w:tcPr>
          <w:p w14:paraId="45A60636" w14:textId="151BDCCC" w:rsidR="003F1F6F" w:rsidRDefault="00EF1CBB" w:rsidP="00066147">
            <w:pPr>
              <w:jc w:val="both"/>
              <w:rPr>
                <w:rFonts w:ascii="Times New Roman" w:hAnsi="Times New Roman" w:cs="Times New Roman"/>
                <w:sz w:val="24"/>
                <w:szCs w:val="24"/>
              </w:rPr>
            </w:pPr>
            <w:r w:rsidRPr="00EF1CBB">
              <w:rPr>
                <w:rFonts w:ascii="Times New Roman" w:hAnsi="Times New Roman" w:cs="Times New Roman"/>
                <w:sz w:val="24"/>
                <w:szCs w:val="24"/>
              </w:rPr>
              <w:t>Greenhouse yield</w:t>
            </w:r>
          </w:p>
        </w:tc>
        <w:tc>
          <w:tcPr>
            <w:tcW w:w="3005" w:type="dxa"/>
          </w:tcPr>
          <w:p w14:paraId="0D4912DF" w14:textId="1F408BBF" w:rsidR="003F1F6F" w:rsidRDefault="00EF1CBB" w:rsidP="00066147">
            <w:pPr>
              <w:jc w:val="both"/>
              <w:rPr>
                <w:rFonts w:ascii="Times New Roman" w:hAnsi="Times New Roman" w:cs="Times New Roman"/>
                <w:sz w:val="24"/>
                <w:szCs w:val="24"/>
              </w:rPr>
            </w:pPr>
            <w:r w:rsidRPr="00EF1CBB">
              <w:rPr>
                <w:rFonts w:ascii="Times New Roman" w:hAnsi="Times New Roman" w:cs="Times New Roman"/>
                <w:sz w:val="24"/>
                <w:szCs w:val="24"/>
              </w:rPr>
              <w:t>5 to 10 times higher per unit area</w:t>
            </w:r>
          </w:p>
        </w:tc>
        <w:tc>
          <w:tcPr>
            <w:tcW w:w="3006" w:type="dxa"/>
          </w:tcPr>
          <w:p w14:paraId="4765B2E7" w14:textId="38E02DEA" w:rsidR="003F1F6F" w:rsidRDefault="005A442F" w:rsidP="00066147">
            <w:pPr>
              <w:jc w:val="both"/>
              <w:rPr>
                <w:rFonts w:ascii="Times New Roman" w:hAnsi="Times New Roman" w:cs="Times New Roman"/>
                <w:sz w:val="24"/>
                <w:szCs w:val="24"/>
              </w:rPr>
            </w:pPr>
            <w:r w:rsidRPr="005A442F">
              <w:rPr>
                <w:rFonts w:ascii="Times New Roman" w:hAnsi="Times New Roman" w:cs="Times New Roman"/>
                <w:sz w:val="24"/>
                <w:szCs w:val="24"/>
              </w:rPr>
              <w:t>Tzounis et al., 2017</w:t>
            </w:r>
          </w:p>
        </w:tc>
      </w:tr>
      <w:tr w:rsidR="003F1F6F" w14:paraId="2FB3F098" w14:textId="77777777" w:rsidTr="003F1F6F">
        <w:tc>
          <w:tcPr>
            <w:tcW w:w="3005" w:type="dxa"/>
          </w:tcPr>
          <w:p w14:paraId="78889ED1" w14:textId="3D64DB31" w:rsidR="003F1F6F" w:rsidRDefault="00032BCB" w:rsidP="00066147">
            <w:pPr>
              <w:jc w:val="both"/>
              <w:rPr>
                <w:rFonts w:ascii="Times New Roman" w:hAnsi="Times New Roman" w:cs="Times New Roman"/>
                <w:sz w:val="24"/>
                <w:szCs w:val="24"/>
              </w:rPr>
            </w:pPr>
            <w:r w:rsidRPr="00032BCB">
              <w:rPr>
                <w:rFonts w:ascii="Times New Roman" w:hAnsi="Times New Roman" w:cs="Times New Roman"/>
                <w:sz w:val="24"/>
                <w:szCs w:val="24"/>
              </w:rPr>
              <w:t>Post-harvest loss</w:t>
            </w:r>
          </w:p>
        </w:tc>
        <w:tc>
          <w:tcPr>
            <w:tcW w:w="3005" w:type="dxa"/>
          </w:tcPr>
          <w:p w14:paraId="2C41BA3A" w14:textId="11684FA2" w:rsidR="003F1F6F" w:rsidRDefault="00032BCB" w:rsidP="00066147">
            <w:pPr>
              <w:jc w:val="both"/>
              <w:rPr>
                <w:rFonts w:ascii="Times New Roman" w:hAnsi="Times New Roman" w:cs="Times New Roman"/>
                <w:sz w:val="24"/>
                <w:szCs w:val="24"/>
              </w:rPr>
            </w:pPr>
            <w:r w:rsidRPr="00032BCB">
              <w:rPr>
                <w:rFonts w:ascii="Times New Roman" w:hAnsi="Times New Roman" w:cs="Times New Roman"/>
                <w:sz w:val="24"/>
                <w:szCs w:val="24"/>
              </w:rPr>
              <w:t>Significant reduction through cold chain monitoring</w:t>
            </w:r>
          </w:p>
        </w:tc>
        <w:tc>
          <w:tcPr>
            <w:tcW w:w="3006" w:type="dxa"/>
          </w:tcPr>
          <w:p w14:paraId="7092181C" w14:textId="5AF5266A" w:rsidR="003F1F6F" w:rsidRDefault="00032BCB" w:rsidP="00066147">
            <w:pPr>
              <w:jc w:val="both"/>
              <w:rPr>
                <w:rFonts w:ascii="Times New Roman" w:hAnsi="Times New Roman" w:cs="Times New Roman"/>
                <w:sz w:val="24"/>
                <w:szCs w:val="24"/>
              </w:rPr>
            </w:pPr>
            <w:r w:rsidRPr="00032BCB">
              <w:rPr>
                <w:rFonts w:ascii="Times New Roman" w:hAnsi="Times New Roman" w:cs="Times New Roman"/>
                <w:sz w:val="24"/>
                <w:szCs w:val="24"/>
              </w:rPr>
              <w:t>FAO, 2022</w:t>
            </w:r>
          </w:p>
        </w:tc>
      </w:tr>
      <w:tr w:rsidR="003F1F6F" w14:paraId="1E41BB1B" w14:textId="77777777" w:rsidTr="003F1F6F">
        <w:tc>
          <w:tcPr>
            <w:tcW w:w="3005" w:type="dxa"/>
          </w:tcPr>
          <w:p w14:paraId="2521CBF7" w14:textId="20B8F470" w:rsidR="003F1F6F" w:rsidRDefault="00032BCB" w:rsidP="00066147">
            <w:pPr>
              <w:jc w:val="both"/>
              <w:rPr>
                <w:rFonts w:ascii="Times New Roman" w:hAnsi="Times New Roman" w:cs="Times New Roman"/>
                <w:sz w:val="24"/>
                <w:szCs w:val="24"/>
              </w:rPr>
            </w:pPr>
            <w:r w:rsidRPr="00032BCB">
              <w:rPr>
                <w:rFonts w:ascii="Times New Roman" w:hAnsi="Times New Roman" w:cs="Times New Roman"/>
                <w:sz w:val="24"/>
                <w:szCs w:val="24"/>
              </w:rPr>
              <w:t>Livestock mortality</w:t>
            </w:r>
          </w:p>
        </w:tc>
        <w:tc>
          <w:tcPr>
            <w:tcW w:w="3005" w:type="dxa"/>
          </w:tcPr>
          <w:p w14:paraId="1C9A86EB" w14:textId="1D6A4506" w:rsidR="003F1F6F" w:rsidRDefault="009324FE" w:rsidP="00066147">
            <w:pPr>
              <w:jc w:val="both"/>
              <w:rPr>
                <w:rFonts w:ascii="Times New Roman" w:hAnsi="Times New Roman" w:cs="Times New Roman"/>
                <w:sz w:val="24"/>
                <w:szCs w:val="24"/>
              </w:rPr>
            </w:pPr>
            <w:r w:rsidRPr="009324FE">
              <w:rPr>
                <w:rFonts w:ascii="Times New Roman" w:hAnsi="Times New Roman" w:cs="Times New Roman"/>
                <w:sz w:val="24"/>
                <w:szCs w:val="24"/>
              </w:rPr>
              <w:t>Measurable reduction through early detection</w:t>
            </w:r>
          </w:p>
        </w:tc>
        <w:tc>
          <w:tcPr>
            <w:tcW w:w="3006" w:type="dxa"/>
          </w:tcPr>
          <w:p w14:paraId="6F36A415" w14:textId="1B9C1BA3" w:rsidR="003F1F6F" w:rsidRDefault="009324FE" w:rsidP="00066147">
            <w:pPr>
              <w:jc w:val="both"/>
              <w:rPr>
                <w:rFonts w:ascii="Times New Roman" w:hAnsi="Times New Roman" w:cs="Times New Roman"/>
                <w:sz w:val="24"/>
                <w:szCs w:val="24"/>
              </w:rPr>
            </w:pPr>
            <w:r w:rsidRPr="009324FE">
              <w:rPr>
                <w:rFonts w:ascii="Times New Roman" w:hAnsi="Times New Roman" w:cs="Times New Roman"/>
                <w:sz w:val="24"/>
                <w:szCs w:val="24"/>
              </w:rPr>
              <w:t>Tzounis et al., 2017</w:t>
            </w:r>
          </w:p>
        </w:tc>
      </w:tr>
    </w:tbl>
    <w:p w14:paraId="0753C836" w14:textId="77777777" w:rsidR="00C60FDA" w:rsidRPr="00066147" w:rsidRDefault="00C60FDA" w:rsidP="00066147">
      <w:pPr>
        <w:jc w:val="both"/>
        <w:rPr>
          <w:rFonts w:ascii="Times New Roman" w:hAnsi="Times New Roman" w:cs="Times New Roman"/>
          <w:sz w:val="24"/>
          <w:szCs w:val="24"/>
        </w:rPr>
      </w:pPr>
    </w:p>
    <w:p w14:paraId="2B481C2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Smart irrigation consistently delivers 40 to 50 percent water savings over conventional methods [FAO, 2022]. Precision input management through IoT sensor networks improves crop yields by 15 to 25 percent [Farooq et al., 2020]. Variable rate fertiliser application reduces the volume applied by 15 to 25 percent without hurting output [Rehman et al., 2022]. Drone-based NDVI targeting cuts pesticide and herbicide use by up to 30 percent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and Deepak, 2018]. Automated monitoring and control systems reduce the hours spent on manual farm monitoring by 60 to 70 percent [Tzounis et al., 2017]. Predictive analytics platforms flag disease 2 to 3 weeks before it would become visible through ground-level scouting [Kamilaris and Prenafeta-Boldu, 2018]. And continuous biometric monitoring of livestock produces measurable reductions in herd mortality through faster veterinary response [Tzounis et al., 2017].</w:t>
      </w:r>
    </w:p>
    <w:p w14:paraId="086CB9E5" w14:textId="51692C12" w:rsidR="006E5CDF" w:rsidRPr="00066147" w:rsidRDefault="006E5CDF" w:rsidP="00066147">
      <w:pPr>
        <w:jc w:val="both"/>
        <w:rPr>
          <w:rFonts w:ascii="Times New Roman" w:hAnsi="Times New Roman" w:cs="Times New Roman"/>
          <w:sz w:val="24"/>
          <w:szCs w:val="24"/>
        </w:rPr>
      </w:pPr>
    </w:p>
    <w:p w14:paraId="4E2442BC" w14:textId="77777777" w:rsidR="006E5CDF" w:rsidRPr="009F58C4" w:rsidRDefault="006E5CDF" w:rsidP="00066147">
      <w:pPr>
        <w:numPr>
          <w:ilvl w:val="0"/>
          <w:numId w:val="6"/>
        </w:numPr>
        <w:jc w:val="both"/>
        <w:rPr>
          <w:rFonts w:ascii="Times New Roman" w:hAnsi="Times New Roman" w:cs="Times New Roman"/>
          <w:b/>
          <w:bCs/>
          <w:sz w:val="32"/>
          <w:szCs w:val="32"/>
        </w:rPr>
      </w:pPr>
      <w:r w:rsidRPr="009F58C4">
        <w:rPr>
          <w:rFonts w:ascii="Times New Roman" w:hAnsi="Times New Roman" w:cs="Times New Roman"/>
          <w:b/>
          <w:bCs/>
          <w:sz w:val="32"/>
          <w:szCs w:val="32"/>
        </w:rPr>
        <w:t>Real-World Case Studies</w:t>
      </w:r>
    </w:p>
    <w:p w14:paraId="6020F725" w14:textId="77777777" w:rsidR="006E5CDF" w:rsidRPr="009F58C4" w:rsidRDefault="006E5CDF" w:rsidP="00066147">
      <w:pPr>
        <w:jc w:val="both"/>
        <w:rPr>
          <w:rFonts w:ascii="Times New Roman" w:hAnsi="Times New Roman" w:cs="Times New Roman"/>
          <w:b/>
          <w:bCs/>
          <w:sz w:val="28"/>
          <w:szCs w:val="28"/>
        </w:rPr>
      </w:pPr>
      <w:r w:rsidRPr="009F58C4">
        <w:rPr>
          <w:rFonts w:ascii="Times New Roman" w:hAnsi="Times New Roman" w:cs="Times New Roman"/>
          <w:b/>
          <w:bCs/>
          <w:sz w:val="28"/>
          <w:szCs w:val="28"/>
        </w:rPr>
        <w:t>6.1 Smart Irrigation in Maharashtra, India</w:t>
      </w:r>
    </w:p>
    <w:p w14:paraId="6BB61FE7"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 Marathwada region of Maharashtra is one of the harder places in India to farm. Water is scarce, groundwater tables are falling, and sugarcane — the region's main cash crop — is thirsty by nature. In 2021, the Maharashtra state government partnered with a domestic </w:t>
      </w:r>
      <w:proofErr w:type="spellStart"/>
      <w:r w:rsidRPr="00066147">
        <w:rPr>
          <w:rFonts w:ascii="Times New Roman" w:hAnsi="Times New Roman" w:cs="Times New Roman"/>
          <w:sz w:val="24"/>
          <w:szCs w:val="24"/>
        </w:rPr>
        <w:t>agri</w:t>
      </w:r>
      <w:proofErr w:type="spellEnd"/>
      <w:r w:rsidRPr="00066147">
        <w:rPr>
          <w:rFonts w:ascii="Times New Roman" w:hAnsi="Times New Roman" w:cs="Times New Roman"/>
          <w:sz w:val="24"/>
          <w:szCs w:val="24"/>
        </w:rPr>
        <w:t>-tech company to deploy an IoT-based drip irrigation system across 1,200 hectares of sugarcane farmland in the region [NASSCOM, 2023].</w:t>
      </w:r>
    </w:p>
    <w:p w14:paraId="44F2DC7A"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 system combined soil moisture sensors at two depths, weather station nodes, and automated valve controllers, all connected via NB-IoT to a cloud dashboard that farmers and field managers could access on </w:t>
      </w:r>
      <w:r w:rsidRPr="00066147">
        <w:rPr>
          <w:rFonts w:ascii="Times New Roman" w:hAnsi="Times New Roman" w:cs="Times New Roman"/>
          <w:sz w:val="24"/>
          <w:szCs w:val="24"/>
        </w:rPr>
        <w:lastRenderedPageBreak/>
        <w:t>their phones. Over two full growing seasons, the results were measurable. Water consumption per hectare dropped by 47 percent. Cane yield improved by 19 percent compared to the pre-deployment baseline [NASSCOM, 2023]. Farmers also reported lower electricity bills because the system scheduled pump operation to align with off-peak electricity tariff windows — a benefit nobody had initially planned for but which turned out to be significant [NASSCOM, 2023].</w:t>
      </w:r>
    </w:p>
    <w:p w14:paraId="3400FC07" w14:textId="77777777" w:rsidR="006E5CDF" w:rsidRPr="009F58C4" w:rsidRDefault="006E5CDF" w:rsidP="00066147">
      <w:pPr>
        <w:jc w:val="both"/>
        <w:rPr>
          <w:rFonts w:ascii="Times New Roman" w:hAnsi="Times New Roman" w:cs="Times New Roman"/>
          <w:b/>
          <w:bCs/>
          <w:sz w:val="24"/>
          <w:szCs w:val="24"/>
        </w:rPr>
      </w:pPr>
      <w:r w:rsidRPr="009F58C4">
        <w:rPr>
          <w:rFonts w:ascii="Times New Roman" w:hAnsi="Times New Roman" w:cs="Times New Roman"/>
          <w:b/>
          <w:bCs/>
          <w:sz w:val="28"/>
          <w:szCs w:val="28"/>
        </w:rPr>
        <w:t>6.2 UAV Crop Surveillance in Punjab, India</w:t>
      </w:r>
    </w:p>
    <w:p w14:paraId="24D16BDD"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Punjab is India's breadbasket, and wheat is its most important crop. In 2022, the Indian Council of Agricultural Research ran a precision farming pilot across 800 hectares of wheat farmland in the state, using multispectral UAVs to test whether NDVI-based variable rate fertiliser application could outperform the uniform application methods most farmers still use [NASSCOM, 2023].</w:t>
      </w:r>
    </w:p>
    <w:p w14:paraId="1123D687" w14:textId="77777777" w:rsidR="006E5CDF"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Drone flights were conducted every seven days throughout the growing season, generating NDVI maps that an AI platform converted into zone-specific fertiliser prescriptions for each field area. The outcome was clear. Total nitrogen applied fell by 22 percent. Yield improved by 14 percent over the control group [NASSCOM, 2023]. Perhaps most importantly, the drones picked up the early stages of yellow rust disease in two zones of the trial area. Targeted fungicide application in those zones prevented what the research team estimated would have been a 35 percent crop loss if the infection had gone undetected until visible [NASSCOM, 2023].</w:t>
      </w:r>
    </w:p>
    <w:p w14:paraId="4BD3F0EB" w14:textId="77777777" w:rsidR="002B40F9" w:rsidRPr="00066147" w:rsidRDefault="002B40F9" w:rsidP="00066147">
      <w:pPr>
        <w:jc w:val="both"/>
        <w:rPr>
          <w:rFonts w:ascii="Times New Roman" w:hAnsi="Times New Roman" w:cs="Times New Roman"/>
          <w:sz w:val="24"/>
          <w:szCs w:val="24"/>
        </w:rPr>
      </w:pPr>
    </w:p>
    <w:p w14:paraId="26E9B955" w14:textId="77777777" w:rsidR="006E5CDF" w:rsidRPr="009F58C4" w:rsidRDefault="006E5CDF" w:rsidP="00066147">
      <w:pPr>
        <w:jc w:val="both"/>
        <w:rPr>
          <w:rFonts w:ascii="Times New Roman" w:hAnsi="Times New Roman" w:cs="Times New Roman"/>
          <w:b/>
          <w:bCs/>
          <w:sz w:val="28"/>
          <w:szCs w:val="28"/>
        </w:rPr>
      </w:pPr>
      <w:r w:rsidRPr="009F58C4">
        <w:rPr>
          <w:rFonts w:ascii="Times New Roman" w:hAnsi="Times New Roman" w:cs="Times New Roman"/>
          <w:b/>
          <w:bCs/>
          <w:sz w:val="28"/>
          <w:szCs w:val="28"/>
        </w:rPr>
        <w:t>6.3 Greenhouse Automation in the Netherlands</w:t>
      </w:r>
    </w:p>
    <w:p w14:paraId="6F77C5D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Netherlands has long been the global reference point for high-intensity greenhouse agriculture. Across its 10,000-hectare glasshouse sector, IoT-based Controlled Environment Agriculture is not a pilot programme — it is standard operating procedure [Wolfert et al., 2017].</w:t>
      </w:r>
    </w:p>
    <w:p w14:paraId="60EEED9A"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 well-documented example comes from a commercial tomato producer in the Westland region. Their operation integrated over 4,000 sensor nodes measuring temperature, humidity, CO2, PAR, and VPD, connected via Zigbee to a centralised control system managing climate, lighting, and nutrient delivery autonomously [Wolfert et al., 2017]. The results speak for themselves. The greenhouse produced 80 kilograms of tomatoes per square metre annually — roughly eight times what an open field would yield — while using 35 percent less water and 28 percent less energy than non-automated greenhouse benchmarks [Wolfert et al., 2017]. Year-round production, independent of Dutch weather, made the economics work in ways that open-field cultivation simply cannot match.</w:t>
      </w:r>
    </w:p>
    <w:p w14:paraId="491E14DF" w14:textId="77777777" w:rsidR="006E5CDF" w:rsidRPr="009F58C4" w:rsidRDefault="006E5CDF" w:rsidP="00066147">
      <w:pPr>
        <w:jc w:val="both"/>
        <w:rPr>
          <w:rFonts w:ascii="Times New Roman" w:hAnsi="Times New Roman" w:cs="Times New Roman"/>
          <w:b/>
          <w:bCs/>
          <w:sz w:val="28"/>
          <w:szCs w:val="28"/>
        </w:rPr>
      </w:pPr>
      <w:r w:rsidRPr="009F58C4">
        <w:rPr>
          <w:rFonts w:ascii="Times New Roman" w:hAnsi="Times New Roman" w:cs="Times New Roman"/>
          <w:b/>
          <w:bCs/>
          <w:sz w:val="28"/>
          <w:szCs w:val="28"/>
        </w:rPr>
        <w:t>6.4 Livestock Monitoring in Queensland, Australia</w:t>
      </w:r>
    </w:p>
    <w:p w14:paraId="22138661"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A cattle station in Queensland covering over 50,000 hectares deployed IoT ear-tag sensors across a herd of 3,500 cattle, tracking body temperature, physical activity, and GPS location for each animal [Tzounis et al., 2017]. Data was transmitted every 15 minutes via </w:t>
      </w:r>
      <w:proofErr w:type="spellStart"/>
      <w:r w:rsidRPr="00066147">
        <w:rPr>
          <w:rFonts w:ascii="Times New Roman" w:hAnsi="Times New Roman" w:cs="Times New Roman"/>
          <w:sz w:val="24"/>
          <w:szCs w:val="24"/>
        </w:rPr>
        <w:t>LoRaWAN</w:t>
      </w:r>
      <w:proofErr w:type="spellEnd"/>
      <w:r w:rsidRPr="00066147">
        <w:rPr>
          <w:rFonts w:ascii="Times New Roman" w:hAnsi="Times New Roman" w:cs="Times New Roman"/>
          <w:sz w:val="24"/>
          <w:szCs w:val="24"/>
        </w:rPr>
        <w:t xml:space="preserve"> to a farm management platform running AI-based anomaly detection algorithms.</w:t>
      </w:r>
    </w:p>
    <w:p w14:paraId="6217092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Over 18 months of operation, the system generated 312 early-illness alerts. Veterinary follow-up confirmed 94 percent </w:t>
      </w:r>
      <w:r w:rsidRPr="00066147">
        <w:rPr>
          <w:rFonts w:ascii="Times New Roman" w:hAnsi="Times New Roman" w:cs="Times New Roman"/>
          <w:sz w:val="24"/>
          <w:szCs w:val="24"/>
        </w:rPr>
        <w:lastRenderedPageBreak/>
        <w:t>of those alerts as genuine health issues [Tzounis et al., 2017]. The herd mortality rate over the period was 1.2 percent. The regional average for cattle stations of comparable size was 3.8 percent [Tzounis et al., 2017]. That gap is not marginal — it represents hundreds of animals and a very significant financial difference over an 18-month period.</w:t>
      </w:r>
    </w:p>
    <w:p w14:paraId="28C64BA6" w14:textId="77777777" w:rsidR="006E5CDF" w:rsidRPr="009F58C4" w:rsidRDefault="006E5CDF" w:rsidP="00066147">
      <w:pPr>
        <w:jc w:val="both"/>
        <w:rPr>
          <w:rFonts w:ascii="Times New Roman" w:hAnsi="Times New Roman" w:cs="Times New Roman"/>
          <w:b/>
          <w:bCs/>
          <w:sz w:val="28"/>
          <w:szCs w:val="28"/>
        </w:rPr>
      </w:pPr>
      <w:r w:rsidRPr="009F58C4">
        <w:rPr>
          <w:rFonts w:ascii="Times New Roman" w:hAnsi="Times New Roman" w:cs="Times New Roman"/>
          <w:b/>
          <w:bCs/>
          <w:sz w:val="28"/>
          <w:szCs w:val="28"/>
        </w:rPr>
        <w:t>6.5 Cold Chain Monitoring in India</w:t>
      </w:r>
    </w:p>
    <w:p w14:paraId="5A50E12A"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 major Indian dairy cooperative was losing product to temperature excursions during transport — the kind of problem that does not show up until produce reaches the delivery point and fails inspection. Their response was to fit GPS-enabled IoT temperature loggers to their fleet of 240 refrigerated milk tankers operating across Rajasthan and Gujarat [NASSCOM, 2023].</w:t>
      </w:r>
    </w:p>
    <w:p w14:paraId="6BDAFB7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Each tanker got sensors at three points in the cargo hold, sending readings every five minutes via 4G to a central monitoring platform. In the first year of operation, the system detected 47 temperature excursion events that would previously have gone unnoticed until delivery [NASSCOM, 2023]. Catching those events early prevented an estimated 180,000 litres of milk from being distributed at compromised quality. Customer complaints related to product quality fell by 12 percent [NASSCOM, 2023].</w:t>
      </w:r>
    </w:p>
    <w:p w14:paraId="4AEF1EE9" w14:textId="4ACC9E42" w:rsidR="006E5CDF" w:rsidRPr="00066147" w:rsidRDefault="006E5CDF" w:rsidP="00066147">
      <w:pPr>
        <w:jc w:val="both"/>
        <w:rPr>
          <w:rFonts w:ascii="Times New Roman" w:hAnsi="Times New Roman" w:cs="Times New Roman"/>
          <w:sz w:val="24"/>
          <w:szCs w:val="24"/>
        </w:rPr>
      </w:pPr>
    </w:p>
    <w:p w14:paraId="5281C083" w14:textId="77777777" w:rsidR="006E5CDF" w:rsidRPr="009F58C4" w:rsidRDefault="006E5CDF" w:rsidP="00066147">
      <w:pPr>
        <w:numPr>
          <w:ilvl w:val="0"/>
          <w:numId w:val="7"/>
        </w:numPr>
        <w:jc w:val="both"/>
        <w:rPr>
          <w:rFonts w:ascii="Times New Roman" w:hAnsi="Times New Roman" w:cs="Times New Roman"/>
          <w:b/>
          <w:bCs/>
          <w:sz w:val="32"/>
          <w:szCs w:val="32"/>
        </w:rPr>
      </w:pPr>
      <w:r w:rsidRPr="009F58C4">
        <w:rPr>
          <w:rFonts w:ascii="Times New Roman" w:hAnsi="Times New Roman" w:cs="Times New Roman"/>
          <w:b/>
          <w:bCs/>
          <w:sz w:val="32"/>
          <w:szCs w:val="32"/>
        </w:rPr>
        <w:t>Challenges and Limitations</w:t>
      </w:r>
    </w:p>
    <w:p w14:paraId="56C342B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None of this means IoT in agriculture is a solved problem. The technology works. The evidence for that is clear. But making it work at scale, for the farmers who need it most, is a different question — and the obstacles are real [Farooq et al., 2020].</w:t>
      </w:r>
    </w:p>
    <w:p w14:paraId="1BE29017"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Connectivity Infrastructure</w:t>
      </w:r>
    </w:p>
    <w:p w14:paraId="5DBE8BA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Everything about an IoT system depends on data getting from the sensor to somewhere it can be processed. In the middle of a rural farm, that is often harder than it sounds [Sethi and Sarangi, 2017]. As of 2022, approximately 3.7 billion people globally still lacked internet access, and agricultural land is disproportionately in those gaps [World Bank, 2023]. </w:t>
      </w:r>
      <w:proofErr w:type="spellStart"/>
      <w:r w:rsidRPr="00066147">
        <w:rPr>
          <w:rFonts w:ascii="Times New Roman" w:hAnsi="Times New Roman" w:cs="Times New Roman"/>
          <w:sz w:val="24"/>
          <w:szCs w:val="24"/>
        </w:rPr>
        <w:t>LoRaWAN</w:t>
      </w:r>
      <w:proofErr w:type="spellEnd"/>
      <w:r w:rsidRPr="00066147">
        <w:rPr>
          <w:rFonts w:ascii="Times New Roman" w:hAnsi="Times New Roman" w:cs="Times New Roman"/>
          <w:sz w:val="24"/>
          <w:szCs w:val="24"/>
        </w:rPr>
        <w:t xml:space="preserve"> helps because it can reach 15 kilometres on minimal power, but it still needs a gateway installed somewhere [Sethi and Sarangi, 2017]. Satellite IoT via Starlink or OneWeb can bridge the coverage gap in theory, but the costs remain prohibitive for most agricultural applications [MarketsandMarkets, 2024].</w:t>
      </w:r>
    </w:p>
    <w:p w14:paraId="71FFB86A"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Capital Investment and Return Horizon</w:t>
      </w:r>
    </w:p>
    <w:p w14:paraId="7A52B04B"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Equipping a 100-hectare farm with a comprehensive IoT sensor network — sensors, gateways, cloud subscriptions, actuators — costs somewhere between USD 15,000 and USD 50,000 depending on how dense the deployment is [MarketsandMarkets, 2024]. For the smallholder farmers who work farms averaging less than 2 hectares across South Asia and Sub-Saharan Africa, that figure is simply not in reach without subsidised financing or cooperative ownership models [FAO, 2022]. Even where financing is available, a return-on-investment horizon of 3 to 7 years is a hard sell for someone farming at subsistence level [Wolfert et al., 2017].</w:t>
      </w:r>
    </w:p>
    <w:p w14:paraId="51421BC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Data Security and Privacy</w:t>
      </w:r>
    </w:p>
    <w:p w14:paraId="7030050B"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Agricultural IoT systems generate sensitive data — productivity maps, equipment locations, yield forecasts. A 2021 survey found that over 60 percent of low-cost agricultural sensor devices communicated using default or unencrypted protocols, meaning anyone with the right equipment </w:t>
      </w:r>
      <w:r w:rsidRPr="00066147">
        <w:rPr>
          <w:rFonts w:ascii="Times New Roman" w:hAnsi="Times New Roman" w:cs="Times New Roman"/>
          <w:sz w:val="24"/>
          <w:szCs w:val="24"/>
        </w:rPr>
        <w:lastRenderedPageBreak/>
        <w:t>could intercept the data [Rehman et al., 2022]. Most jurisdictions have no sector-specific data governance framework for agricultural IoT, leaving farmers largely unprotected if that data is misused [Wolfert et al., 2017].</w:t>
      </w:r>
    </w:p>
    <w:p w14:paraId="7D3E64D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Technical Literacy and Adoption Barriers</w:t>
      </w:r>
    </w:p>
    <w:p w14:paraId="5DAF710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 system that farmers cannot use confidently is not much of a system. A study of smallholder IoT adoption in India found that fewer than 18 percent of respondents felt comfortable operating a smartphone-based farm management application without help [NASSCOM, 2023]. Deploying hardware without providing sustained training and support consistently results in systems that get abandoned within a few seasons [Farooq et al., 2020]. Localised, vernacular-language interfaces are not optional in this context — they are a basic prerequisite.</w:t>
      </w:r>
    </w:p>
    <w:p w14:paraId="2E90338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Device Durability and Power Supply</w:t>
      </w:r>
    </w:p>
    <w:p w14:paraId="6D155991"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Agricultural environments are harsh. Heat, humidity, dust, and physical knocks from machinery or livestock take a real toll on electronics not designed for field conditions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 Research has found mean time between failure for commercially available agricultural sensors ranging from 14 to 36 months in real field conditions — well below laboratory-rated lifespans [Rehman et al., 2022]. Solar panels caked in dust and batteries degrading faster than expected in high temperatures are consistently cited as the leading causes of unplanned system downtime [Rehman et al., 2022].</w:t>
      </w:r>
    </w:p>
    <w:p w14:paraId="671A113A"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Interoperability and Standardisation</w:t>
      </w:r>
    </w:p>
    <w:p w14:paraId="6E13BA2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 agricultural IoT market is fragmented. Different manufacturers use different protocols, different data formats, and different cloud platforms that frequently refuse to talk to each other [Sethi and </w:t>
      </w:r>
      <w:r w:rsidRPr="00066147">
        <w:rPr>
          <w:rFonts w:ascii="Times New Roman" w:hAnsi="Times New Roman" w:cs="Times New Roman"/>
          <w:sz w:val="24"/>
          <w:szCs w:val="24"/>
        </w:rPr>
        <w:t>Sarangi, 2017]. A survey of farm managers running multi-vendor IoT deployments found that 71 percent had significant problems integrating data from different sensor brands into a single management view [Wolfert et al., 2017]. Without common standards for data exchange, building a truly comprehensive farm management platform remains genuinely difficult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2016].</w:t>
      </w:r>
    </w:p>
    <w:p w14:paraId="05D97371" w14:textId="26E01D26" w:rsidR="006E5CDF" w:rsidRPr="00066147" w:rsidRDefault="006E5CDF" w:rsidP="00066147">
      <w:pPr>
        <w:jc w:val="both"/>
        <w:rPr>
          <w:rFonts w:ascii="Times New Roman" w:hAnsi="Times New Roman" w:cs="Times New Roman"/>
          <w:sz w:val="24"/>
          <w:szCs w:val="24"/>
        </w:rPr>
      </w:pPr>
    </w:p>
    <w:p w14:paraId="022E608A" w14:textId="77777777" w:rsidR="006E5CDF" w:rsidRPr="009F58C4" w:rsidRDefault="006E5CDF" w:rsidP="00066147">
      <w:pPr>
        <w:numPr>
          <w:ilvl w:val="0"/>
          <w:numId w:val="8"/>
        </w:numPr>
        <w:jc w:val="both"/>
        <w:rPr>
          <w:rFonts w:ascii="Times New Roman" w:hAnsi="Times New Roman" w:cs="Times New Roman"/>
          <w:b/>
          <w:bCs/>
          <w:sz w:val="32"/>
          <w:szCs w:val="32"/>
        </w:rPr>
      </w:pPr>
      <w:r w:rsidRPr="009F58C4">
        <w:rPr>
          <w:rFonts w:ascii="Times New Roman" w:hAnsi="Times New Roman" w:cs="Times New Roman"/>
          <w:b/>
          <w:bCs/>
          <w:sz w:val="32"/>
          <w:szCs w:val="32"/>
        </w:rPr>
        <w:t>Future Directions and Emerging Technologies</w:t>
      </w:r>
    </w:p>
    <w:p w14:paraId="483A413C" w14:textId="77777777" w:rsidR="006E5CDF" w:rsidRPr="009F58C4" w:rsidRDefault="006E5CDF" w:rsidP="00066147">
      <w:pPr>
        <w:jc w:val="both"/>
        <w:rPr>
          <w:rFonts w:ascii="Times New Roman" w:hAnsi="Times New Roman" w:cs="Times New Roman"/>
          <w:b/>
          <w:bCs/>
          <w:sz w:val="28"/>
          <w:szCs w:val="28"/>
        </w:rPr>
      </w:pPr>
      <w:r w:rsidRPr="009F58C4">
        <w:rPr>
          <w:rFonts w:ascii="Times New Roman" w:hAnsi="Times New Roman" w:cs="Times New Roman"/>
          <w:b/>
          <w:bCs/>
          <w:sz w:val="28"/>
          <w:szCs w:val="28"/>
        </w:rPr>
        <w:t>8.1 Artificial Intelligence and Predictive Analytics</w:t>
      </w:r>
    </w:p>
    <w:p w14:paraId="7DE56FFD" w14:textId="77777777" w:rsidR="006E5CDF"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combination of IoT sensor streams and machine learning is where the most exciting near-term progress is happening. Deep convolutional neural networks processing drone imagery, recurrent neural networks working through time-series sensor data — these tools are enabling a shift from reacting to problems to anticipating them [Kamilaris and Prenafeta-Boldu, 2018]. AI models trained on multi-year field datasets can flag likely disease outbreaks 2 to 3 weeks before symptoms become visible, generate yield forecasts at planting time, and produce optimised input schedules that adjust dynamically to real-time conditions [Kamilaris and Prenafeta-Boldu, 2018]. A 2023 review of deep learning applications in agriculture found disease identification accuracy above 95 percent from drone-captured leaf imagery across 26 different crop species [Kamilaris and Prenafeta-Boldu, 2018]. As the underlying datasets grow, the models keep getting sharper — and autonomous AI-driven farm management is starting to look less like science fiction [NASSCOM, 2023].</w:t>
      </w:r>
    </w:p>
    <w:p w14:paraId="2EB43148" w14:textId="77777777" w:rsidR="002B40F9" w:rsidRPr="00066147" w:rsidRDefault="002B40F9" w:rsidP="00066147">
      <w:pPr>
        <w:jc w:val="both"/>
        <w:rPr>
          <w:rFonts w:ascii="Times New Roman" w:hAnsi="Times New Roman" w:cs="Times New Roman"/>
          <w:sz w:val="24"/>
          <w:szCs w:val="24"/>
        </w:rPr>
      </w:pPr>
    </w:p>
    <w:p w14:paraId="660641E8" w14:textId="77777777" w:rsidR="006E5CDF" w:rsidRPr="00912D0A" w:rsidRDefault="006E5CDF" w:rsidP="00066147">
      <w:pPr>
        <w:jc w:val="both"/>
        <w:rPr>
          <w:rFonts w:ascii="Times New Roman" w:hAnsi="Times New Roman" w:cs="Times New Roman"/>
          <w:b/>
          <w:bCs/>
          <w:sz w:val="28"/>
          <w:szCs w:val="28"/>
        </w:rPr>
      </w:pPr>
      <w:r w:rsidRPr="00912D0A">
        <w:rPr>
          <w:rFonts w:ascii="Times New Roman" w:hAnsi="Times New Roman" w:cs="Times New Roman"/>
          <w:b/>
          <w:bCs/>
          <w:sz w:val="28"/>
          <w:szCs w:val="28"/>
        </w:rPr>
        <w:lastRenderedPageBreak/>
        <w:t>8.2 Edge Computing</w:t>
      </w:r>
    </w:p>
    <w:p w14:paraId="191B4B0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Sending raw sensor data to a cloud server and waiting for a response is fine for decisions that can afford a few seconds of delay. It is not fine when a frost is forming at 2am and the system needs to trigger protection measures in under a second [Sethi and Sarangi, 2017]. Edge computing — running computation on the IoT gateway device itself rather than in a distant cloud — solves this by keeping the processing close to where the data originates [Sethi and Sarangi, 2017]. Lightweight machine learning models running directly on sensor nodes, a field known as </w:t>
      </w:r>
      <w:proofErr w:type="spellStart"/>
      <w:r w:rsidRPr="00066147">
        <w:rPr>
          <w:rFonts w:ascii="Times New Roman" w:hAnsi="Times New Roman" w:cs="Times New Roman"/>
          <w:sz w:val="24"/>
          <w:szCs w:val="24"/>
        </w:rPr>
        <w:t>TinyML</w:t>
      </w:r>
      <w:proofErr w:type="spellEnd"/>
      <w:r w:rsidRPr="00066147">
        <w:rPr>
          <w:rFonts w:ascii="Times New Roman" w:hAnsi="Times New Roman" w:cs="Times New Roman"/>
          <w:sz w:val="24"/>
          <w:szCs w:val="24"/>
        </w:rPr>
        <w:t>, can detect anomalies and trigger actuator responses in under 200 milliseconds, compared to 2 to 8 seconds for equivalent cloud-based systems [Farooq et al., 2020; Rehman et al., 2022]. In time-critical agricultural scenarios, that difference matters enormously.</w:t>
      </w:r>
    </w:p>
    <w:p w14:paraId="47194A84" w14:textId="77777777" w:rsidR="006E5CDF" w:rsidRPr="00912D0A" w:rsidRDefault="006E5CDF" w:rsidP="00066147">
      <w:pPr>
        <w:jc w:val="both"/>
        <w:rPr>
          <w:rFonts w:ascii="Times New Roman" w:hAnsi="Times New Roman" w:cs="Times New Roman"/>
          <w:b/>
          <w:bCs/>
          <w:sz w:val="28"/>
          <w:szCs w:val="28"/>
        </w:rPr>
      </w:pPr>
      <w:r w:rsidRPr="00912D0A">
        <w:rPr>
          <w:rFonts w:ascii="Times New Roman" w:hAnsi="Times New Roman" w:cs="Times New Roman"/>
          <w:b/>
          <w:bCs/>
          <w:sz w:val="28"/>
          <w:szCs w:val="28"/>
        </w:rPr>
        <w:t>8.3 5G Connectivity</w:t>
      </w:r>
    </w:p>
    <w:p w14:paraId="304C8C09" w14:textId="77777777" w:rsidR="006E5CDF"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5G will not just improve rural internet. For agriculture specifically, the combination of high bandwidth, sub-millisecond latency, and the ability to support up to a million connected devices per square kilometre opens up applications that are currently impractical [MarketsandMarkets, 2024]. Real-time HD video feeds from field cameras for remote agronomic inspection. Coordinated swarms of autonomous planting and harvesting robots. Centimetre-accurate GPS positioning for precision implement guidance. None of </w:t>
      </w:r>
      <w:proofErr w:type="gramStart"/>
      <w:r w:rsidRPr="00066147">
        <w:rPr>
          <w:rFonts w:ascii="Times New Roman" w:hAnsi="Times New Roman" w:cs="Times New Roman"/>
          <w:sz w:val="24"/>
          <w:szCs w:val="24"/>
        </w:rPr>
        <w:t>these work</w:t>
      </w:r>
      <w:proofErr w:type="gramEnd"/>
      <w:r w:rsidRPr="00066147">
        <w:rPr>
          <w:rFonts w:ascii="Times New Roman" w:hAnsi="Times New Roman" w:cs="Times New Roman"/>
          <w:sz w:val="24"/>
          <w:szCs w:val="24"/>
        </w:rPr>
        <w:t xml:space="preserve"> well on current rural connectivity — 5G changes that equation [NASSCOM, 2023]. India's 5G rollout started in October 2022 and is expected to reach all rural districts by 2027, which has direct implications for how quickly smart agriculture can scale across the country [NASSCOM, 2023].</w:t>
      </w:r>
    </w:p>
    <w:p w14:paraId="3852106C" w14:textId="77777777" w:rsidR="002B40F9" w:rsidRPr="00066147" w:rsidRDefault="002B40F9" w:rsidP="00066147">
      <w:pPr>
        <w:jc w:val="both"/>
        <w:rPr>
          <w:rFonts w:ascii="Times New Roman" w:hAnsi="Times New Roman" w:cs="Times New Roman"/>
          <w:sz w:val="24"/>
          <w:szCs w:val="24"/>
        </w:rPr>
      </w:pPr>
    </w:p>
    <w:p w14:paraId="03A50632" w14:textId="77777777" w:rsidR="006E5CDF" w:rsidRPr="00912D0A" w:rsidRDefault="006E5CDF" w:rsidP="00066147">
      <w:pPr>
        <w:jc w:val="both"/>
        <w:rPr>
          <w:rFonts w:ascii="Times New Roman" w:hAnsi="Times New Roman" w:cs="Times New Roman"/>
          <w:b/>
          <w:bCs/>
          <w:sz w:val="28"/>
          <w:szCs w:val="28"/>
        </w:rPr>
      </w:pPr>
      <w:r w:rsidRPr="00912D0A">
        <w:rPr>
          <w:rFonts w:ascii="Times New Roman" w:hAnsi="Times New Roman" w:cs="Times New Roman"/>
          <w:b/>
          <w:bCs/>
          <w:sz w:val="28"/>
          <w:szCs w:val="28"/>
        </w:rPr>
        <w:t>8.4 Blockchain for Agricultural Supply Chain Transparency</w:t>
      </w:r>
    </w:p>
    <w:p w14:paraId="6CEB663B"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Combining IoT sensor data with blockchain distributed ledgers creates something genuinely useful: an immutable, independently verifiable record of exactly what happened to a product from the moment it was planted to the moment it reached the consumer [Wolfert et al., 2017]. Every step — soil treatment, harvest conditions, cold storage temperatures, transport route — can be recorded on-chain with the associated sensor readings as proof [Wolfert et al., 2017]. Pilot programmes in India's spice export sector have already shown this can cut manual certification processing time from 72 hours to under 4 hours while making audit trails more complete at the same time [NASSCOM, 2023]. For smallholder farmers trying to access premium organic or fair-trade markets, verifiable provenance data could be genuinely transformative [MarketsandMarkets, 2024].</w:t>
      </w:r>
    </w:p>
    <w:p w14:paraId="1DBDDCDF" w14:textId="77777777" w:rsidR="006E5CDF" w:rsidRPr="00912D0A" w:rsidRDefault="006E5CDF" w:rsidP="00066147">
      <w:pPr>
        <w:jc w:val="both"/>
        <w:rPr>
          <w:rFonts w:ascii="Times New Roman" w:hAnsi="Times New Roman" w:cs="Times New Roman"/>
          <w:b/>
          <w:bCs/>
          <w:sz w:val="28"/>
          <w:szCs w:val="28"/>
        </w:rPr>
      </w:pPr>
      <w:r w:rsidRPr="00912D0A">
        <w:rPr>
          <w:rFonts w:ascii="Times New Roman" w:hAnsi="Times New Roman" w:cs="Times New Roman"/>
          <w:b/>
          <w:bCs/>
          <w:sz w:val="28"/>
          <w:szCs w:val="28"/>
        </w:rPr>
        <w:t>8.5 Indian Agricultural Context</w:t>
      </w:r>
    </w:p>
    <w:p w14:paraId="17CF1F2C"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India is an interesting case because the scale of the opportunity and the scale of the challenge are both enormous. Over 140 million farm holdings. A median farm size of just 1.08 hectares. Agriculture contributing around 18 percent of GDP while employing over 40 percent of the workforce [World Bank, 2023]. Getting IoT adoption right here matters in ways it simply does not in economies where farming is already highly mechanised.</w:t>
      </w:r>
    </w:p>
    <w:p w14:paraId="7FEB8B6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 policy environment is moving in the right direction. Digital India, PM-KISAN's direct income transfers to 110 million farmer families, and the proposed </w:t>
      </w:r>
      <w:proofErr w:type="spellStart"/>
      <w:r w:rsidRPr="00066147">
        <w:rPr>
          <w:rFonts w:ascii="Times New Roman" w:hAnsi="Times New Roman" w:cs="Times New Roman"/>
          <w:sz w:val="24"/>
          <w:szCs w:val="24"/>
        </w:rPr>
        <w:t>AgriStack</w:t>
      </w:r>
      <w:proofErr w:type="spellEnd"/>
      <w:r w:rsidRPr="00066147">
        <w:rPr>
          <w:rFonts w:ascii="Times New Roman" w:hAnsi="Times New Roman" w:cs="Times New Roman"/>
          <w:sz w:val="24"/>
          <w:szCs w:val="24"/>
        </w:rPr>
        <w:t xml:space="preserve"> digital public infrastructure are all creating conditions that make large-scale IoT integration more feasible [NASSCOM, 2023]. ICAR is running 42 precision </w:t>
      </w:r>
      <w:r w:rsidRPr="00066147">
        <w:rPr>
          <w:rFonts w:ascii="Times New Roman" w:hAnsi="Times New Roman" w:cs="Times New Roman"/>
          <w:sz w:val="24"/>
          <w:szCs w:val="24"/>
        </w:rPr>
        <w:lastRenderedPageBreak/>
        <w:t xml:space="preserve">farming pilots across 14 states as of 2023 [NASSCOM, 2023]. The private sector is paying attention too — India's </w:t>
      </w:r>
      <w:proofErr w:type="spellStart"/>
      <w:r w:rsidRPr="00066147">
        <w:rPr>
          <w:rFonts w:ascii="Times New Roman" w:hAnsi="Times New Roman" w:cs="Times New Roman"/>
          <w:sz w:val="24"/>
          <w:szCs w:val="24"/>
        </w:rPr>
        <w:t>agri</w:t>
      </w:r>
      <w:proofErr w:type="spellEnd"/>
      <w:r w:rsidRPr="00066147">
        <w:rPr>
          <w:rFonts w:ascii="Times New Roman" w:hAnsi="Times New Roman" w:cs="Times New Roman"/>
          <w:sz w:val="24"/>
          <w:szCs w:val="24"/>
        </w:rPr>
        <w:t>-tech sector pulled in over USD 1.2 billion in investment between 2020 and 2023, with IoT-enabled precision farming as the fastest-growing category [MarketsandMarkets, 2024]. The foundations are being laid. What happens over the next decade will depend on whether the technology reaches the smallholder farmer, not just the large commercial operation.</w:t>
      </w:r>
    </w:p>
    <w:p w14:paraId="0A4F3BD8" w14:textId="7ECB061B" w:rsidR="006E5CDF" w:rsidRPr="00066147" w:rsidRDefault="006E5CDF" w:rsidP="00066147">
      <w:pPr>
        <w:jc w:val="both"/>
        <w:rPr>
          <w:rFonts w:ascii="Times New Roman" w:hAnsi="Times New Roman" w:cs="Times New Roman"/>
          <w:sz w:val="24"/>
          <w:szCs w:val="24"/>
        </w:rPr>
      </w:pPr>
    </w:p>
    <w:p w14:paraId="1CB79015" w14:textId="77777777" w:rsidR="006E5CDF" w:rsidRPr="00912D0A" w:rsidRDefault="006E5CDF" w:rsidP="00066147">
      <w:pPr>
        <w:numPr>
          <w:ilvl w:val="0"/>
          <w:numId w:val="9"/>
        </w:numPr>
        <w:jc w:val="both"/>
        <w:rPr>
          <w:rFonts w:ascii="Times New Roman" w:hAnsi="Times New Roman" w:cs="Times New Roman"/>
          <w:b/>
          <w:bCs/>
          <w:sz w:val="32"/>
          <w:szCs w:val="32"/>
        </w:rPr>
      </w:pPr>
      <w:r w:rsidRPr="00912D0A">
        <w:rPr>
          <w:rFonts w:ascii="Times New Roman" w:hAnsi="Times New Roman" w:cs="Times New Roman"/>
          <w:b/>
          <w:bCs/>
          <w:sz w:val="32"/>
          <w:szCs w:val="32"/>
        </w:rPr>
        <w:t>Conclusion</w:t>
      </w:r>
    </w:p>
    <w:p w14:paraId="491F3B7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Smart agriculture is not a future concept. It is happening right now, across geographies and farm sizes, and the results are documented, consistent, and significant [Farooq et al., 2020]. The five case studies in this report cover a dairy cooperative in Rajasthan, a cattle station in Queensland, a wheat farm in Punjab, a sugarcane operation in Maharashtra, and a glasshouse in the Netherlands — and all of them show the same thing: when IoT systems are deployed well, they deliver real benefits that a farmer can measure in water bills, yield figures, and mortality rates [Wolfert et al., 2017; Tzounis et al., 2017; NASSCOM, 2023].</w:t>
      </w:r>
    </w:p>
    <w:p w14:paraId="4E3902CC"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The global numbers support this picture at scale. Water savings of 40 to 50 percent. Yield improvements of 15 to 25 percent. Disease caught 2 to 3 weeks earlier than it would otherwise be. Post-harvest losses reduced across cold chains that previously had no visibility at all [FAO, 2022].</w:t>
      </w:r>
    </w:p>
    <w:p w14:paraId="7C2D194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The barriers that remain — cost, connectivity, literacy, durability, interoperability — are real but they are not technological dead ends [Wolfert et al., 2017]. They are problems that policy, </w:t>
      </w:r>
      <w:r w:rsidRPr="00066147">
        <w:rPr>
          <w:rFonts w:ascii="Times New Roman" w:hAnsi="Times New Roman" w:cs="Times New Roman"/>
          <w:sz w:val="24"/>
          <w:szCs w:val="24"/>
        </w:rPr>
        <w:t>investment, and design can solve. Cheaper hardware, better financing models, vernacular interfaces, satellite connectivity, and common data standards are all within reach. Getting there requires coordination between governments, researchers, technology developers, and financial institutions — not a single breakthrough, but sustained effort across multiple fronts [FAO, 2022].</w:t>
      </w:r>
    </w:p>
    <w:p w14:paraId="692FE2CE"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For India in particular, the combination of government momentum, growing private investment, and a young technically skilled population creates conditions that did not exist even five years ago [NASSCOM, 2023]. The window to build something meaningful is open right now.</w:t>
      </w:r>
    </w:p>
    <w:p w14:paraId="6D1CD83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As IoT keeps converging with AI, edge computing, 5G, and blockchain, farms will become progressively more autonomous and more intelligent [MarketsandMarkets, 2024]. The farm of the future will not need a farmer walking every row to check on things. It will know what is happening across the entire operation in real time, act on that knowledge automatically where it can, and surface the decisions that still need a human to a dashboard that person can check from anywhere [FAO, 2022]. For anyone with a background in electronics, embedded systems, or software engineering, the intersection of these technologies with agriculture is one of the most consequential spaces to be working in right now. The problems are real, the tools are ready, and the impact is measurable.</w:t>
      </w:r>
    </w:p>
    <w:p w14:paraId="069FBEF4" w14:textId="4DB628B4" w:rsidR="006E5CDF" w:rsidRPr="00066147" w:rsidRDefault="006E5CDF" w:rsidP="00066147">
      <w:pPr>
        <w:jc w:val="both"/>
        <w:rPr>
          <w:rFonts w:ascii="Times New Roman" w:hAnsi="Times New Roman" w:cs="Times New Roman"/>
          <w:sz w:val="24"/>
          <w:szCs w:val="24"/>
        </w:rPr>
      </w:pPr>
    </w:p>
    <w:p w14:paraId="396D4B9E" w14:textId="275E6D42" w:rsidR="006E5CDF" w:rsidRPr="00912D0A" w:rsidRDefault="006E5CDF" w:rsidP="00066147">
      <w:pPr>
        <w:jc w:val="both"/>
        <w:rPr>
          <w:rFonts w:ascii="Times New Roman" w:hAnsi="Times New Roman" w:cs="Times New Roman"/>
          <w:b/>
          <w:bCs/>
          <w:sz w:val="32"/>
          <w:szCs w:val="32"/>
        </w:rPr>
      </w:pPr>
      <w:r w:rsidRPr="00912D0A">
        <w:rPr>
          <w:rFonts w:ascii="Times New Roman" w:hAnsi="Times New Roman" w:cs="Times New Roman"/>
          <w:b/>
          <w:bCs/>
          <w:sz w:val="32"/>
          <w:szCs w:val="32"/>
        </w:rPr>
        <w:t>References</w:t>
      </w:r>
    </w:p>
    <w:p w14:paraId="30FAAFFC"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[1] Farooq, M. S., Riaz, S., Abid, A., Umer, T., and </w:t>
      </w:r>
      <w:proofErr w:type="spellStart"/>
      <w:r w:rsidRPr="00066147">
        <w:rPr>
          <w:rFonts w:ascii="Times New Roman" w:hAnsi="Times New Roman" w:cs="Times New Roman"/>
          <w:sz w:val="24"/>
          <w:szCs w:val="24"/>
        </w:rPr>
        <w:t>Zikria</w:t>
      </w:r>
      <w:proofErr w:type="spellEnd"/>
      <w:r w:rsidRPr="00066147">
        <w:rPr>
          <w:rFonts w:ascii="Times New Roman" w:hAnsi="Times New Roman" w:cs="Times New Roman"/>
          <w:sz w:val="24"/>
          <w:szCs w:val="24"/>
        </w:rPr>
        <w:t xml:space="preserve">, Y. B. (2020). Role of IoT Technology in Agriculture: A Systematic Literature Review. Electronics, 9(2), 319. </w:t>
      </w:r>
      <w:r w:rsidRPr="00066147">
        <w:rPr>
          <w:rFonts w:ascii="Times New Roman" w:hAnsi="Times New Roman" w:cs="Times New Roman"/>
          <w:sz w:val="24"/>
          <w:szCs w:val="24"/>
        </w:rPr>
        <w:lastRenderedPageBreak/>
        <w:t xml:space="preserve">MDPI. </w:t>
      </w:r>
      <w:hyperlink r:id="rId5" w:history="1">
        <w:r w:rsidRPr="00066147">
          <w:rPr>
            <w:rStyle w:val="Hyperlink"/>
            <w:rFonts w:ascii="Times New Roman" w:hAnsi="Times New Roman" w:cs="Times New Roman"/>
            <w:sz w:val="24"/>
            <w:szCs w:val="24"/>
          </w:rPr>
          <w:t>https://doi.org/10.3390/electronics9020319</w:t>
        </w:r>
      </w:hyperlink>
    </w:p>
    <w:p w14:paraId="1C3E2A3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[2] Sethi, P., and Sarangi, S. R. (2017). Internet of Things: Architectures, Protocols, and Applications. Journal of Electrical and Computer Engineering, 2017, Article 9324035. </w:t>
      </w:r>
      <w:proofErr w:type="spellStart"/>
      <w:r w:rsidRPr="00066147">
        <w:rPr>
          <w:rFonts w:ascii="Times New Roman" w:hAnsi="Times New Roman" w:cs="Times New Roman"/>
          <w:sz w:val="24"/>
          <w:szCs w:val="24"/>
        </w:rPr>
        <w:t>Hindawi</w:t>
      </w:r>
      <w:proofErr w:type="spellEnd"/>
      <w:r w:rsidRPr="00066147">
        <w:rPr>
          <w:rFonts w:ascii="Times New Roman" w:hAnsi="Times New Roman" w:cs="Times New Roman"/>
          <w:sz w:val="24"/>
          <w:szCs w:val="24"/>
        </w:rPr>
        <w:t xml:space="preserve"> Publishing Corporation.</w:t>
      </w:r>
    </w:p>
    <w:p w14:paraId="17E7623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[3] Rehman, A., Saba, T., Kashif, M., Fati, S. M., Bahaj, S. A., and Chaudhry, H. (2022). A Revisit of Internet of Things Technologies for Monitoring and Control Strategies in Smart Agriculture. Agronomy, 12(1), 127. MDPI.</w:t>
      </w:r>
    </w:p>
    <w:p w14:paraId="22B0B692"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[4] Food and Agriculture Organization of the United Nations (FAO). (2022). The Future of Food and Agriculture: Drivers and Triggers for Transformation. FAO, Rome. ISBN 978-92-5-134551-4.</w:t>
      </w:r>
    </w:p>
    <w:p w14:paraId="7058D4E7"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[5] </w:t>
      </w:r>
      <w:proofErr w:type="spellStart"/>
      <w:r w:rsidRPr="00066147">
        <w:rPr>
          <w:rFonts w:ascii="Times New Roman" w:hAnsi="Times New Roman" w:cs="Times New Roman"/>
          <w:sz w:val="24"/>
          <w:szCs w:val="24"/>
        </w:rPr>
        <w:t>Mogili</w:t>
      </w:r>
      <w:proofErr w:type="spellEnd"/>
      <w:r w:rsidRPr="00066147">
        <w:rPr>
          <w:rFonts w:ascii="Times New Roman" w:hAnsi="Times New Roman" w:cs="Times New Roman"/>
          <w:sz w:val="24"/>
          <w:szCs w:val="24"/>
        </w:rPr>
        <w:t xml:space="preserve">, U. R., and Deepak, B. B. V. L. (2018). Review on Application of Drone Systems in Precision Agriculture. Procedia Computer Science, 133, 502–509. Elsevier. </w:t>
      </w:r>
      <w:hyperlink r:id="rId6" w:history="1">
        <w:r w:rsidRPr="00066147">
          <w:rPr>
            <w:rStyle w:val="Hyperlink"/>
            <w:rFonts w:ascii="Times New Roman" w:hAnsi="Times New Roman" w:cs="Times New Roman"/>
            <w:sz w:val="24"/>
            <w:szCs w:val="24"/>
          </w:rPr>
          <w:t>https://doi.org/10.1016/j.procs.2018.07.063</w:t>
        </w:r>
      </w:hyperlink>
    </w:p>
    <w:p w14:paraId="1AECA844"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[6] Tzounis, A., </w:t>
      </w:r>
      <w:proofErr w:type="spellStart"/>
      <w:r w:rsidRPr="00066147">
        <w:rPr>
          <w:rFonts w:ascii="Times New Roman" w:hAnsi="Times New Roman" w:cs="Times New Roman"/>
          <w:sz w:val="24"/>
          <w:szCs w:val="24"/>
        </w:rPr>
        <w:t>Katsoulas</w:t>
      </w:r>
      <w:proofErr w:type="spellEnd"/>
      <w:r w:rsidRPr="00066147">
        <w:rPr>
          <w:rFonts w:ascii="Times New Roman" w:hAnsi="Times New Roman" w:cs="Times New Roman"/>
          <w:sz w:val="24"/>
          <w:szCs w:val="24"/>
        </w:rPr>
        <w:t xml:space="preserve">, N., </w:t>
      </w:r>
      <w:proofErr w:type="spellStart"/>
      <w:r w:rsidRPr="00066147">
        <w:rPr>
          <w:rFonts w:ascii="Times New Roman" w:hAnsi="Times New Roman" w:cs="Times New Roman"/>
          <w:sz w:val="24"/>
          <w:szCs w:val="24"/>
        </w:rPr>
        <w:t>Bartzanas</w:t>
      </w:r>
      <w:proofErr w:type="spellEnd"/>
      <w:r w:rsidRPr="00066147">
        <w:rPr>
          <w:rFonts w:ascii="Times New Roman" w:hAnsi="Times New Roman" w:cs="Times New Roman"/>
          <w:sz w:val="24"/>
          <w:szCs w:val="24"/>
        </w:rPr>
        <w:t xml:space="preserve">, T., and </w:t>
      </w:r>
      <w:proofErr w:type="spellStart"/>
      <w:r w:rsidRPr="00066147">
        <w:rPr>
          <w:rFonts w:ascii="Times New Roman" w:hAnsi="Times New Roman" w:cs="Times New Roman"/>
          <w:sz w:val="24"/>
          <w:szCs w:val="24"/>
        </w:rPr>
        <w:t>Kittas</w:t>
      </w:r>
      <w:proofErr w:type="spellEnd"/>
      <w:r w:rsidRPr="00066147">
        <w:rPr>
          <w:rFonts w:ascii="Times New Roman" w:hAnsi="Times New Roman" w:cs="Times New Roman"/>
          <w:sz w:val="24"/>
          <w:szCs w:val="24"/>
        </w:rPr>
        <w:t xml:space="preserve">, C. (2017). Internet of Things in Agriculture, Recent Advances and Future Challenges. Biosystems Engineering, 164, 31–48. Elsevier. </w:t>
      </w:r>
      <w:hyperlink r:id="rId7" w:history="1">
        <w:r w:rsidRPr="00066147">
          <w:rPr>
            <w:rStyle w:val="Hyperlink"/>
            <w:rFonts w:ascii="Times New Roman" w:hAnsi="Times New Roman" w:cs="Times New Roman"/>
            <w:sz w:val="24"/>
            <w:szCs w:val="24"/>
          </w:rPr>
          <w:t>https://doi.org/10.1016/j.biosystemseng.2017.09.007</w:t>
        </w:r>
      </w:hyperlink>
    </w:p>
    <w:p w14:paraId="0400066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[7] Kamilaris, A., and Prenafeta-Boldu, F. X. (2018). Deep Learning in Agriculture: A Survey. Computers and Electronics in Agriculture, 147, 70–90. Elsevier.</w:t>
      </w:r>
    </w:p>
    <w:p w14:paraId="1002851F"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[8] Wolfert, S., Ge, L., </w:t>
      </w:r>
      <w:proofErr w:type="spellStart"/>
      <w:r w:rsidRPr="00066147">
        <w:rPr>
          <w:rFonts w:ascii="Times New Roman" w:hAnsi="Times New Roman" w:cs="Times New Roman"/>
          <w:sz w:val="24"/>
          <w:szCs w:val="24"/>
        </w:rPr>
        <w:t>Verdouw</w:t>
      </w:r>
      <w:proofErr w:type="spellEnd"/>
      <w:r w:rsidRPr="00066147">
        <w:rPr>
          <w:rFonts w:ascii="Times New Roman" w:hAnsi="Times New Roman" w:cs="Times New Roman"/>
          <w:sz w:val="24"/>
          <w:szCs w:val="24"/>
        </w:rPr>
        <w:t xml:space="preserve">, C., and Bogaardt, M. J. (2017). Big Data in Smart Farming: A Review. Agricultural Systems, 153, 69–80. Elsevier. </w:t>
      </w:r>
      <w:hyperlink r:id="rId8" w:history="1">
        <w:r w:rsidRPr="00066147">
          <w:rPr>
            <w:rStyle w:val="Hyperlink"/>
            <w:rFonts w:ascii="Times New Roman" w:hAnsi="Times New Roman" w:cs="Times New Roman"/>
            <w:sz w:val="24"/>
            <w:szCs w:val="24"/>
          </w:rPr>
          <w:t>https://doi.org/10.1016/j.agsy.2017.01.023</w:t>
        </w:r>
      </w:hyperlink>
    </w:p>
    <w:p w14:paraId="4BB9B8B9"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[9] MarketsandMarkets Research Private Ltd. (2024). Smart Agriculture Market by Technology, Application, and Geography — Global Forecast to 2030. MarketsandMarkets. Retrieved May 2026, from </w:t>
      </w:r>
      <w:hyperlink r:id="rId9" w:history="1">
        <w:r w:rsidRPr="00066147">
          <w:rPr>
            <w:rStyle w:val="Hyperlink"/>
            <w:rFonts w:ascii="Times New Roman" w:hAnsi="Times New Roman" w:cs="Times New Roman"/>
            <w:sz w:val="24"/>
            <w:szCs w:val="24"/>
          </w:rPr>
          <w:t>https://www.marketsandmarkets.com/Market-Reports/smart-agriculture-market-239736790.html</w:t>
        </w:r>
      </w:hyperlink>
    </w:p>
    <w:p w14:paraId="2EF06F78"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[10] </w:t>
      </w:r>
      <w:proofErr w:type="spellStart"/>
      <w:r w:rsidRPr="00066147">
        <w:rPr>
          <w:rFonts w:ascii="Times New Roman" w:hAnsi="Times New Roman" w:cs="Times New Roman"/>
          <w:sz w:val="24"/>
          <w:szCs w:val="24"/>
        </w:rPr>
        <w:t>Gondchawar</w:t>
      </w:r>
      <w:proofErr w:type="spellEnd"/>
      <w:r w:rsidRPr="00066147">
        <w:rPr>
          <w:rFonts w:ascii="Times New Roman" w:hAnsi="Times New Roman" w:cs="Times New Roman"/>
          <w:sz w:val="24"/>
          <w:szCs w:val="24"/>
        </w:rPr>
        <w:t xml:space="preserve">, N., and </w:t>
      </w:r>
      <w:proofErr w:type="spellStart"/>
      <w:r w:rsidRPr="00066147">
        <w:rPr>
          <w:rFonts w:ascii="Times New Roman" w:hAnsi="Times New Roman" w:cs="Times New Roman"/>
          <w:sz w:val="24"/>
          <w:szCs w:val="24"/>
        </w:rPr>
        <w:t>Kawitkar</w:t>
      </w:r>
      <w:proofErr w:type="spellEnd"/>
      <w:r w:rsidRPr="00066147">
        <w:rPr>
          <w:rFonts w:ascii="Times New Roman" w:hAnsi="Times New Roman" w:cs="Times New Roman"/>
          <w:sz w:val="24"/>
          <w:szCs w:val="24"/>
        </w:rPr>
        <w:t>, R. S. (2016). IoT based Smart Agriculture. International Journal of Advanced Research in Computer and Communication Engineering, 5(6), 838–842. IJARCCE.</w:t>
      </w:r>
    </w:p>
    <w:p w14:paraId="58F11566"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[11] NASSCOM. (2023). IoT in Agriculture: India's Precision Farming Revolution. National Association of Software and Service Companies, New Delhi. NASSCOM Whitepaper Series.</w:t>
      </w:r>
    </w:p>
    <w:p w14:paraId="33CEDCD9" w14:textId="77777777" w:rsidR="006E5CDF" w:rsidRPr="00066147" w:rsidRDefault="006E5CDF" w:rsidP="00066147">
      <w:pPr>
        <w:jc w:val="both"/>
        <w:rPr>
          <w:rFonts w:ascii="Times New Roman" w:hAnsi="Times New Roman" w:cs="Times New Roman"/>
          <w:sz w:val="24"/>
          <w:szCs w:val="24"/>
        </w:rPr>
      </w:pPr>
      <w:r w:rsidRPr="00066147">
        <w:rPr>
          <w:rFonts w:ascii="Times New Roman" w:hAnsi="Times New Roman" w:cs="Times New Roman"/>
          <w:sz w:val="24"/>
          <w:szCs w:val="24"/>
        </w:rPr>
        <w:t xml:space="preserve">[12] World Bank. (2023). World Development Report 2023: Migrants, Refugees, and Societies. The World Bank Group, Washington D.C. </w:t>
      </w:r>
      <w:hyperlink r:id="rId10" w:history="1">
        <w:r w:rsidRPr="00066147">
          <w:rPr>
            <w:rStyle w:val="Hyperlink"/>
            <w:rFonts w:ascii="Times New Roman" w:hAnsi="Times New Roman" w:cs="Times New Roman"/>
            <w:sz w:val="24"/>
            <w:szCs w:val="24"/>
          </w:rPr>
          <w:t>https://www.worldbank.org/en/publication/wdr2023</w:t>
        </w:r>
      </w:hyperlink>
    </w:p>
    <w:p w14:paraId="17E0595C" w14:textId="77777777" w:rsidR="000871CB" w:rsidRPr="00066147" w:rsidRDefault="000871CB" w:rsidP="00066147">
      <w:pPr>
        <w:jc w:val="both"/>
        <w:rPr>
          <w:rFonts w:ascii="Times New Roman" w:hAnsi="Times New Roman" w:cs="Times New Roman"/>
          <w:sz w:val="24"/>
          <w:szCs w:val="24"/>
        </w:rPr>
        <w:sectPr w:rsidR="000871CB" w:rsidRPr="00066147" w:rsidSect="00B44B8A">
          <w:type w:val="continuous"/>
          <w:pgSz w:w="11906" w:h="16838"/>
          <w:pgMar w:top="1440" w:right="1440" w:bottom="1440" w:left="1440" w:header="708" w:footer="708" w:gutter="0"/>
          <w:cols w:num="2" w:space="708"/>
          <w:docGrid w:linePitch="360"/>
        </w:sectPr>
      </w:pPr>
    </w:p>
    <w:p w14:paraId="3D594F77" w14:textId="77777777" w:rsidR="00854098" w:rsidRPr="00066147" w:rsidRDefault="00854098" w:rsidP="00066147">
      <w:pPr>
        <w:jc w:val="both"/>
        <w:rPr>
          <w:rFonts w:ascii="Times New Roman" w:hAnsi="Times New Roman" w:cs="Times New Roman"/>
          <w:sz w:val="24"/>
          <w:szCs w:val="24"/>
        </w:rPr>
      </w:pPr>
    </w:p>
    <w:sectPr w:rsidR="00854098" w:rsidRPr="00066147" w:rsidSect="00B44B8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433"/>
    <w:multiLevelType w:val="multilevel"/>
    <w:tmpl w:val="20EED6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F62B1"/>
    <w:multiLevelType w:val="multilevel"/>
    <w:tmpl w:val="C4405B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65645"/>
    <w:multiLevelType w:val="multilevel"/>
    <w:tmpl w:val="D974E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D5BD4"/>
    <w:multiLevelType w:val="multilevel"/>
    <w:tmpl w:val="36FE25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269AA"/>
    <w:multiLevelType w:val="multilevel"/>
    <w:tmpl w:val="C9043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46EE5"/>
    <w:multiLevelType w:val="multilevel"/>
    <w:tmpl w:val="0B8A2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B7671"/>
    <w:multiLevelType w:val="multilevel"/>
    <w:tmpl w:val="24DE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C49B9"/>
    <w:multiLevelType w:val="multilevel"/>
    <w:tmpl w:val="E79AAB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72C17"/>
    <w:multiLevelType w:val="multilevel"/>
    <w:tmpl w:val="6C880A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479798">
    <w:abstractNumId w:val="6"/>
  </w:num>
  <w:num w:numId="2" w16cid:durableId="406613763">
    <w:abstractNumId w:val="3"/>
  </w:num>
  <w:num w:numId="3" w16cid:durableId="1558515389">
    <w:abstractNumId w:val="4"/>
  </w:num>
  <w:num w:numId="4" w16cid:durableId="1462655168">
    <w:abstractNumId w:val="2"/>
  </w:num>
  <w:num w:numId="5" w16cid:durableId="9383529">
    <w:abstractNumId w:val="0"/>
  </w:num>
  <w:num w:numId="6" w16cid:durableId="219052081">
    <w:abstractNumId w:val="5"/>
  </w:num>
  <w:num w:numId="7" w16cid:durableId="2027251879">
    <w:abstractNumId w:val="8"/>
  </w:num>
  <w:num w:numId="8" w16cid:durableId="221062286">
    <w:abstractNumId w:val="7"/>
  </w:num>
  <w:num w:numId="9" w16cid:durableId="11379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AC"/>
    <w:rsid w:val="000007F0"/>
    <w:rsid w:val="00032BCB"/>
    <w:rsid w:val="00066147"/>
    <w:rsid w:val="00067535"/>
    <w:rsid w:val="000871CB"/>
    <w:rsid w:val="000A6E35"/>
    <w:rsid w:val="000B4439"/>
    <w:rsid w:val="001150C1"/>
    <w:rsid w:val="00157826"/>
    <w:rsid w:val="001D11F7"/>
    <w:rsid w:val="001D6363"/>
    <w:rsid w:val="00216D5D"/>
    <w:rsid w:val="002615E6"/>
    <w:rsid w:val="00295AEE"/>
    <w:rsid w:val="002B18EC"/>
    <w:rsid w:val="002B40F9"/>
    <w:rsid w:val="0039683C"/>
    <w:rsid w:val="003F145E"/>
    <w:rsid w:val="003F1F6F"/>
    <w:rsid w:val="003F4ED3"/>
    <w:rsid w:val="00490ED5"/>
    <w:rsid w:val="004A0FAC"/>
    <w:rsid w:val="004A2B2B"/>
    <w:rsid w:val="005A442F"/>
    <w:rsid w:val="005D748B"/>
    <w:rsid w:val="006123D2"/>
    <w:rsid w:val="00683391"/>
    <w:rsid w:val="006A08CE"/>
    <w:rsid w:val="006E5CDF"/>
    <w:rsid w:val="00736E16"/>
    <w:rsid w:val="007E6541"/>
    <w:rsid w:val="0083192C"/>
    <w:rsid w:val="00835EED"/>
    <w:rsid w:val="00841579"/>
    <w:rsid w:val="00854098"/>
    <w:rsid w:val="008628FB"/>
    <w:rsid w:val="008C5347"/>
    <w:rsid w:val="008E55F5"/>
    <w:rsid w:val="0091165C"/>
    <w:rsid w:val="00912D0A"/>
    <w:rsid w:val="00914D74"/>
    <w:rsid w:val="009324FE"/>
    <w:rsid w:val="00966434"/>
    <w:rsid w:val="009F58C4"/>
    <w:rsid w:val="00A411CE"/>
    <w:rsid w:val="00AE584E"/>
    <w:rsid w:val="00B02485"/>
    <w:rsid w:val="00B44B8A"/>
    <w:rsid w:val="00C47101"/>
    <w:rsid w:val="00C5413F"/>
    <w:rsid w:val="00C60FDA"/>
    <w:rsid w:val="00C913B1"/>
    <w:rsid w:val="00D809C8"/>
    <w:rsid w:val="00D96936"/>
    <w:rsid w:val="00E23065"/>
    <w:rsid w:val="00EF1CBB"/>
    <w:rsid w:val="00EF2BA0"/>
    <w:rsid w:val="00EF7D50"/>
    <w:rsid w:val="00F72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7C12"/>
  <w15:chartTrackingRefBased/>
  <w15:docId w15:val="{09234BF6-BAB4-421D-89E6-48102709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F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F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F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F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F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F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F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F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FAC"/>
    <w:rPr>
      <w:rFonts w:eastAsiaTheme="majorEastAsia" w:cstheme="majorBidi"/>
      <w:color w:val="272727" w:themeColor="text1" w:themeTint="D8"/>
    </w:rPr>
  </w:style>
  <w:style w:type="paragraph" w:styleId="Title">
    <w:name w:val="Title"/>
    <w:basedOn w:val="Normal"/>
    <w:next w:val="Normal"/>
    <w:link w:val="TitleChar"/>
    <w:uiPriority w:val="10"/>
    <w:qFormat/>
    <w:rsid w:val="004A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FAC"/>
    <w:pPr>
      <w:spacing w:before="160"/>
      <w:jc w:val="center"/>
    </w:pPr>
    <w:rPr>
      <w:i/>
      <w:iCs/>
      <w:color w:val="404040" w:themeColor="text1" w:themeTint="BF"/>
    </w:rPr>
  </w:style>
  <w:style w:type="character" w:customStyle="1" w:styleId="QuoteChar">
    <w:name w:val="Quote Char"/>
    <w:basedOn w:val="DefaultParagraphFont"/>
    <w:link w:val="Quote"/>
    <w:uiPriority w:val="29"/>
    <w:rsid w:val="004A0FAC"/>
    <w:rPr>
      <w:i/>
      <w:iCs/>
      <w:color w:val="404040" w:themeColor="text1" w:themeTint="BF"/>
    </w:rPr>
  </w:style>
  <w:style w:type="paragraph" w:styleId="ListParagraph">
    <w:name w:val="List Paragraph"/>
    <w:basedOn w:val="Normal"/>
    <w:uiPriority w:val="34"/>
    <w:qFormat/>
    <w:rsid w:val="004A0FAC"/>
    <w:pPr>
      <w:ind w:left="720"/>
      <w:contextualSpacing/>
    </w:pPr>
  </w:style>
  <w:style w:type="character" w:styleId="IntenseEmphasis">
    <w:name w:val="Intense Emphasis"/>
    <w:basedOn w:val="DefaultParagraphFont"/>
    <w:uiPriority w:val="21"/>
    <w:qFormat/>
    <w:rsid w:val="004A0FAC"/>
    <w:rPr>
      <w:i/>
      <w:iCs/>
      <w:color w:val="2F5496" w:themeColor="accent1" w:themeShade="BF"/>
    </w:rPr>
  </w:style>
  <w:style w:type="paragraph" w:styleId="IntenseQuote">
    <w:name w:val="Intense Quote"/>
    <w:basedOn w:val="Normal"/>
    <w:next w:val="Normal"/>
    <w:link w:val="IntenseQuoteChar"/>
    <w:uiPriority w:val="30"/>
    <w:qFormat/>
    <w:rsid w:val="004A0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FAC"/>
    <w:rPr>
      <w:i/>
      <w:iCs/>
      <w:color w:val="2F5496" w:themeColor="accent1" w:themeShade="BF"/>
    </w:rPr>
  </w:style>
  <w:style w:type="character" w:styleId="IntenseReference">
    <w:name w:val="Intense Reference"/>
    <w:basedOn w:val="DefaultParagraphFont"/>
    <w:uiPriority w:val="32"/>
    <w:qFormat/>
    <w:rsid w:val="004A0FAC"/>
    <w:rPr>
      <w:b/>
      <w:bCs/>
      <w:smallCaps/>
      <w:color w:val="2F5496" w:themeColor="accent1" w:themeShade="BF"/>
      <w:spacing w:val="5"/>
    </w:rPr>
  </w:style>
  <w:style w:type="character" w:styleId="Hyperlink">
    <w:name w:val="Hyperlink"/>
    <w:basedOn w:val="DefaultParagraphFont"/>
    <w:uiPriority w:val="99"/>
    <w:unhideWhenUsed/>
    <w:rsid w:val="006E5CDF"/>
    <w:rPr>
      <w:color w:val="0563C1" w:themeColor="hyperlink"/>
      <w:u w:val="single"/>
    </w:rPr>
  </w:style>
  <w:style w:type="character" w:styleId="UnresolvedMention">
    <w:name w:val="Unresolved Mention"/>
    <w:basedOn w:val="DefaultParagraphFont"/>
    <w:uiPriority w:val="99"/>
    <w:semiHidden/>
    <w:unhideWhenUsed/>
    <w:rsid w:val="006E5CDF"/>
    <w:rPr>
      <w:color w:val="605E5C"/>
      <w:shd w:val="clear" w:color="auto" w:fill="E1DFDD"/>
    </w:rPr>
  </w:style>
  <w:style w:type="table" w:styleId="TableGrid">
    <w:name w:val="Table Grid"/>
    <w:basedOn w:val="TableNormal"/>
    <w:uiPriority w:val="39"/>
    <w:rsid w:val="003F14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gsy.2017.01.023" TargetMode="External"/><Relationship Id="rId3" Type="http://schemas.openxmlformats.org/officeDocument/2006/relationships/settings" Target="settings.xml"/><Relationship Id="rId7" Type="http://schemas.openxmlformats.org/officeDocument/2006/relationships/hyperlink" Target="https://doi.org/10.1016/j.biosystemseng.2017.09.00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procs.2018.07.063" TargetMode="External"/><Relationship Id="rId11" Type="http://schemas.openxmlformats.org/officeDocument/2006/relationships/fontTable" Target="fontTable.xml"/><Relationship Id="rId5" Type="http://schemas.openxmlformats.org/officeDocument/2006/relationships/hyperlink" Target="https://doi.org/10.3390/electronics9020319" TargetMode="External"/><Relationship Id="rId10" Type="http://schemas.openxmlformats.org/officeDocument/2006/relationships/hyperlink" Target="https://www.worldbank.org/en/publication/wdr2023" TargetMode="External"/><Relationship Id="rId4" Type="http://schemas.openxmlformats.org/officeDocument/2006/relationships/webSettings" Target="webSettings.xml"/><Relationship Id="rId9" Type="http://schemas.openxmlformats.org/officeDocument/2006/relationships/hyperlink" Target="https://www.marketsandmarkets.com/Market-Reports/smart-agriculture-market-2397367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5949</Words>
  <Characters>33910</Characters>
  <Application>Microsoft Office Word</Application>
  <DocSecurity>0</DocSecurity>
  <Lines>282</Lines>
  <Paragraphs>79</Paragraphs>
  <ScaleCrop>false</ScaleCrop>
  <Company/>
  <LinksUpToDate>false</LinksUpToDate>
  <CharactersWithSpaces>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singh Chouhan</dc:creator>
  <cp:keywords/>
  <dc:description/>
  <cp:lastModifiedBy>Abhay singh Chouhan</cp:lastModifiedBy>
  <cp:revision>2</cp:revision>
  <dcterms:created xsi:type="dcterms:W3CDTF">2026-06-04T07:22:00Z</dcterms:created>
  <dcterms:modified xsi:type="dcterms:W3CDTF">2026-06-04T07:22:00Z</dcterms:modified>
</cp:coreProperties>
</file>