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Lab 5: Static Code Analysis</w:t>
      </w:r>
    </w:p>
    <w:p>
      <w:pPr>
        <w:jc w:val="center"/>
      </w:pPr>
      <w:r>
        <w:rPr>
          <w:i/>
        </w:rPr>
        <w:t>Pharmacy Stock Management — Issue Documentation and Reflection</w:t>
      </w:r>
    </w:p>
    <w:p>
      <w:r>
        <w:t>Repository: SETAPESU26/L5_13_pharmacy_stock</w:t>
        <w:br/>
        <w:t>Analyzed file: pharmacy_system.py</w:t>
        <w:br/>
        <w:t>Tools: Pylint, Bandit, and Flake8</w:t>
      </w:r>
    </w:p>
    <w:p>
      <w:pPr>
        <w:pStyle w:val="Heading1"/>
      </w:pPr>
      <w:r>
        <w:t>1. Summary of Results</w:t>
      </w:r>
    </w:p>
    <w:p>
      <w:r>
        <w:t>The pharmacy stock program was analyzed with three static-analysis tools. The recorded final Pylint score was 9.62/10, exceeding the handout's target of above 9.5/10. The final Bandit report stated “No issues identified.” The final Flake8 report shown during the workflow appeared empty after formatting. The program should also be run once more before submission to confirm that its behavior remains correct after the final edits.</w:t>
      </w:r>
    </w:p>
    <w:p>
      <w:pPr>
        <w:pStyle w:val="Heading1"/>
      </w:pPr>
      <w:r>
        <w:t>2. Issue Documentation Table</w:t>
      </w:r>
    </w:p>
    <w:p>
      <w:r>
        <w:t>The line numbers below refer to the original version shown during the lab. Line numbers may change in the corrected file. Confirm each fix against the final source before submitting.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b/>
                <w:sz w:val="16"/>
              </w:rPr>
              <w:t>Issue</w:t>
            </w:r>
          </w:p>
        </w:tc>
        <w:tc>
          <w:tcPr>
            <w:tcW w:type="dxa" w:w="1224"/>
            <w:vAlign w:val="center"/>
          </w:tcPr>
          <w:p>
            <w:r>
              <w:rPr>
                <w:b/>
                <w:sz w:val="16"/>
              </w:rPr>
              <w:t>Type</w:t>
            </w:r>
          </w:p>
        </w:tc>
        <w:tc>
          <w:tcPr>
            <w:tcW w:type="dxa" w:w="1152"/>
            <w:vAlign w:val="center"/>
          </w:tcPr>
          <w:p>
            <w:r>
              <w:rPr>
                <w:b/>
                <w:sz w:val="16"/>
              </w:rPr>
              <w:t>Original line(s)</w:t>
            </w:r>
          </w:p>
        </w:tc>
        <w:tc>
          <w:tcPr>
            <w:tcW w:type="dxa" w:w="3096"/>
            <w:vAlign w:val="center"/>
          </w:tcPr>
          <w:p>
            <w:r>
              <w:rPr>
                <w:b/>
                <w:sz w:val="16"/>
              </w:rPr>
              <w:t>Description</w:t>
            </w:r>
          </w:p>
        </w:tc>
        <w:tc>
          <w:tcPr>
            <w:tcW w:type="dxa" w:w="3168"/>
            <w:vAlign w:val="center"/>
          </w:tcPr>
          <w:p>
            <w:r>
              <w:rPr>
                <w:b/>
                <w:sz w:val="16"/>
              </w:rPr>
              <w:t>Fix approach</w:t>
            </w:r>
          </w:p>
        </w:tc>
      </w:tr>
      <w:tr>
        <w:tc>
          <w:tcPr>
            <w:tcW w:type="dxa" w:w="1944"/>
            <w:vAlign w:val="top"/>
          </w:tcPr>
          <w:p>
            <w:r>
              <w:rPr>
                <w:sz w:val="15"/>
              </w:rPr>
              <w:t>Possible SQL injection (Bandit B608)</w:t>
            </w:r>
          </w:p>
        </w:tc>
        <w:tc>
          <w:tcPr>
            <w:tcW w:type="dxa" w:w="1224"/>
            <w:vAlign w:val="top"/>
          </w:tcPr>
          <w:p>
            <w:r>
              <w:rPr>
                <w:sz w:val="15"/>
              </w:rPr>
              <w:t>Security</w:t>
            </w:r>
          </w:p>
        </w:tc>
        <w:tc>
          <w:tcPr>
            <w:tcW w:type="dxa" w:w="1152"/>
            <w:vAlign w:val="top"/>
          </w:tcPr>
          <w:p>
            <w:r>
              <w:rPr>
                <w:sz w:val="15"/>
              </w:rPr>
              <w:t>21</w:t>
            </w:r>
          </w:p>
        </w:tc>
        <w:tc>
          <w:tcPr>
            <w:tcW w:type="dxa" w:w="3096"/>
            <w:vAlign w:val="top"/>
          </w:tcPr>
          <w:p>
            <w:r>
              <w:rPr>
                <w:sz w:val="15"/>
              </w:rPr>
              <w:t>The patient name was inserted into an SQL query using string formatting, which could allow input to alter the query.</w:t>
            </w:r>
          </w:p>
        </w:tc>
        <w:tc>
          <w:tcPr>
            <w:tcW w:type="dxa" w:w="3168"/>
            <w:vAlign w:val="top"/>
          </w:tcPr>
          <w:p>
            <w:r>
              <w:rPr>
                <w:sz w:val="15"/>
              </w:rPr>
              <w:t>Use a parameterized query: WHERE name = ? and pass (name,) separately to execute().</w:t>
            </w:r>
          </w:p>
        </w:tc>
      </w:tr>
      <w:tr>
        <w:tc>
          <w:tcPr>
            <w:tcW w:type="dxa" w:w="1944"/>
            <w:vAlign w:val="top"/>
          </w:tcPr>
          <w:p>
            <w:r>
              <w:rPr>
                <w:sz w:val="15"/>
              </w:rPr>
              <w:t>Mutable default argument (Pylint W0102)</w:t>
            </w:r>
          </w:p>
        </w:tc>
        <w:tc>
          <w:tcPr>
            <w:tcW w:type="dxa" w:w="1224"/>
            <w:vAlign w:val="top"/>
          </w:tcPr>
          <w:p>
            <w:r>
              <w:rPr>
                <w:sz w:val="15"/>
              </w:rPr>
              <w:t>Bug / reliability</w:t>
            </w:r>
          </w:p>
        </w:tc>
        <w:tc>
          <w:tcPr>
            <w:tcW w:type="dxa" w:w="1152"/>
            <w:vAlign w:val="top"/>
          </w:tcPr>
          <w:p>
            <w:r>
              <w:rPr>
                <w:sz w:val="15"/>
              </w:rPr>
              <w:t>24</w:t>
            </w:r>
          </w:p>
        </w:tc>
        <w:tc>
          <w:tcPr>
            <w:tcW w:type="dxa" w:w="3096"/>
            <w:vAlign w:val="top"/>
          </w:tcPr>
          <w:p>
            <w:r>
              <w:rPr>
                <w:sz w:val="15"/>
              </w:rPr>
              <w:t>batch_log=[] creates one list that can be reused across calls when the caller does not provide a log.</w:t>
            </w:r>
          </w:p>
        </w:tc>
        <w:tc>
          <w:tcPr>
            <w:tcW w:type="dxa" w:w="3168"/>
            <w:vAlign w:val="top"/>
          </w:tcPr>
          <w:p>
            <w:r>
              <w:rPr>
                <w:sz w:val="15"/>
              </w:rPr>
              <w:t>Use batch_log=None and initialize a new list inside the function when the argument is None.</w:t>
            </w:r>
          </w:p>
        </w:tc>
      </w:tr>
      <w:tr>
        <w:tc>
          <w:tcPr>
            <w:tcW w:type="dxa" w:w="1944"/>
            <w:vAlign w:val="top"/>
          </w:tcPr>
          <w:p>
            <w:r>
              <w:rPr>
                <w:sz w:val="15"/>
              </w:rPr>
              <w:t>Bare exception in dispensing</w:t>
            </w:r>
          </w:p>
        </w:tc>
        <w:tc>
          <w:tcPr>
            <w:tcW w:type="dxa" w:w="1224"/>
            <w:vAlign w:val="top"/>
          </w:tcPr>
          <w:p>
            <w:r>
              <w:rPr>
                <w:sz w:val="15"/>
              </w:rPr>
              <w:t>Error handling</w:t>
            </w:r>
          </w:p>
        </w:tc>
        <w:tc>
          <w:tcPr>
            <w:tcW w:type="dxa" w:w="1152"/>
            <w:vAlign w:val="top"/>
          </w:tcPr>
          <w:p>
            <w:r>
              <w:rPr>
                <w:sz w:val="15"/>
              </w:rPr>
              <w:t>30–39; especially 38</w:t>
            </w:r>
          </w:p>
        </w:tc>
        <w:tc>
          <w:tcPr>
            <w:tcW w:type="dxa" w:w="3096"/>
            <w:vAlign w:val="top"/>
          </w:tcPr>
          <w:p>
            <w:r>
              <w:rPr>
                <w:sz w:val="15"/>
              </w:rPr>
              <w:t>A bare except catches any exception and can hide unexpected programming errors.</w:t>
            </w:r>
          </w:p>
        </w:tc>
        <w:tc>
          <w:tcPr>
            <w:tcW w:type="dxa" w:w="3168"/>
            <w:vAlign w:val="top"/>
          </w:tcPr>
          <w:p>
            <w:r>
              <w:rPr>
                <w:sz w:val="15"/>
              </w:rPr>
              <w:t>Handle missing patients and missing stock explicitly; avoid a broad exception handler.</w:t>
            </w:r>
          </w:p>
        </w:tc>
      </w:tr>
      <w:tr>
        <w:tc>
          <w:tcPr>
            <w:tcW w:type="dxa" w:w="1944"/>
            <w:vAlign w:val="top"/>
          </w:tcPr>
          <w:p>
            <w:r>
              <w:rPr>
                <w:sz w:val="15"/>
              </w:rPr>
              <w:t>Bare exception with pass (Bandit B110)</w:t>
            </w:r>
          </w:p>
        </w:tc>
        <w:tc>
          <w:tcPr>
            <w:tcW w:type="dxa" w:w="1224"/>
            <w:vAlign w:val="top"/>
          </w:tcPr>
          <w:p>
            <w:r>
              <w:rPr>
                <w:sz w:val="15"/>
              </w:rPr>
              <w:t>Error handling / security</w:t>
            </w:r>
          </w:p>
        </w:tc>
        <w:tc>
          <w:tcPr>
            <w:tcW w:type="dxa" w:w="1152"/>
            <w:vAlign w:val="top"/>
          </w:tcPr>
          <w:p>
            <w:r>
              <w:rPr>
                <w:sz w:val="15"/>
              </w:rPr>
              <w:t>56–59</w:t>
            </w:r>
          </w:p>
        </w:tc>
        <w:tc>
          <w:tcPr>
            <w:tcW w:type="dxa" w:w="3096"/>
            <w:vAlign w:val="top"/>
          </w:tcPr>
          <w:p>
            <w:r>
              <w:rPr>
                <w:sz w:val="15"/>
              </w:rPr>
              <w:t>The stock loader silently ignored all exceptions, making file and data errors difficult to diagnose.</w:t>
            </w:r>
          </w:p>
        </w:tc>
        <w:tc>
          <w:tcPr>
            <w:tcW w:type="dxa" w:w="3168"/>
            <w:vAlign w:val="top"/>
          </w:tcPr>
          <w:p>
            <w:r>
              <w:rPr>
                <w:sz w:val="15"/>
              </w:rPr>
              <w:t>Catch expected exceptions such as OSError and json.JSONDecodeError, and handle invalid loaded data explicitly.</w:t>
            </w:r>
          </w:p>
        </w:tc>
      </w:tr>
      <w:tr>
        <w:tc>
          <w:tcPr>
            <w:tcW w:type="dxa" w:w="1944"/>
            <w:vAlign w:val="top"/>
          </w:tcPr>
          <w:p>
            <w:r>
              <w:rPr>
                <w:sz w:val="15"/>
              </w:rPr>
              <w:t>File opened without context manager or encoding</w:t>
            </w:r>
          </w:p>
        </w:tc>
        <w:tc>
          <w:tcPr>
            <w:tcW w:type="dxa" w:w="1224"/>
            <w:vAlign w:val="top"/>
          </w:tcPr>
          <w:p>
            <w:r>
              <w:rPr>
                <w:sz w:val="15"/>
              </w:rPr>
              <w:t>Maintainability</w:t>
            </w:r>
          </w:p>
        </w:tc>
        <w:tc>
          <w:tcPr>
            <w:tcW w:type="dxa" w:w="1152"/>
            <w:vAlign w:val="top"/>
          </w:tcPr>
          <w:p>
            <w:r>
              <w:rPr>
                <w:sz w:val="15"/>
              </w:rPr>
              <w:t>50–52</w:t>
            </w:r>
          </w:p>
        </w:tc>
        <w:tc>
          <w:tcPr>
            <w:tcW w:type="dxa" w:w="3096"/>
            <w:vAlign w:val="top"/>
          </w:tcPr>
          <w:p>
            <w:r>
              <w:rPr>
                <w:sz w:val="15"/>
              </w:rPr>
              <w:t>The export function opened a file without a with statement or explicit encoding.</w:t>
            </w:r>
          </w:p>
        </w:tc>
        <w:tc>
          <w:tcPr>
            <w:tcW w:type="dxa" w:w="3168"/>
            <w:vAlign w:val="top"/>
          </w:tcPr>
          <w:p>
            <w:r>
              <w:rPr>
                <w:sz w:val="15"/>
              </w:rPr>
              <w:t>Use with open(file, 'w', encoding='utf-8') as output_file and write JSON through the managed file handle.</w:t>
            </w:r>
          </w:p>
        </w:tc>
      </w:tr>
      <w:tr>
        <w:tc>
          <w:tcPr>
            <w:tcW w:type="dxa" w:w="1944"/>
            <w:vAlign w:val="top"/>
          </w:tcPr>
          <w:p>
            <w:r>
              <w:rPr>
                <w:sz w:val="15"/>
              </w:rPr>
              <w:t>File opened without context manager or encoding</w:t>
            </w:r>
          </w:p>
        </w:tc>
        <w:tc>
          <w:tcPr>
            <w:tcW w:type="dxa" w:w="1224"/>
            <w:vAlign w:val="top"/>
          </w:tcPr>
          <w:p>
            <w:r>
              <w:rPr>
                <w:sz w:val="15"/>
              </w:rPr>
              <w:t>Maintainability</w:t>
            </w:r>
          </w:p>
        </w:tc>
        <w:tc>
          <w:tcPr>
            <w:tcW w:type="dxa" w:w="1152"/>
            <w:vAlign w:val="top"/>
          </w:tcPr>
          <w:p>
            <w:r>
              <w:rPr>
                <w:sz w:val="15"/>
              </w:rPr>
              <w:t>57</w:t>
            </w:r>
          </w:p>
        </w:tc>
        <w:tc>
          <w:tcPr>
            <w:tcW w:type="dxa" w:w="3096"/>
            <w:vAlign w:val="top"/>
          </w:tcPr>
          <w:p>
            <w:r>
              <w:rPr>
                <w:sz w:val="15"/>
              </w:rPr>
              <w:t>The stock loader opened a file inline and did not specify an encoding.</w:t>
            </w:r>
          </w:p>
        </w:tc>
        <w:tc>
          <w:tcPr>
            <w:tcW w:type="dxa" w:w="3168"/>
            <w:vAlign w:val="top"/>
          </w:tcPr>
          <w:p>
            <w:r>
              <w:rPr>
                <w:sz w:val="15"/>
              </w:rPr>
              <w:t>Use with open(file, encoding='utf-8') as input_file and pass the handle to json.load().</w:t>
            </w:r>
          </w:p>
        </w:tc>
      </w:tr>
      <w:tr>
        <w:tc>
          <w:tcPr>
            <w:tcW w:type="dxa" w:w="1944"/>
            <w:vAlign w:val="top"/>
          </w:tcPr>
          <w:p>
            <w:r>
              <w:rPr>
                <w:sz w:val="15"/>
              </w:rPr>
              <w:t>Unused import (Pylint / Flake8)</w:t>
            </w:r>
          </w:p>
        </w:tc>
        <w:tc>
          <w:tcPr>
            <w:tcW w:type="dxa" w:w="1224"/>
            <w:vAlign w:val="top"/>
          </w:tcPr>
          <w:p>
            <w:r>
              <w:rPr>
                <w:sz w:val="15"/>
              </w:rPr>
              <w:t>Style</w:t>
            </w:r>
          </w:p>
        </w:tc>
        <w:tc>
          <w:tcPr>
            <w:tcW w:type="dxa" w:w="1152"/>
            <w:vAlign w:val="top"/>
          </w:tcPr>
          <w:p>
            <w:r>
              <w:rPr>
                <w:sz w:val="15"/>
              </w:rPr>
              <w:t>3</w:t>
            </w:r>
          </w:p>
        </w:tc>
        <w:tc>
          <w:tcPr>
            <w:tcW w:type="dxa" w:w="3096"/>
            <w:vAlign w:val="top"/>
          </w:tcPr>
          <w:p>
            <w:r>
              <w:rPr>
                <w:sz w:val="15"/>
              </w:rPr>
              <w:t>The os module was imported but not used.</w:t>
            </w:r>
          </w:p>
        </w:tc>
        <w:tc>
          <w:tcPr>
            <w:tcW w:type="dxa" w:w="3168"/>
            <w:vAlign w:val="top"/>
          </w:tcPr>
          <w:p>
            <w:r>
              <w:rPr>
                <w:sz w:val="15"/>
              </w:rPr>
              <w:t>Remove import os.</w:t>
            </w:r>
          </w:p>
        </w:tc>
      </w:tr>
      <w:tr>
        <w:tc>
          <w:tcPr>
            <w:tcW w:type="dxa" w:w="1944"/>
            <w:vAlign w:val="top"/>
          </w:tcPr>
          <w:p>
            <w:r>
              <w:rPr>
                <w:sz w:val="15"/>
              </w:rPr>
              <w:t>Function naming (Pylint C0103)</w:t>
            </w:r>
          </w:p>
        </w:tc>
        <w:tc>
          <w:tcPr>
            <w:tcW w:type="dxa" w:w="1224"/>
            <w:vAlign w:val="top"/>
          </w:tcPr>
          <w:p>
            <w:r>
              <w:rPr>
                <w:sz w:val="15"/>
              </w:rPr>
              <w:t>Style</w:t>
            </w:r>
          </w:p>
        </w:tc>
        <w:tc>
          <w:tcPr>
            <w:tcW w:type="dxa" w:w="1152"/>
            <w:vAlign w:val="top"/>
          </w:tcPr>
          <w:p>
            <w:r>
              <w:rPr>
                <w:sz w:val="15"/>
              </w:rPr>
              <w:t>61</w:t>
            </w:r>
          </w:p>
        </w:tc>
        <w:tc>
          <w:tcPr>
            <w:tcW w:type="dxa" w:w="3096"/>
            <w:vAlign w:val="top"/>
          </w:tcPr>
          <w:p>
            <w:r>
              <w:rPr>
                <w:sz w:val="15"/>
              </w:rPr>
              <w:t>printStock does not follow Python's snake_case naming convention.</w:t>
            </w:r>
          </w:p>
        </w:tc>
        <w:tc>
          <w:tcPr>
            <w:tcW w:type="dxa" w:w="3168"/>
            <w:vAlign w:val="top"/>
          </w:tcPr>
          <w:p>
            <w:r>
              <w:rPr>
                <w:sz w:val="15"/>
              </w:rPr>
              <w:t>Rename it to print_stock and update its call sites.</w:t>
            </w:r>
          </w:p>
        </w:tc>
      </w:tr>
      <w:tr>
        <w:tc>
          <w:tcPr>
            <w:tcW w:type="dxa" w:w="1944"/>
            <w:vAlign w:val="top"/>
          </w:tcPr>
          <w:p>
            <w:r>
              <w:rPr>
                <w:sz w:val="15"/>
              </w:rPr>
              <w:t>Missing docstrings (Pylint C0116 / C0114)</w:t>
            </w:r>
          </w:p>
        </w:tc>
        <w:tc>
          <w:tcPr>
            <w:tcW w:type="dxa" w:w="1224"/>
            <w:vAlign w:val="top"/>
          </w:tcPr>
          <w:p>
            <w:r>
              <w:rPr>
                <w:sz w:val="15"/>
              </w:rPr>
              <w:t>Maintainability</w:t>
            </w:r>
          </w:p>
        </w:tc>
        <w:tc>
          <w:tcPr>
            <w:tcW w:type="dxa" w:w="1152"/>
            <w:vAlign w:val="top"/>
          </w:tcPr>
          <w:p>
            <w:r>
              <w:rPr>
                <w:sz w:val="15"/>
              </w:rPr>
              <w:t>Module and multiple functions</w:t>
            </w:r>
          </w:p>
        </w:tc>
        <w:tc>
          <w:tcPr>
            <w:tcW w:type="dxa" w:w="3096"/>
            <w:vAlign w:val="top"/>
          </w:tcPr>
          <w:p>
            <w:r>
              <w:rPr>
                <w:sz w:val="15"/>
              </w:rPr>
              <w:t>The module and several functions lacked descriptions of their purpose.</w:t>
            </w:r>
          </w:p>
        </w:tc>
        <w:tc>
          <w:tcPr>
            <w:tcW w:type="dxa" w:w="3168"/>
            <w:vAlign w:val="top"/>
          </w:tcPr>
          <w:p>
            <w:r>
              <w:rPr>
                <w:sz w:val="15"/>
              </w:rPr>
              <w:t>Add a module docstring and concise docstrings immediately inside each function.</w:t>
            </w:r>
          </w:p>
        </w:tc>
      </w:tr>
      <w:tr>
        <w:tc>
          <w:tcPr>
            <w:tcW w:type="dxa" w:w="1944"/>
            <w:vAlign w:val="top"/>
          </w:tcPr>
          <w:p>
            <w:r>
              <w:rPr>
                <w:sz w:val="15"/>
              </w:rPr>
              <w:t>Long lines and blank-line violations (Flake8 E501, E302, E305)</w:t>
            </w:r>
          </w:p>
        </w:tc>
        <w:tc>
          <w:tcPr>
            <w:tcW w:type="dxa" w:w="1224"/>
            <w:vAlign w:val="top"/>
          </w:tcPr>
          <w:p>
            <w:r>
              <w:rPr>
                <w:sz w:val="15"/>
              </w:rPr>
              <w:t>Formatting</w:t>
            </w:r>
          </w:p>
        </w:tc>
        <w:tc>
          <w:tcPr>
            <w:tcW w:type="dxa" w:w="1152"/>
            <w:vAlign w:val="top"/>
          </w:tcPr>
          <w:p>
            <w:r>
              <w:rPr>
                <w:sz w:val="15"/>
              </w:rPr>
              <w:t>Multiple</w:t>
            </w:r>
          </w:p>
        </w:tc>
        <w:tc>
          <w:tcPr>
            <w:tcW w:type="dxa" w:w="3096"/>
            <w:vAlign w:val="top"/>
          </w:tcPr>
          <w:p>
            <w:r>
              <w:rPr>
                <w:sz w:val="15"/>
              </w:rPr>
              <w:t>Some lines exceeded the configured length and some function definitions did not have the required blank lines.</w:t>
            </w:r>
          </w:p>
        </w:tc>
        <w:tc>
          <w:tcPr>
            <w:tcW w:type="dxa" w:w="3168"/>
            <w:vAlign w:val="top"/>
          </w:tcPr>
          <w:p>
            <w:r>
              <w:rPr>
                <w:sz w:val="15"/>
              </w:rPr>
              <w:t>Wrap long expressions and apply consistent PEP 8 spacing; rerun Flake8 to verify.</w:t>
            </w:r>
          </w:p>
        </w:tc>
      </w:tr>
      <w:tr>
        <w:tc>
          <w:tcPr>
            <w:tcW w:type="dxa" w:w="1944"/>
            <w:vAlign w:val="top"/>
          </w:tcPr>
          <w:p>
            <w:r>
              <w:rPr>
                <w:sz w:val="15"/>
              </w:rPr>
              <w:t>Dictionary iteration suggestion (Pylint C0206)</w:t>
            </w:r>
          </w:p>
        </w:tc>
        <w:tc>
          <w:tcPr>
            <w:tcW w:type="dxa" w:w="1224"/>
            <w:vAlign w:val="top"/>
          </w:tcPr>
          <w:p>
            <w:r>
              <w:rPr>
                <w:sz w:val="15"/>
              </w:rPr>
              <w:t>Readability</w:t>
            </w:r>
          </w:p>
        </w:tc>
        <w:tc>
          <w:tcPr>
            <w:tcW w:type="dxa" w:w="1152"/>
            <w:vAlign w:val="top"/>
          </w:tcPr>
          <w:p>
            <w:r>
              <w:rPr>
                <w:sz w:val="15"/>
              </w:rPr>
              <w:t>Final report lines 66 and 92</w:t>
            </w:r>
          </w:p>
        </w:tc>
        <w:tc>
          <w:tcPr>
            <w:tcW w:type="dxa" w:w="3096"/>
            <w:vAlign w:val="top"/>
          </w:tcPr>
          <w:p>
            <w:r>
              <w:rPr>
                <w:sz w:val="15"/>
              </w:rPr>
              <w:t>Pylint suggested using .items() when both dictionary keys and values are needed.</w:t>
            </w:r>
          </w:p>
        </w:tc>
        <w:tc>
          <w:tcPr>
            <w:tcW w:type="dxa" w:w="3168"/>
            <w:vAlign w:val="top"/>
          </w:tcPr>
          <w:p>
            <w:r>
              <w:rPr>
                <w:sz w:val="15"/>
              </w:rPr>
              <w:t>Iterate with for key, value in mapping.items() where it preserves the original behavior.</w:t>
            </w:r>
          </w:p>
        </w:tc>
      </w:tr>
      <w:tr>
        <w:tc>
          <w:tcPr>
            <w:tcW w:type="dxa" w:w="1944"/>
            <w:vAlign w:val="top"/>
          </w:tcPr>
          <w:p>
            <w:r>
              <w:rPr>
                <w:sz w:val="15"/>
              </w:rPr>
              <w:t>Pointless standalone string (Pylint W0105)</w:t>
            </w:r>
          </w:p>
        </w:tc>
        <w:tc>
          <w:tcPr>
            <w:tcW w:type="dxa" w:w="1224"/>
            <w:vAlign w:val="top"/>
          </w:tcPr>
          <w:p>
            <w:r>
              <w:rPr>
                <w:sz w:val="15"/>
              </w:rPr>
              <w:t>Code quality</w:t>
            </w:r>
          </w:p>
        </w:tc>
        <w:tc>
          <w:tcPr>
            <w:tcW w:type="dxa" w:w="1152"/>
            <w:vAlign w:val="top"/>
          </w:tcPr>
          <w:p>
            <w:r>
              <w:rPr>
                <w:sz w:val="15"/>
              </w:rPr>
              <w:t>Final report line 124</w:t>
            </w:r>
          </w:p>
        </w:tc>
        <w:tc>
          <w:tcPr>
            <w:tcW w:type="dxa" w:w="3096"/>
            <w:vAlign w:val="top"/>
          </w:tcPr>
          <w:p>
            <w:r>
              <w:rPr>
                <w:sz w:val="15"/>
              </w:rPr>
              <w:t>A standalone string expression had no effect and was reported by Pylint.</w:t>
            </w:r>
          </w:p>
        </w:tc>
        <w:tc>
          <w:tcPr>
            <w:tcW w:type="dxa" w:w="3168"/>
            <w:vAlign w:val="top"/>
          </w:tcPr>
          <w:p>
            <w:r>
              <w:rPr>
                <w:sz w:val="15"/>
              </w:rPr>
              <w:t>Remove the unused string or move it to the correct location if it is intended to be a module, class, or function docstring.</w:t>
            </w:r>
          </w:p>
        </w:tc>
      </w:tr>
    </w:tbl>
    <w:p>
      <w:pPr>
        <w:pStyle w:val="Heading1"/>
      </w:pPr>
      <w:r>
        <w:t>3. Reflection</w:t>
      </w:r>
    </w:p>
    <w:p>
      <w:r>
        <w:rPr>
          <w:b/>
        </w:rPr>
        <w:t>What did you learn from static code analysis?</w:t>
      </w:r>
    </w:p>
    <w:p>
      <w:r>
        <w:t>Static code analysis examines source code without executing it to identify potential bugs, security weaknesses, maintainability problems, and style violations. I learned that using multiple tools gives a broader review because each tool focuses on different categories of issues.</w:t>
      </w:r>
    </w:p>
    <w:p>
      <w:r>
        <w:rPr>
          <w:b/>
        </w:rPr>
        <w:t>What was the most important issue you identified?</w:t>
      </w:r>
    </w:p>
    <w:p>
      <w:r>
        <w:t>The possible SQL injection issue was especially important. The original patient lookup query inserted the supplied name directly into SQL using string formatting. Using a parameterized query makes SQLite treat the supplied name as data rather than as part of the SQL statement.</w:t>
      </w:r>
    </w:p>
    <w:p>
      <w:r>
        <w:rPr>
          <w:b/>
        </w:rPr>
        <w:t>How did Pylint, Bandit, and Flake8 differ?</w:t>
      </w:r>
    </w:p>
    <w:p>
      <w:r>
        <w:t>Pylint identified code-quality and maintainability issues, including missing docstrings, a mutable default argument, broad exception handling, naming, and dictionary iteration. Bandit identified security-related patterns, including possible SQL injection and a try/except/pass pattern. Flake8 highlighted style and formatting issues such as blank lines, long lines, unused imports, and bare except clauses.</w:t>
      </w:r>
    </w:p>
    <w:p>
      <w:r>
        <w:rPr>
          <w:b/>
        </w:rPr>
        <w:t>How did the changes improve the program?</w:t>
      </w:r>
    </w:p>
    <w:p>
      <w:r>
        <w:t>The changes made the code easier to read and maintain, reduced a potential SQL injection risk, avoided a shared mutable default list, made exception handling more specific, and improved file handling with context managers and explicit UTF-8 encoding. The final recorded Pylint score was 9.62/10, and the final Bandit report identified no issues.</w:t>
      </w:r>
    </w:p>
    <w:p>
      <w:r>
        <w:rPr>
          <w:b/>
        </w:rPr>
        <w:t>Why should the program be tested after static analysis fixes?</w:t>
      </w:r>
    </w:p>
    <w:p>
      <w:r>
        <w:t>Static analysis reports possible issues, but it does not prove that the application behaves correctly. Running the pharmacy program after edits helps check that patient lookups, allergy checks, stock updates, expiry reporting, and prescription export still work as intended.</w:t>
      </w:r>
    </w:p>
    <w:p>
      <w:r>
        <w:rPr>
          <w:b/>
        </w:rPr>
        <w:t>What would you do differently in future projects?</w:t>
      </w:r>
    </w:p>
    <w:p>
      <w:r>
        <w:t>I would run static-analysis tools early and repeatedly, fix security findings first, and preserve before-and-after reports. I would also review each warning rather than blindly suppressing it, test behavior after changes, and make meaningful commits that each contain the changes described by their commit message.</w:t>
      </w:r>
    </w:p>
    <w:p>
      <w:pPr>
        <w:pStyle w:val="Heading1"/>
      </w:pPr>
      <w:r>
        <w:t>4. Final Verification Checklist</w:t>
      </w:r>
    </w:p>
    <w:p>
      <w:pPr>
        <w:pStyle w:val="ListBullet"/>
      </w:pPr>
      <w:r>
        <w:t>Corrected pharmacy_system.py is included.</w:t>
      </w:r>
    </w:p>
    <w:p>
      <w:pPr>
        <w:pStyle w:val="ListBullet"/>
      </w:pPr>
      <w:r>
        <w:t>pylint_before.txt and pylint_after.txt are included.</w:t>
      </w:r>
    </w:p>
    <w:p>
      <w:pPr>
        <w:pStyle w:val="ListBullet"/>
      </w:pPr>
      <w:r>
        <w:t>bandit_before.txt and bandit_after.txt are included.</w:t>
      </w:r>
    </w:p>
    <w:p>
      <w:pPr>
        <w:pStyle w:val="ListBullet"/>
      </w:pPr>
      <w:r>
        <w:t>flake8_before.txt and flake8_after.txt are included.</w:t>
      </w:r>
    </w:p>
    <w:p>
      <w:pPr>
        <w:pStyle w:val="ListBullet"/>
      </w:pPr>
      <w:r>
        <w:t>Issue table is reviewed against the final source and line numbers are updated if needed.</w:t>
      </w:r>
    </w:p>
    <w:p>
      <w:pPr>
        <w:pStyle w:val="ListBullet"/>
      </w:pPr>
      <w:r>
        <w:t>Reflection answers are included.</w:t>
      </w:r>
    </w:p>
    <w:p>
      <w:pPr>
        <w:pStyle w:val="ListBullet"/>
      </w:pPr>
      <w:r>
        <w:t>Run python3 pharmacy_system.py once more and confirm expected behavior.</w:t>
      </w:r>
    </w:p>
    <w:p>
      <w:pPr>
        <w:pStyle w:val="ListBullet"/>
      </w:pPr>
      <w:r>
        <w:t>Confirm the final reports reflect the latest saved source.</w:t>
      </w:r>
    </w:p>
    <w:p>
      <w:pPr>
        <w:pStyle w:val="ListBullet"/>
      </w:pPr>
      <w:r>
        <w:t>Review Git history: the lab asks for three commits; ensure each commit contains meaningful changes if the instructor checks commit contents.</w:t>
      </w:r>
    </w:p>
    <w:p>
      <w:r>
        <w:t>Note: The handout provided in this conversation mentions reflection questions but does not show their exact wording. The reflection section above is a proposed set of answers aligned with the lab's stated learning outcomes; replace the question wording if your instructor supplied a separate reflection sheet.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