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A1A2E"/>
          <w:sz w:val="48"/>
          <w:szCs w:val="48"/>
        </w:rPr>
        <w:t xml:space="preserve">ORACLE-ANCHORED</w:t>
      </w:r>
    </w:p>
    <w:p>
      <w:pPr>
        <w:spacing w:after="120"/>
        <w:jc w:val="center"/>
      </w:pPr>
      <w:r>
        <w:rPr>
          <w:rFonts w:ascii="Arial" w:cs="Arial" w:eastAsia="Arial" w:hAnsi="Arial"/>
          <w:b/>
          <w:bCs/>
          <w:color w:val="1A1A2E"/>
          <w:sz w:val="48"/>
          <w:szCs w:val="48"/>
        </w:rPr>
        <w:t xml:space="preserve">SYNTHETIC ASSET</w:t>
      </w:r>
    </w:p>
    <w:p>
      <w:pPr>
        <w:spacing w:after="200"/>
        <w:jc w:val="center"/>
      </w:pPr>
      <w:r>
        <w:rPr>
          <w:rFonts w:ascii="Arial" w:cs="Arial" w:eastAsia="Arial" w:hAnsi="Arial"/>
          <w:b/>
          <w:bCs/>
          <w:color w:val="1A1A2E"/>
          <w:sz w:val="48"/>
          <w:szCs w:val="48"/>
        </w:rPr>
        <w:t xml:space="preserve">PROTOCOL</w:t>
      </w:r>
    </w:p>
    <w:p>
      <w:pPr>
        <w:pBdr>
          <w:top w:val="single" w:color="6C63FF" w:sz="6" w:space="8"/>
        </w:pBdr>
        <w:spacing w:before="200" w:after="160"/>
        <w:jc w:val="center"/>
      </w:pPr>
      <w:r>
        <w:rPr>
          <w:rFonts w:ascii="Arial" w:cs="Arial" w:eastAsia="Arial" w:hAnsi="Arial"/>
          <w:i/>
          <w:iCs/>
          <w:color w:val="666666"/>
          <w:sz w:val="24"/>
          <w:szCs w:val="24"/>
        </w:rPr>
        <w:t xml:space="preserve">Permissionless Oracle Listings with Self-Insuring AMM Pools</w:t>
      </w:r>
    </w:p>
    <w:p>
      <w:pPr>
        <w:spacing w:after="80"/>
      </w:pPr>
    </w:p>
    <w:p>
      <w:pPr>
        <w:spacing w:after="80"/>
        <w:jc w:val="center"/>
      </w:pPr>
      <w:r>
        <w:rPr>
          <w:rFonts w:ascii="Arial" w:cs="Arial" w:eastAsia="Arial" w:hAnsi="Arial"/>
          <w:color w:val="6C63FF"/>
          <w:sz w:val="22"/>
          <w:szCs w:val="22"/>
        </w:rPr>
        <w:t xml:space="preserve">Powered by Switchboard × Uniswap × x402 × Kite AI Agents</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666666"/>
          <w:sz w:val="20"/>
          <w:szCs w:val="20"/>
        </w:rPr>
        <w:t xml:space="preserve">BLAI Labs  |  February 2026</w:t>
      </w:r>
    </w:p>
    <w:p>
      <w:pPr>
        <w:spacing w:after="80"/>
        <w:jc w:val="center"/>
      </w:pPr>
      <w:r>
        <w:rPr>
          <w:rFonts w:ascii="Arial" w:cs="Arial" w:eastAsia="Arial" w:hAnsi="Arial"/>
          <w:b/>
          <w:bCs/>
          <w:color w:val="666666"/>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Executive Summary</w:t>
      </w:r>
    </w:p>
    <w:p>
      <w:pPr>
        <w:spacing w:after="160" w:line="300"/>
      </w:pPr>
      <w:r>
        <w:rPr>
          <w:rFonts w:ascii="Arial" w:cs="Arial" w:eastAsia="Arial" w:hAnsi="Arial"/>
          <w:color w:val="333333"/>
          <w:sz w:val="21"/>
          <w:szCs w:val="21"/>
        </w:rPr>
        <w:t xml:space="preserve">This document outlines the architecture for a permissionless protocol that enables anyone to create on-chain synthetic asset markets for any real-world price feed. The system combines Switchboard’s permissionless oracle infrastructure with Uniswap’s AMM pools and x402 micropayments to create a fully automated pipeline from data source discovery to tradeable on-chain markets.</w:t>
      </w:r>
    </w:p>
    <w:p>
      <w:pPr>
        <w:spacing w:after="160" w:line="300"/>
      </w:pPr>
      <w:r>
        <w:rPr>
          <w:rFonts w:ascii="Arial" w:cs="Arial" w:eastAsia="Arial" w:hAnsi="Arial"/>
          <w:color w:val="333333"/>
          <w:sz w:val="21"/>
          <w:szCs w:val="21"/>
        </w:rPr>
        <w:t xml:space="preserve">The core innovation is a self-insuring AMM design where pool swap fees are dynamically calibrated against the underlying oracle asset’s volatility, ensuring that fee income exceeds expected impermanent loss over time. An AI agent (powered by Kite and ElizaOS) orchestrates the entire lifecycle: researching data sources, deploying oracle feeds, provisioning liquidity pools, and maintaining price alignment through active market-making.</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2. Problem Statement</w:t>
      </w:r>
    </w:p>
    <w:p>
      <w:pPr>
        <w:spacing w:after="160" w:line="300"/>
      </w:pPr>
      <w:r>
        <w:rPr>
          <w:rFonts w:ascii="Arial" w:cs="Arial" w:eastAsia="Arial" w:hAnsi="Arial"/>
          <w:color w:val="333333"/>
          <w:sz w:val="21"/>
          <w:szCs w:val="21"/>
        </w:rPr>
        <w:t xml:space="preserve">Today, creating on-chain price exposure to real-world assets requires navigating fragmented infrastructure. Oracle feeds must be requested through permissioned processes, token contracts must be deployed manually, and liquidity must be bootstrapped through ad-hoc incentive programs. This creates a high barrier to entry for novel asset classes—there is no on-chain price feed for motorcycles, industrial equipment, agricultural inputs, or thousands of other real-world asset categories.</w:t>
      </w:r>
    </w:p>
    <w:p>
      <w:pPr>
        <w:spacing w:after="160" w:line="300"/>
      </w:pPr>
      <w:r>
        <w:rPr>
          <w:rFonts w:ascii="Arial" w:cs="Arial" w:eastAsia="Arial" w:hAnsi="Arial"/>
          <w:color w:val="333333"/>
          <w:sz w:val="21"/>
          <w:szCs w:val="21"/>
        </w:rPr>
        <w:t xml:space="preserve">Even when oracle feeds exist, maintaining an AMM pool that accurately tracks the oracle price is operationally expensive. Standard Uniswap pools rely on external arbitrageurs for price discovery, and in thin markets for niche assets, the pool price can drift significantly from the true oracle value. Active market-making to correct this drift typically bleeds capital through impermanent loss.</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3. Solution Overview</w:t>
      </w:r>
    </w:p>
    <w:p>
      <w:pPr>
        <w:spacing w:after="160" w:line="300"/>
      </w:pPr>
      <w:r>
        <w:rPr>
          <w:rFonts w:ascii="Arial" w:cs="Arial" w:eastAsia="Arial" w:hAnsi="Arial"/>
          <w:color w:val="333333"/>
          <w:sz w:val="21"/>
          <w:szCs w:val="21"/>
        </w:rPr>
        <w:t xml:space="preserve">The protocol automates the full pipeline from real-world data to tradeable on-chain market through four stages:</w:t>
      </w:r>
    </w:p>
    <w:p>
      <w:pPr>
        <w:spacing w:after="80"/>
      </w:pPr>
    </w:p>
    <w:p>
      <w:pPr>
        <w:pStyle w:val="Heading2"/>
        <w:spacing w:before="300" w:after="160"/>
      </w:pPr>
      <w:r>
        <w:rPr>
          <w:rFonts w:ascii="Arial" w:cs="Arial" w:eastAsia="Arial" w:hAnsi="Arial"/>
          <w:b/>
          <w:bCs/>
          <w:color w:val="2D2D44"/>
          <w:sz w:val="26"/>
          <w:szCs w:val="26"/>
        </w:rPr>
        <w:t xml:space="preserve">3.1 Stage 1 — Data Source Discovery (Kite Agent + x402)</w:t>
      </w:r>
    </w:p>
    <w:p>
      <w:pPr>
        <w:spacing w:after="160" w:line="300"/>
      </w:pPr>
      <w:r>
        <w:rPr>
          <w:rFonts w:ascii="Arial" w:cs="Arial" w:eastAsia="Arial" w:hAnsi="Arial"/>
          <w:color w:val="333333"/>
          <w:sz w:val="21"/>
          <w:szCs w:val="21"/>
        </w:rPr>
        <w:t xml:space="preserve">A user initiates the process by paying a Kite AI agent via the x402 micropayment protocol. The agent researches and identifies reliable data sources for the requested asset class (e.g., motorcycle pricing indices, dealer aggregators, auction data feeds). The agent evaluates sources for reliability, update frequency, and manipulation resistance, then produces a structured data source specification.</w:t>
      </w:r>
    </w:p>
    <w:p>
      <w:pPr>
        <w:pStyle w:val="Heading2"/>
        <w:spacing w:before="300" w:after="160"/>
      </w:pPr>
      <w:r>
        <w:rPr>
          <w:rFonts w:ascii="Arial" w:cs="Arial" w:eastAsia="Arial" w:hAnsi="Arial"/>
          <w:b/>
          <w:bCs/>
          <w:color w:val="2D2D44"/>
          <w:sz w:val="26"/>
          <w:szCs w:val="26"/>
        </w:rPr>
        <w:t xml:space="preserve">3.2 Stage 2 — Oracle Feed Deployment (Switchboard)</w:t>
      </w:r>
    </w:p>
    <w:p>
      <w:pPr>
        <w:spacing w:after="160" w:line="300"/>
      </w:pPr>
      <w:r>
        <w:rPr>
          <w:rFonts w:ascii="Arial" w:cs="Arial" w:eastAsia="Arial" w:hAnsi="Arial"/>
          <w:color w:val="333333"/>
          <w:sz w:val="21"/>
          <w:szCs w:val="21"/>
        </w:rPr>
        <w:t xml:space="preserve">Using the data source specification from Stage 1, the agent programmatically creates a permissionless Switchboard oracle feed. Switchboard allows anyone to deploy custom data feeds without approval or gatekeeping. The feed is configured with the identified data sources, appropriate aggregation methods, and update intervals. The agent funds the feed to incentivize Switchboard oracles to service it.</w:t>
      </w:r>
    </w:p>
    <w:p>
      <w:pPr>
        <w:pStyle w:val="Heading2"/>
        <w:spacing w:before="300" w:after="160"/>
      </w:pPr>
      <w:r>
        <w:rPr>
          <w:rFonts w:ascii="Arial" w:cs="Arial" w:eastAsia="Arial" w:hAnsi="Arial"/>
          <w:b/>
          <w:bCs/>
          <w:color w:val="2D2D44"/>
          <w:sz w:val="26"/>
          <w:szCs w:val="26"/>
        </w:rPr>
        <w:t xml:space="preserve">3.3 Stage 3 — Synthetic Token and Pool Creation (Uniswap)</w:t>
      </w:r>
    </w:p>
    <w:p>
      <w:pPr>
        <w:spacing w:after="160" w:line="300"/>
      </w:pPr>
      <w:r>
        <w:rPr>
          <w:rFonts w:ascii="Arial" w:cs="Arial" w:eastAsia="Arial" w:hAnsi="Arial"/>
          <w:color w:val="333333"/>
          <w:sz w:val="21"/>
          <w:szCs w:val="21"/>
        </w:rPr>
        <w:t xml:space="preserve">The agent deploys an ERC-20 synthetic token (e.g., mMOTO for motorcycles) and creates a Uniswap pool pairing the synthetic token with USDC. The user’s deposited capital is allocated 100% into the pool as concentrated liquidity. A volatility-calibrated swap fee is set on the pool to ensure fee income covers expected impermanent loss.</w:t>
      </w:r>
    </w:p>
    <w:p>
      <w:pPr>
        <w:pStyle w:val="Heading2"/>
        <w:spacing w:before="300" w:after="160"/>
      </w:pPr>
      <w:r>
        <w:rPr>
          <w:rFonts w:ascii="Arial" w:cs="Arial" w:eastAsia="Arial" w:hAnsi="Arial"/>
          <w:b/>
          <w:bCs/>
          <w:color w:val="2D2D44"/>
          <w:sz w:val="26"/>
          <w:szCs w:val="26"/>
        </w:rPr>
        <w:t xml:space="preserve">3.4 Stage 4 — Active Market-Making (Agent Rebalancing Loop)</w:t>
      </w:r>
    </w:p>
    <w:p>
      <w:pPr>
        <w:spacing w:after="160" w:line="300"/>
      </w:pPr>
      <w:r>
        <w:rPr>
          <w:rFonts w:ascii="Arial" w:cs="Arial" w:eastAsia="Arial" w:hAnsi="Arial"/>
          <w:color w:val="333333"/>
          <w:sz w:val="21"/>
          <w:szCs w:val="21"/>
        </w:rPr>
        <w:t xml:space="preserve">On a configurable interval, the agent monitors the Switchboard oracle price against the current pool price. When deviation exceeds a threshold, the agent arbitrages the pool back to the oracle price. Because the swap fees are calibrated to exceed IL, this rebalancing activity is self-sustaining—the agent earns fees that exceed the cost of maintaining the peg over time.</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4. Volatility-Calibrated Fee Model</w:t>
      </w:r>
    </w:p>
    <w:p>
      <w:pPr>
        <w:spacing w:after="160" w:line="300"/>
      </w:pPr>
      <w:r>
        <w:rPr>
          <w:rFonts w:ascii="Arial" w:cs="Arial" w:eastAsia="Arial" w:hAnsi="Arial"/>
          <w:color w:val="333333"/>
          <w:sz w:val="21"/>
          <w:szCs w:val="21"/>
        </w:rPr>
        <w:t xml:space="preserve">The core economic mechanism of the protocol is setting the pool’s swap fee to a level that ensures fee income exceeds impermanent loss. This is the “self-insuring” property of the design.</w:t>
      </w:r>
    </w:p>
    <w:p>
      <w:pPr>
        <w:pStyle w:val="Heading2"/>
        <w:spacing w:before="300" w:after="160"/>
      </w:pPr>
      <w:r>
        <w:rPr>
          <w:rFonts w:ascii="Arial" w:cs="Arial" w:eastAsia="Arial" w:hAnsi="Arial"/>
          <w:b/>
          <w:bCs/>
          <w:color w:val="2D2D44"/>
          <w:sz w:val="26"/>
          <w:szCs w:val="26"/>
        </w:rPr>
        <w:t xml:space="preserve">4.1 Impermanent Loss Formula</w:t>
      </w:r>
    </w:p>
    <w:p>
      <w:pPr>
        <w:spacing w:after="160" w:line="300"/>
      </w:pPr>
      <w:r>
        <w:rPr>
          <w:rFonts w:ascii="Arial" w:cs="Arial" w:eastAsia="Arial" w:hAnsi="Arial"/>
          <w:color w:val="333333"/>
          <w:sz w:val="21"/>
          <w:szCs w:val="21"/>
        </w:rPr>
        <w:t xml:space="preserve">For a constant product AMM (x × y = k), when price changes by a factor k, the impermanent loss is given by:</w:t>
      </w:r>
    </w:p>
    <w:p>
      <w:pPr>
        <w:spacing w:before="160" w:after="160"/>
        <w:jc w:val="center"/>
      </w:pPr>
      <w:r>
        <w:rPr>
          <w:rFonts w:ascii="Courier New" w:cs="Courier New" w:eastAsia="Courier New" w:hAnsi="Courier New"/>
          <w:b/>
          <w:bCs/>
          <w:color w:val="6C63FF"/>
          <w:sz w:val="22"/>
          <w:szCs w:val="22"/>
        </w:rPr>
        <w:t xml:space="preserve">IL = 2√k / (1 + k) − 1</w:t>
      </w:r>
    </w:p>
    <w:p>
      <w:pPr>
        <w:spacing w:after="160" w:line="300"/>
      </w:pPr>
      <w:r>
        <w:rPr>
          <w:rFonts w:ascii="Arial" w:cs="Arial" w:eastAsia="Arial" w:hAnsi="Arial"/>
          <w:color w:val="333333"/>
          <w:sz w:val="21"/>
          <w:szCs w:val="21"/>
        </w:rPr>
        <w:t xml:space="preserve">For small price movements, this can be approximated as:</w:t>
      </w:r>
    </w:p>
    <w:p>
      <w:pPr>
        <w:spacing w:before="160" w:after="160"/>
        <w:jc w:val="center"/>
      </w:pPr>
      <w:r>
        <w:rPr>
          <w:rFonts w:ascii="Courier New" w:cs="Courier New" w:eastAsia="Courier New" w:hAnsi="Courier New"/>
          <w:b/>
          <w:bCs/>
          <w:color w:val="6C63FF"/>
          <w:sz w:val="22"/>
          <w:szCs w:val="22"/>
        </w:rPr>
        <w:t xml:space="preserve">IL ≈ σ² / 8</w:t>
      </w:r>
    </w:p>
    <w:p>
      <w:pPr>
        <w:spacing w:after="160" w:line="300"/>
      </w:pPr>
      <w:r>
        <w:rPr>
          <w:rFonts w:ascii="Arial" w:cs="Arial" w:eastAsia="Arial" w:hAnsi="Arial"/>
          <w:color w:val="333333"/>
          <w:sz w:val="21"/>
          <w:szCs w:val="21"/>
        </w:rPr>
        <w:t xml:space="preserve">Where σ is the price change magnitude. This deterministic relationship between volatility and IL is what enables fee calibration.</w:t>
      </w:r>
    </w:p>
    <w:p>
      <w:pPr>
        <w:pStyle w:val="Heading2"/>
        <w:spacing w:before="300" w:after="160"/>
      </w:pPr>
      <w:r>
        <w:rPr>
          <w:rFonts w:ascii="Arial" w:cs="Arial" w:eastAsia="Arial" w:hAnsi="Arial"/>
          <w:b/>
          <w:bCs/>
          <w:color w:val="2D2D44"/>
          <w:sz w:val="26"/>
          <w:szCs w:val="26"/>
        </w:rPr>
        <w:t xml:space="preserve">4.2 Fee Calibration Strategy</w:t>
      </w:r>
    </w:p>
    <w:p>
      <w:pPr>
        <w:spacing w:after="160" w:line="300"/>
      </w:pPr>
      <w:r>
        <w:rPr>
          <w:rFonts w:ascii="Arial" w:cs="Arial" w:eastAsia="Arial" w:hAnsi="Arial"/>
          <w:color w:val="333333"/>
          <w:sz w:val="21"/>
          <w:szCs w:val="21"/>
        </w:rPr>
        <w:t xml:space="preserve">The agent measures rolling volatility of the oracle asset over a configurable window (e.g., 30 days). The swap fee is then set such that:</w:t>
      </w:r>
    </w:p>
    <w:p>
      <w:pPr>
        <w:spacing w:before="160" w:after="200"/>
        <w:jc w:val="center"/>
      </w:pPr>
      <w:r>
        <w:rPr>
          <w:rFonts w:ascii="Courier New" w:cs="Courier New" w:eastAsia="Courier New" w:hAnsi="Courier New"/>
          <w:b/>
          <w:bCs/>
          <w:color w:val="6C63FF"/>
          <w:sz w:val="20"/>
          <w:szCs w:val="20"/>
        </w:rPr>
        <w:t xml:space="preserve">Fee × E[Volume] &gt; E[IL]  →  Fee &gt; σ² / (8 × Volume_Ratio)</w:t>
      </w:r>
    </w:p>
    <w:p>
      <w:pPr>
        <w:spacing w:after="160" w:line="300"/>
      </w:pPr>
      <w:r>
        <w:rPr>
          <w:rFonts w:ascii="Arial" w:cs="Arial" w:eastAsia="Arial" w:hAnsi="Arial"/>
          <w:color w:val="333333"/>
          <w:sz w:val="21"/>
          <w:szCs w:val="21"/>
        </w:rPr>
        <w:t xml:space="preserve">Where Volume_Ratio is the expected daily trading volume as a fraction of pool TVL. A safety multiplier (e.g., 1.5x) is applied to account for variance.</w:t>
      </w:r>
    </w:p>
    <w:p>
      <w:pPr>
        <w:spacing w:after="80"/>
      </w:pPr>
    </w:p>
    <w:p>
      <w:pPr>
        <w:spacing w:before="240" w:after="120"/>
      </w:pPr>
      <w:r>
        <w:rPr>
          <w:rFonts w:ascii="Arial" w:cs="Arial" w:eastAsia="Arial" w:hAnsi="Arial"/>
          <w:b/>
          <w:bCs/>
          <w:color w:val="6C63FF"/>
          <w:sz w:val="22"/>
          <w:szCs w:val="22"/>
        </w:rPr>
        <w:t xml:space="preserve">Numerical Example</w:t>
      </w:r>
    </w:p>
    <w:p>
      <w:pPr>
        <w:spacing w:after="160" w:line="300"/>
      </w:pPr>
      <w:r>
        <w:rPr>
          <w:rFonts w:ascii="Arial" w:cs="Arial" w:eastAsia="Arial" w:hAnsi="Arial"/>
          <w:color w:val="333333"/>
          <w:sz w:val="21"/>
          <w:szCs w:val="21"/>
        </w:rPr>
        <w:t xml:space="preserve">For an asset with 2% daily volatility and expected daily volume of 1% of TVL: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Daily Volatility (σ)</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(0.02)</w:t>
            </w:r>
          </w:p>
        </w:tc>
      </w:tr>
      <w:tr>
        <w:tc>
          <w:tcPr>
            <w:tcW w:type="dxa" w:w="50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Expected Daily IL</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σ²/8 = 0.005% of pool</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Pool Fee Tier</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 per swap</w:t>
            </w:r>
          </w:p>
        </w:tc>
      </w:tr>
      <w:tr>
        <w:tc>
          <w:tcPr>
            <w:tcW w:type="dxa" w:w="50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Daily Volume (1% of TVL)</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0.01 × pool value</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Daily Fee Income</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0.01% of pool value</w:t>
            </w:r>
          </w:p>
        </w:tc>
      </w:tr>
      <w:tr>
        <w:tc>
          <w:tcPr>
            <w:tcW w:type="dxa" w:w="50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Fee / IL Ratio</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2.0x (profitable)</w:t>
            </w:r>
          </w:p>
        </w:tc>
      </w:tr>
    </w:tbl>
    <w:p>
      <w:pPr>
        <w:spacing w:after="80"/>
      </w:pPr>
    </w:p>
    <w:p>
      <w:pPr>
        <w:pStyle w:val="Heading2"/>
        <w:spacing w:before="300" w:after="160"/>
      </w:pPr>
      <w:r>
        <w:rPr>
          <w:rFonts w:ascii="Arial" w:cs="Arial" w:eastAsia="Arial" w:hAnsi="Arial"/>
          <w:b/>
          <w:bCs/>
          <w:color w:val="2D2D44"/>
          <w:sz w:val="26"/>
          <w:szCs w:val="26"/>
        </w:rPr>
        <w:t xml:space="preserve">4.3 Dynamic Fee Adjustment</w:t>
      </w:r>
    </w:p>
    <w:p>
      <w:pPr>
        <w:spacing w:after="160" w:line="300"/>
      </w:pPr>
      <w:r>
        <w:rPr>
          <w:rFonts w:ascii="Arial" w:cs="Arial" w:eastAsia="Arial" w:hAnsi="Arial"/>
          <w:color w:val="333333"/>
          <w:sz w:val="21"/>
          <w:szCs w:val="21"/>
        </w:rPr>
        <w:t xml:space="preserve">With Uniswap V4 hooks (or a custom pool contract), the fee can be adjusted dynamically per swap. The hook reads the rolling volatility from the Switchboard feed and recalculates the minimum viable fee in real-time. During periods of high volatility, fees increase to protect the LP position. During calm periods, fees decrease to attract more volume. This creates an adaptive equilibrium where the pool is always self-insuring regardless of market conditions.</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5. Protocol-Derived Design Insights</w:t>
      </w:r>
    </w:p>
    <w:p>
      <w:pPr>
        <w:spacing w:after="160" w:line="300"/>
      </w:pPr>
      <w:r>
        <w:rPr>
          <w:rFonts w:ascii="Arial" w:cs="Arial" w:eastAsia="Arial" w:hAnsi="Arial"/>
          <w:color w:val="333333"/>
          <w:sz w:val="21"/>
          <w:szCs w:val="21"/>
        </w:rPr>
        <w:t xml:space="preserve">The design draws on proven mechanisms from leading oracle-based perp DEXs:</w:t>
      </w:r>
    </w:p>
    <w:p>
      <w:pPr>
        <w:spacing w:after="80"/>
      </w:pPr>
    </w:p>
    <w:p>
      <w:pPr>
        <w:pStyle w:val="Heading2"/>
        <w:spacing w:before="300" w:after="160"/>
      </w:pPr>
      <w:r>
        <w:rPr>
          <w:rFonts w:ascii="Arial" w:cs="Arial" w:eastAsia="Arial" w:hAnsi="Arial"/>
          <w:b/>
          <w:bCs/>
          <w:color w:val="2D2D44"/>
          <w:sz w:val="26"/>
          <w:szCs w:val="26"/>
        </w:rPr>
        <w:t xml:space="preserve">5.1 From GMX</w:t>
      </w:r>
    </w:p>
    <w:p>
      <w:pPr>
        <w:pStyle w:val="ListParagraph"/>
        <w:numPr>
          <w:ilvl w:val="0"/>
          <w:numId w:val="2"/>
        </w:numPr>
        <w:spacing w:after="100" w:line="280"/>
      </w:pPr>
      <w:r>
        <w:rPr>
          <w:rFonts w:ascii="Arial" w:cs="Arial" w:eastAsia="Arial" w:hAnsi="Arial"/>
          <w:color w:val="333333"/>
          <w:sz w:val="21"/>
          <w:szCs w:val="21"/>
        </w:rPr>
        <w:t xml:space="preserve">Oracle-based pricing eliminates reliance on pool-internal price discovery for the canonical asset price. The Switchboard oracle is the source of truth; the pool is a convenience layer.</w:t>
      </w:r>
    </w:p>
    <w:p>
      <w:pPr>
        <w:pStyle w:val="ListParagraph"/>
        <w:numPr>
          <w:ilvl w:val="0"/>
          <w:numId w:val="2"/>
        </w:numPr>
        <w:spacing w:after="100" w:line="280"/>
      </w:pPr>
      <w:r>
        <w:rPr>
          <w:rFonts w:ascii="Arial" w:cs="Arial" w:eastAsia="Arial" w:hAnsi="Arial"/>
          <w:color w:val="333333"/>
          <w:sz w:val="21"/>
          <w:szCs w:val="21"/>
        </w:rPr>
        <w:t xml:space="preserve">The pool-as-counterparty model (GMX’s GLP/GM pools) demonstrates that LPs can avoid traditional IL when trades execute at oracle prices rather than along an AMM curve.</w:t>
      </w:r>
    </w:p>
    <w:p>
      <w:pPr>
        <w:pStyle w:val="ListParagraph"/>
        <w:numPr>
          <w:ilvl w:val="0"/>
          <w:numId w:val="2"/>
        </w:numPr>
        <w:spacing w:after="100" w:line="280"/>
      </w:pPr>
      <w:r>
        <w:rPr>
          <w:rFonts w:ascii="Arial" w:cs="Arial" w:eastAsia="Arial" w:hAnsi="Arial"/>
          <w:color w:val="333333"/>
          <w:sz w:val="21"/>
          <w:szCs w:val="21"/>
        </w:rPr>
        <w:t xml:space="preserve">GMX V2’s isolated pool design (separate long/short token backing per market) informs the single-pair pool architecture used here.</w:t>
      </w:r>
    </w:p>
    <w:p>
      <w:pPr>
        <w:pStyle w:val="Heading2"/>
        <w:spacing w:before="300" w:after="160"/>
      </w:pPr>
      <w:r>
        <w:rPr>
          <w:rFonts w:ascii="Arial" w:cs="Arial" w:eastAsia="Arial" w:hAnsi="Arial"/>
          <w:b/>
          <w:bCs/>
          <w:color w:val="2D2D44"/>
          <w:sz w:val="26"/>
          <w:szCs w:val="26"/>
        </w:rPr>
        <w:t xml:space="preserve">5.2 From Avantis</w:t>
      </w:r>
    </w:p>
    <w:p>
      <w:pPr>
        <w:pStyle w:val="ListParagraph"/>
        <w:numPr>
          <w:ilvl w:val="0"/>
          <w:numId w:val="3"/>
        </w:numPr>
        <w:spacing w:after="100" w:line="280"/>
      </w:pPr>
      <w:r>
        <w:rPr>
          <w:rFonts w:ascii="Arial" w:cs="Arial" w:eastAsia="Arial" w:hAnsi="Arial"/>
          <w:color w:val="333333"/>
          <w:sz w:val="21"/>
          <w:szCs w:val="21"/>
        </w:rPr>
        <w:t xml:space="preserve">Dual-oracle validation: Avantis cross-checks Pyth against Chainlink and cancels transactions when prices diverge by more than 5%. This circuit-breaker pattern should be adopted for manipulation resistance.</w:t>
      </w:r>
    </w:p>
    <w:p>
      <w:pPr>
        <w:pStyle w:val="ListParagraph"/>
        <w:numPr>
          <w:ilvl w:val="0"/>
          <w:numId w:val="3"/>
        </w:numPr>
        <w:spacing w:after="100" w:line="280"/>
      </w:pPr>
      <w:r>
        <w:rPr>
          <w:rFonts w:ascii="Arial" w:cs="Arial" w:eastAsia="Arial" w:hAnsi="Arial"/>
          <w:color w:val="333333"/>
          <w:sz w:val="21"/>
          <w:szCs w:val="21"/>
        </w:rPr>
        <w:t xml:space="preserve">Risk-tranched vaults allow LPs to choose exposure levels. For V2 of this protocol, similar tiering could be offered to external LPs.</w:t>
      </w:r>
    </w:p>
    <w:p>
      <w:pPr>
        <w:pStyle w:val="ListParagraph"/>
        <w:numPr>
          <w:ilvl w:val="0"/>
          <w:numId w:val="3"/>
        </w:numPr>
        <w:spacing w:after="100" w:line="280"/>
      </w:pPr>
      <w:r>
        <w:rPr>
          <w:rFonts w:ascii="Arial" w:cs="Arial" w:eastAsia="Arial" w:hAnsi="Arial"/>
          <w:color w:val="333333"/>
          <w:sz w:val="21"/>
          <w:szCs w:val="21"/>
        </w:rPr>
        <w:t xml:space="preserve">Zero-fee perpetuals (fees only on profitable trades) offer an interesting future model for the synthetic token once volume materializes.</w:t>
      </w:r>
    </w:p>
    <w:p>
      <w:pPr>
        <w:pStyle w:val="Heading2"/>
        <w:spacing w:before="300" w:after="160"/>
      </w:pPr>
      <w:r>
        <w:rPr>
          <w:rFonts w:ascii="Arial" w:cs="Arial" w:eastAsia="Arial" w:hAnsi="Arial"/>
          <w:b/>
          <w:bCs/>
          <w:color w:val="2D2D44"/>
          <w:sz w:val="26"/>
          <w:szCs w:val="26"/>
        </w:rPr>
        <w:t xml:space="preserve">5.3 From Academic Research (UAMM, Dynamic Curves)</w:t>
      </w:r>
    </w:p>
    <w:p>
      <w:pPr>
        <w:pStyle w:val="ListParagraph"/>
        <w:numPr>
          <w:ilvl w:val="0"/>
          <w:numId w:val="2"/>
        </w:numPr>
        <w:spacing w:after="100" w:line="280"/>
      </w:pPr>
      <w:r>
        <w:rPr>
          <w:rFonts w:ascii="Arial" w:cs="Arial" w:eastAsia="Arial" w:hAnsi="Arial"/>
          <w:color w:val="333333"/>
          <w:sz w:val="21"/>
          <w:szCs w:val="21"/>
        </w:rPr>
        <w:t xml:space="preserve">The UAMM paper demonstrates that incorporating external oracle prices into AMM pricing can eliminate arbitrage opportunities entirely, converting slippage loss into LP gain.</w:t>
      </w:r>
    </w:p>
    <w:p>
      <w:pPr>
        <w:pStyle w:val="ListParagraph"/>
        <w:numPr>
          <w:ilvl w:val="0"/>
          <w:numId w:val="2"/>
        </w:numPr>
        <w:spacing w:after="100" w:line="280"/>
      </w:pPr>
      <w:r>
        <w:rPr>
          <w:rFonts w:ascii="Arial" w:cs="Arial" w:eastAsia="Arial" w:hAnsi="Arial"/>
          <w:color w:val="333333"/>
          <w:sz w:val="21"/>
          <w:szCs w:val="21"/>
        </w:rPr>
        <w:t xml:space="preserve">The Dynamic Curves paper proves that an AMM using real-time oracle feeds to adjust its bonding curve has no room for arbitrage, and LP total value remains stable over time.</w:t>
      </w:r>
    </w:p>
    <w:p>
      <w:pPr>
        <w:pStyle w:val="ListParagraph"/>
        <w:numPr>
          <w:ilvl w:val="0"/>
          <w:numId w:val="2"/>
        </w:numPr>
        <w:spacing w:after="100" w:line="280"/>
      </w:pPr>
      <w:r>
        <w:rPr>
          <w:rFonts w:ascii="Arial" w:cs="Arial" w:eastAsia="Arial" w:hAnsi="Arial"/>
          <w:color w:val="333333"/>
          <w:sz w:val="21"/>
          <w:szCs w:val="21"/>
        </w:rPr>
        <w:t xml:space="preserve">Both papers validate the core thesis: oracle-anchored AMMs with fee calibration can be made self-sustaining.</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6. System Architecture</w:t>
      </w:r>
    </w:p>
    <w:p>
      <w:pPr>
        <w:pStyle w:val="Heading2"/>
        <w:spacing w:before="300" w:after="160"/>
      </w:pPr>
      <w:r>
        <w:rPr>
          <w:rFonts w:ascii="Arial" w:cs="Arial" w:eastAsia="Arial" w:hAnsi="Arial"/>
          <w:b/>
          <w:bCs/>
          <w:color w:val="2D2D44"/>
          <w:sz w:val="26"/>
          <w:szCs w:val="26"/>
        </w:rPr>
        <w:t xml:space="preserve">6.1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AI Agent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ElizaOS + Kite</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Orchestrates all stages; researches data, deploys feeds, manages pools</w:t>
            </w:r>
          </w:p>
        </w:tc>
      </w:tr>
      <w:tr>
        <w:tc>
          <w:tcPr>
            <w:tcW w:type="dxa" w:w="2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Payment Layer</w:t>
            </w:r>
          </w:p>
        </w:tc>
        <w:tc>
          <w:tcPr>
            <w:tcW w:type="dxa" w:w="2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x402 Protocol</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Micropayments for agent services (data research, feed creation)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Oracle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Switchboard</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Permissionless data feed creation and on-chain price delivery</w:t>
            </w:r>
          </w:p>
        </w:tc>
      </w:tr>
      <w:tr>
        <w:tc>
          <w:tcPr>
            <w:tcW w:type="dxa" w:w="2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AMM</w:t>
            </w:r>
          </w:p>
        </w:tc>
        <w:tc>
          <w:tcPr>
            <w:tcW w:type="dxa" w:w="2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Uniswap V3/V4</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Liquidity pool for synthetic token / USDC trading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Synthetic Token</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ERC-20</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Represents price exposure to the oracle asset</w:t>
            </w:r>
          </w:p>
        </w:tc>
      </w:tr>
      <w:tr>
        <w:tc>
          <w:tcPr>
            <w:tcW w:type="dxa" w:w="2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Runtime</w:t>
            </w:r>
          </w:p>
        </w:tc>
        <w:tc>
          <w:tcPr>
            <w:tcW w:type="dxa" w:w="2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Bun + TypeScript</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Agent execution environment and CLI tooling</w:t>
            </w:r>
          </w:p>
        </w:tc>
      </w:tr>
    </w:tbl>
    <w:p>
      <w:pPr>
        <w:spacing w:after="80"/>
      </w:pPr>
    </w:p>
    <w:p>
      <w:pPr>
        <w:pStyle w:val="Heading2"/>
        <w:spacing w:before="300" w:after="160"/>
      </w:pPr>
      <w:r>
        <w:rPr>
          <w:rFonts w:ascii="Arial" w:cs="Arial" w:eastAsia="Arial" w:hAnsi="Arial"/>
          <w:b/>
          <w:bCs/>
          <w:color w:val="2D2D44"/>
          <w:sz w:val="26"/>
          <w:szCs w:val="26"/>
        </w:rPr>
        <w:t xml:space="preserve">6.2 Data Flow</w:t>
      </w:r>
    </w:p>
    <w:p>
      <w:pPr>
        <w:spacing w:after="160" w:line="300"/>
      </w:pPr>
      <w:r>
        <w:rPr>
          <w:rFonts w:ascii="Arial" w:cs="Arial" w:eastAsia="Arial" w:hAnsi="Arial"/>
          <w:b w:val="false"/>
          <w:bCs w:val="false"/>
          <w:color w:val="333333"/>
          <w:sz w:val="21"/>
          <w:szCs w:val="21"/>
        </w:rPr>
        <w:t xml:space="preserve">The system operates as a pipeline: </w:t>
      </w:r>
      <w:r>
        <w:rPr>
          <w:rFonts w:ascii="Arial" w:cs="Arial" w:eastAsia="Arial" w:hAnsi="Arial"/>
          <w:b/>
          <w:bCs/>
          <w:color w:val="333333"/>
          <w:sz w:val="21"/>
          <w:szCs w:val="21"/>
        </w:rPr>
        <w:t xml:space="preserve">User Payment → Agent Research → Oracle Deployment → Token Mint → Pool Creation → Active Market-Making.</w:t>
      </w:r>
    </w:p>
    <w:p>
      <w:pPr>
        <w:spacing w:after="80"/>
      </w:pPr>
    </w:p>
    <w:p>
      <w:pPr>
        <w:pStyle w:val="ListParagraph"/>
        <w:numPr>
          <w:ilvl w:val="0"/>
          <w:numId w:val="4"/>
        </w:numPr>
        <w:spacing w:after="100" w:line="280"/>
      </w:pPr>
      <w:r>
        <w:rPr>
          <w:rFonts w:ascii="Arial" w:cs="Arial" w:eastAsia="Arial" w:hAnsi="Arial"/>
          <w:color w:val="333333"/>
          <w:sz w:val="21"/>
          <w:szCs w:val="21"/>
        </w:rPr>
        <w:t xml:space="preserve">User sends USDC to the agent via x402, specifying the desired asset class (e.g., “motorcycle price index”) and capital allocation.</w:t>
      </w:r>
    </w:p>
    <w:p>
      <w:pPr>
        <w:pStyle w:val="ListParagraph"/>
        <w:numPr>
          <w:ilvl w:val="0"/>
          <w:numId w:val="4"/>
        </w:numPr>
        <w:spacing w:after="100" w:line="280"/>
      </w:pPr>
      <w:r>
        <w:rPr>
          <w:rFonts w:ascii="Arial" w:cs="Arial" w:eastAsia="Arial" w:hAnsi="Arial"/>
          <w:color w:val="333333"/>
          <w:sz w:val="21"/>
          <w:szCs w:val="21"/>
        </w:rPr>
        <w:t xml:space="preserve">The Kite agent researches data sources—APIs, aggregators, existing indices—and selects the most reliable feeds. It produces a Switchboard job definition.</w:t>
      </w:r>
    </w:p>
    <w:p>
      <w:pPr>
        <w:pStyle w:val="ListParagraph"/>
        <w:numPr>
          <w:ilvl w:val="0"/>
          <w:numId w:val="4"/>
        </w:numPr>
        <w:spacing w:after="100" w:line="280"/>
      </w:pPr>
      <w:r>
        <w:rPr>
          <w:rFonts w:ascii="Arial" w:cs="Arial" w:eastAsia="Arial" w:hAnsi="Arial"/>
          <w:color w:val="333333"/>
          <w:sz w:val="21"/>
          <w:szCs w:val="21"/>
        </w:rPr>
        <w:t xml:space="preserve">The agent deploys the Switchboard oracle feed using the job definition, funding it with a portion of the user’s payment to cover oracle incentives.</w:t>
      </w:r>
    </w:p>
    <w:p>
      <w:pPr>
        <w:pStyle w:val="ListParagraph"/>
        <w:numPr>
          <w:ilvl w:val="0"/>
          <w:numId w:val="4"/>
        </w:numPr>
        <w:spacing w:after="100" w:line="280"/>
      </w:pPr>
      <w:r>
        <w:rPr>
          <w:rFonts w:ascii="Arial" w:cs="Arial" w:eastAsia="Arial" w:hAnsi="Arial"/>
          <w:color w:val="333333"/>
          <w:sz w:val="21"/>
          <w:szCs w:val="21"/>
        </w:rPr>
        <w:t xml:space="preserve">The agent deploys the ERC-20 synthetic token contract and creates a Uniswap pool (mASSET/USDC), depositing the user’s capital as liquidity.</w:t>
      </w:r>
    </w:p>
    <w:p>
      <w:pPr>
        <w:pStyle w:val="ListParagraph"/>
        <w:numPr>
          <w:ilvl w:val="0"/>
          <w:numId w:val="4"/>
        </w:numPr>
        <w:spacing w:after="100" w:line="280"/>
      </w:pPr>
      <w:r>
        <w:rPr>
          <w:rFonts w:ascii="Arial" w:cs="Arial" w:eastAsia="Arial" w:hAnsi="Arial"/>
          <w:color w:val="333333"/>
          <w:sz w:val="21"/>
          <w:szCs w:val="21"/>
        </w:rPr>
        <w:t xml:space="preserve">The swap fee is calculated based on the initial volatility estimate for the asset class. For V4 deployments, a dynamic fee hook is attached.</w:t>
      </w:r>
    </w:p>
    <w:p>
      <w:pPr>
        <w:pStyle w:val="ListParagraph"/>
        <w:numPr>
          <w:ilvl w:val="0"/>
          <w:numId w:val="4"/>
        </w:numPr>
        <w:spacing w:after="100" w:line="280"/>
      </w:pPr>
      <w:r>
        <w:rPr>
          <w:rFonts w:ascii="Arial" w:cs="Arial" w:eastAsia="Arial" w:hAnsi="Arial"/>
          <w:color w:val="333333"/>
          <w:sz w:val="21"/>
          <w:szCs w:val="21"/>
        </w:rPr>
        <w:t xml:space="preserve">The agent enters its market-making loop: periodically reading the oracle, comparing against pool price, and executing arb swaps when deviation exceeds the threshold.</w:t>
      </w:r>
    </w:p>
    <w:p>
      <w:pPr>
        <w:spacing w:after="80"/>
      </w:pPr>
    </w:p>
    <w:p>
      <w:pPr>
        <w:pStyle w:val="Heading2"/>
        <w:spacing w:before="300" w:after="160"/>
      </w:pPr>
      <w:r>
        <w:rPr>
          <w:rFonts w:ascii="Arial" w:cs="Arial" w:eastAsia="Arial" w:hAnsi="Arial"/>
          <w:b/>
          <w:bCs/>
          <w:color w:val="2D2D44"/>
          <w:sz w:val="26"/>
          <w:szCs w:val="26"/>
        </w:rPr>
        <w:t xml:space="preserve">6.3 Agent Rebalancing Logic</w:t>
      </w:r>
    </w:p>
    <w:p>
      <w:pPr>
        <w:spacing w:after="160" w:line="300"/>
      </w:pPr>
      <w:r>
        <w:rPr>
          <w:rFonts w:ascii="Arial" w:cs="Arial" w:eastAsia="Arial" w:hAnsi="Arial"/>
          <w:color w:val="333333"/>
          <w:sz w:val="21"/>
          <w:szCs w:val="21"/>
        </w:rPr>
        <w:t xml:space="preserve">The agent’s core loop executes on a configurable interval (default: every 5 minutes):</w:t>
      </w:r>
    </w:p>
    <w:p>
      <w:pPr>
        <w:spacing w:after="80"/>
      </w:pPr>
    </w:p>
    <w:p>
      <w:pPr>
        <w:pStyle w:val="ListParagraph"/>
        <w:numPr>
          <w:ilvl w:val="0"/>
          <w:numId w:val="5"/>
        </w:numPr>
        <w:spacing w:after="100" w:line="280"/>
      </w:pPr>
      <w:r>
        <w:rPr>
          <w:rFonts w:ascii="Arial" w:cs="Arial" w:eastAsia="Arial" w:hAnsi="Arial"/>
          <w:color w:val="333333"/>
          <w:sz w:val="21"/>
          <w:szCs w:val="21"/>
        </w:rPr>
        <w:t xml:space="preserve">Fetch latest price from Switchboard oracle feed.</w:t>
      </w:r>
    </w:p>
    <w:p>
      <w:pPr>
        <w:pStyle w:val="ListParagraph"/>
        <w:numPr>
          <w:ilvl w:val="0"/>
          <w:numId w:val="5"/>
        </w:numPr>
        <w:spacing w:after="100" w:line="280"/>
      </w:pPr>
      <w:r>
        <w:rPr>
          <w:rFonts w:ascii="Arial" w:cs="Arial" w:eastAsia="Arial" w:hAnsi="Arial"/>
          <w:color w:val="333333"/>
          <w:sz w:val="21"/>
          <w:szCs w:val="21"/>
        </w:rPr>
        <w:t xml:space="preserve">Fetch current pool price from Uniswap pool.</w:t>
      </w:r>
    </w:p>
    <w:p>
      <w:pPr>
        <w:pStyle w:val="ListParagraph"/>
        <w:numPr>
          <w:ilvl w:val="0"/>
          <w:numId w:val="5"/>
        </w:numPr>
        <w:spacing w:after="100" w:line="280"/>
      </w:pPr>
      <w:r>
        <w:rPr>
          <w:rFonts w:ascii="Arial" w:cs="Arial" w:eastAsia="Arial" w:hAnsi="Arial"/>
          <w:color w:val="333333"/>
          <w:sz w:val="21"/>
          <w:szCs w:val="21"/>
        </w:rPr>
        <w:t xml:space="preserve">Calculate deviation: |oracle_price − pool_price| / oracle_price.</w:t>
      </w:r>
    </w:p>
    <w:p>
      <w:pPr>
        <w:pStyle w:val="ListParagraph"/>
        <w:numPr>
          <w:ilvl w:val="0"/>
          <w:numId w:val="5"/>
        </w:numPr>
        <w:spacing w:after="100" w:line="280"/>
      </w:pPr>
      <w:r>
        <w:rPr>
          <w:rFonts w:ascii="Arial" w:cs="Arial" w:eastAsia="Arial" w:hAnsi="Arial"/>
          <w:color w:val="333333"/>
          <w:sz w:val="21"/>
          <w:szCs w:val="21"/>
        </w:rPr>
        <w:t xml:space="preserve">If deviation exceeds threshold (configurable, default 0.5%), execute an arb swap to push pool price toward oracle price.</w:t>
      </w:r>
    </w:p>
    <w:p>
      <w:pPr>
        <w:pStyle w:val="ListParagraph"/>
        <w:numPr>
          <w:ilvl w:val="0"/>
          <w:numId w:val="5"/>
        </w:numPr>
        <w:spacing w:after="100" w:line="280"/>
      </w:pPr>
      <w:r>
        <w:rPr>
          <w:rFonts w:ascii="Arial" w:cs="Arial" w:eastAsia="Arial" w:hAnsi="Arial"/>
          <w:color w:val="333333"/>
          <w:sz w:val="21"/>
          <w:szCs w:val="21"/>
        </w:rPr>
        <w:t xml:space="preserve">Log the rebalance event, fees earned, and updated pool state.</w:t>
      </w:r>
    </w:p>
    <w:p>
      <w:pPr>
        <w:pStyle w:val="ListParagraph"/>
        <w:numPr>
          <w:ilvl w:val="0"/>
          <w:numId w:val="5"/>
        </w:numPr>
        <w:spacing w:after="100" w:line="280"/>
      </w:pPr>
      <w:r>
        <w:rPr>
          <w:rFonts w:ascii="Arial" w:cs="Arial" w:eastAsia="Arial" w:hAnsi="Arial"/>
          <w:color w:val="333333"/>
          <w:sz w:val="21"/>
          <w:szCs w:val="21"/>
        </w:rPr>
        <w:t xml:space="preserve">Periodically recalculate rolling volatility from oracle price history and adjust the fee tier if using dynamic fees.</w:t>
      </w:r>
    </w:p>
    <w:p>
      <w:pPr>
        <w:spacing w:after="80"/>
      </w:pPr>
    </w:p>
    <w:p>
      <w:pPr>
        <w:spacing w:after="160" w:line="300"/>
      </w:pPr>
      <w:r>
        <w:rPr>
          <w:rFonts w:ascii="Arial" w:cs="Arial" w:eastAsia="Arial" w:hAnsi="Arial"/>
          <w:b/>
          <w:bCs/>
          <w:color w:val="333333"/>
          <w:sz w:val="21"/>
          <w:szCs w:val="21"/>
        </w:rPr>
        <w:t xml:space="preserve">Key insight: </w:t>
      </w:r>
      <w:r>
        <w:rPr>
          <w:rFonts w:ascii="Arial" w:cs="Arial" w:eastAsia="Arial" w:hAnsi="Arial"/>
          <w:b w:val="false"/>
          <w:bCs w:val="false"/>
          <w:color w:val="333333"/>
          <w:sz w:val="21"/>
          <w:szCs w:val="21"/>
        </w:rPr>
        <w:t xml:space="preserve">The agent is simultaneously the LP (earning fees on all swaps, including its own) and the primary arbitrageur. During the bootstrap phase, the agent’s arb swaps generate fees that flow back to its own LP position. The net cost is only the Uniswap protocol fee (a fraction of the swap fee) plus gas. As external volume grows, the agent becomes net profitable.</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7. Bootstrap to Maturity Lifecycle</w:t>
      </w:r>
    </w:p>
    <w:p>
      <w:pPr>
        <w:pStyle w:val="Heading2"/>
        <w:spacing w:before="300" w:after="160"/>
      </w:pPr>
      <w:r>
        <w:rPr>
          <w:rFonts w:ascii="Arial" w:cs="Arial" w:eastAsia="Arial" w:hAnsi="Arial"/>
          <w:b/>
          <w:bCs/>
          <w:color w:val="2D2D44"/>
          <w:sz w:val="26"/>
          <w:szCs w:val="26"/>
        </w:rPr>
        <w:t xml:space="preserve">7.1 Phase 1 — Bootstrap (Agent-Only)</w:t>
      </w:r>
    </w:p>
    <w:p>
      <w:pPr>
        <w:pStyle w:val="ListParagraph"/>
        <w:numPr>
          <w:ilvl w:val="0"/>
          <w:numId w:val="2"/>
        </w:numPr>
        <w:spacing w:after="100" w:line="280"/>
      </w:pPr>
      <w:r>
        <w:rPr>
          <w:rFonts w:ascii="Arial" w:cs="Arial" w:eastAsia="Arial" w:hAnsi="Arial"/>
          <w:color w:val="333333"/>
          <w:sz w:val="21"/>
          <w:szCs w:val="21"/>
        </w:rPr>
        <w:t xml:space="preserve">The agent is the sole LP and sole arbitrageur.</w:t>
      </w:r>
    </w:p>
    <w:p>
      <w:pPr>
        <w:pStyle w:val="ListParagraph"/>
        <w:numPr>
          <w:ilvl w:val="0"/>
          <w:numId w:val="2"/>
        </w:numPr>
        <w:spacing w:after="100" w:line="280"/>
      </w:pPr>
      <w:r>
        <w:rPr>
          <w:rFonts w:ascii="Arial" w:cs="Arial" w:eastAsia="Arial" w:hAnsi="Arial"/>
          <w:color w:val="333333"/>
          <w:sz w:val="21"/>
          <w:szCs w:val="21"/>
        </w:rPr>
        <w:t xml:space="preserve">Fee income from the agent’s own arb swaps roughly offsets (fees flow back to LP position minus protocol take).</w:t>
      </w:r>
    </w:p>
    <w:p>
      <w:pPr>
        <w:pStyle w:val="ListParagraph"/>
        <w:numPr>
          <w:ilvl w:val="0"/>
          <w:numId w:val="2"/>
        </w:numPr>
        <w:spacing w:after="100" w:line="280"/>
      </w:pPr>
      <w:r>
        <w:rPr>
          <w:rFonts w:ascii="Arial" w:cs="Arial" w:eastAsia="Arial" w:hAnsi="Arial"/>
          <w:color w:val="333333"/>
          <w:sz w:val="21"/>
          <w:szCs w:val="21"/>
        </w:rPr>
        <w:t xml:space="preserve">Net burn rate is minimal: gas costs + Uniswap protocol fee percentage.</w:t>
      </w:r>
    </w:p>
    <w:p>
      <w:pPr>
        <w:pStyle w:val="ListParagraph"/>
        <w:numPr>
          <w:ilvl w:val="0"/>
          <w:numId w:val="2"/>
        </w:numPr>
        <w:spacing w:after="100" w:line="280"/>
      </w:pPr>
      <w:r>
        <w:rPr>
          <w:rFonts w:ascii="Arial" w:cs="Arial" w:eastAsia="Arial" w:hAnsi="Arial"/>
          <w:color w:val="333333"/>
          <w:sz w:val="21"/>
          <w:szCs w:val="21"/>
        </w:rPr>
        <w:t xml:space="preserve">The pool establishes a track record of consistently tracking the oracle price.</w:t>
      </w:r>
    </w:p>
    <w:p>
      <w:pPr>
        <w:spacing w:after="80"/>
      </w:pPr>
    </w:p>
    <w:p>
      <w:pPr>
        <w:pStyle w:val="Heading2"/>
        <w:spacing w:before="300" w:after="160"/>
      </w:pPr>
      <w:r>
        <w:rPr>
          <w:rFonts w:ascii="Arial" w:cs="Arial" w:eastAsia="Arial" w:hAnsi="Arial"/>
          <w:b/>
          <w:bCs/>
          <w:color w:val="2D2D44"/>
          <w:sz w:val="26"/>
          <w:szCs w:val="26"/>
        </w:rPr>
        <w:t xml:space="preserve">7.2 Phase 2 — Credibility</w:t>
      </w:r>
    </w:p>
    <w:p>
      <w:pPr>
        <w:pStyle w:val="ListParagraph"/>
        <w:numPr>
          <w:ilvl w:val="0"/>
          <w:numId w:val="3"/>
        </w:numPr>
        <w:spacing w:after="100" w:line="280"/>
      </w:pPr>
      <w:r>
        <w:rPr>
          <w:rFonts w:ascii="Arial" w:cs="Arial" w:eastAsia="Arial" w:hAnsi="Arial"/>
          <w:color w:val="333333"/>
          <w:sz w:val="21"/>
          <w:szCs w:val="21"/>
        </w:rPr>
        <w:t xml:space="preserve">External observers notice the pool reliably pegs to oracle price over weeks/months.</w:t>
      </w:r>
    </w:p>
    <w:p>
      <w:pPr>
        <w:pStyle w:val="ListParagraph"/>
        <w:numPr>
          <w:ilvl w:val="0"/>
          <w:numId w:val="3"/>
        </w:numPr>
        <w:spacing w:after="100" w:line="280"/>
      </w:pPr>
      <w:r>
        <w:rPr>
          <w:rFonts w:ascii="Arial" w:cs="Arial" w:eastAsia="Arial" w:hAnsi="Arial"/>
          <w:color w:val="333333"/>
          <w:sz w:val="21"/>
          <w:szCs w:val="21"/>
        </w:rPr>
        <w:t xml:space="preserve">DeFi protocols and aggregators begin indexing the pool as a price source.</w:t>
      </w:r>
    </w:p>
    <w:p>
      <w:pPr>
        <w:pStyle w:val="ListParagraph"/>
        <w:numPr>
          <w:ilvl w:val="0"/>
          <w:numId w:val="3"/>
        </w:numPr>
        <w:spacing w:after="100" w:line="280"/>
      </w:pPr>
      <w:r>
        <w:rPr>
          <w:rFonts w:ascii="Arial" w:cs="Arial" w:eastAsia="Arial" w:hAnsi="Arial"/>
          <w:color w:val="333333"/>
          <w:sz w:val="21"/>
          <w:szCs w:val="21"/>
        </w:rPr>
        <w:t xml:space="preserve">Early organic trading volume begins—speculators, hedgers, or protocols needing on-chain price exposure to the asset class.</w:t>
      </w:r>
    </w:p>
    <w:p>
      <w:pPr>
        <w:pStyle w:val="ListParagraph"/>
        <w:numPr>
          <w:ilvl w:val="0"/>
          <w:numId w:val="3"/>
        </w:numPr>
        <w:spacing w:after="100" w:line="280"/>
      </w:pPr>
      <w:r>
        <w:rPr>
          <w:rFonts w:ascii="Arial" w:cs="Arial" w:eastAsia="Arial" w:hAnsi="Arial"/>
          <w:color w:val="333333"/>
          <w:sz w:val="21"/>
          <w:szCs w:val="21"/>
        </w:rPr>
        <w:t xml:space="preserve">External arb volume generates genuine fee income for the LP position.</w:t>
      </w:r>
    </w:p>
    <w:p>
      <w:pPr>
        <w:spacing w:after="80"/>
      </w:pPr>
    </w:p>
    <w:p>
      <w:pPr>
        <w:pStyle w:val="Heading2"/>
        <w:spacing w:before="300" w:after="160"/>
      </w:pPr>
      <w:r>
        <w:rPr>
          <w:rFonts w:ascii="Arial" w:cs="Arial" w:eastAsia="Arial" w:hAnsi="Arial"/>
          <w:b/>
          <w:bCs/>
          <w:color w:val="2D2D44"/>
          <w:sz w:val="26"/>
          <w:szCs w:val="26"/>
        </w:rPr>
        <w:t xml:space="preserve">7.3 Phase 3 — Self-Sustaining</w:t>
      </w:r>
    </w:p>
    <w:p>
      <w:pPr>
        <w:pStyle w:val="ListParagraph"/>
        <w:numPr>
          <w:ilvl w:val="0"/>
          <w:numId w:val="2"/>
        </w:numPr>
        <w:spacing w:after="100" w:line="280"/>
      </w:pPr>
      <w:r>
        <w:rPr>
          <w:rFonts w:ascii="Arial" w:cs="Arial" w:eastAsia="Arial" w:hAnsi="Arial"/>
          <w:color w:val="333333"/>
          <w:sz w:val="21"/>
          <w:szCs w:val="21"/>
        </w:rPr>
        <w:t xml:space="preserve">Organic volume exceeds the threshold where fee income consistently covers IL.</w:t>
      </w:r>
    </w:p>
    <w:p>
      <w:pPr>
        <w:pStyle w:val="ListParagraph"/>
        <w:numPr>
          <w:ilvl w:val="0"/>
          <w:numId w:val="2"/>
        </w:numPr>
        <w:spacing w:after="100" w:line="280"/>
      </w:pPr>
      <w:r>
        <w:rPr>
          <w:rFonts w:ascii="Arial" w:cs="Arial" w:eastAsia="Arial" w:hAnsi="Arial"/>
          <w:color w:val="333333"/>
          <w:sz w:val="21"/>
          <w:szCs w:val="21"/>
        </w:rPr>
        <w:t xml:space="preserve">The agent reduces arb frequency as external arbs maintain the peg.</w:t>
      </w:r>
    </w:p>
    <w:p>
      <w:pPr>
        <w:pStyle w:val="ListParagraph"/>
        <w:numPr>
          <w:ilvl w:val="0"/>
          <w:numId w:val="2"/>
        </w:numPr>
        <w:spacing w:after="100" w:line="280"/>
      </w:pPr>
      <w:r>
        <w:rPr>
          <w:rFonts w:ascii="Arial" w:cs="Arial" w:eastAsia="Arial" w:hAnsi="Arial"/>
          <w:color w:val="333333"/>
          <w:sz w:val="21"/>
          <w:szCs w:val="21"/>
        </w:rPr>
        <w:t xml:space="preserve">Additional LPs may deposit into the pool, deepening liquidity.</w:t>
      </w:r>
    </w:p>
    <w:p>
      <w:pPr>
        <w:pStyle w:val="ListParagraph"/>
        <w:numPr>
          <w:ilvl w:val="0"/>
          <w:numId w:val="2"/>
        </w:numPr>
        <w:spacing w:after="100" w:line="280"/>
      </w:pPr>
      <w:r>
        <w:rPr>
          <w:rFonts w:ascii="Arial" w:cs="Arial" w:eastAsia="Arial" w:hAnsi="Arial"/>
          <w:color w:val="333333"/>
          <w:sz w:val="21"/>
          <w:szCs w:val="21"/>
        </w:rPr>
        <w:t xml:space="preserve">The protocol earns ongoing revenue from the fee spread between pool income and operational costs.</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8. Economic Model</w:t>
      </w:r>
    </w:p>
    <w:p>
      <w:pPr>
        <w:pStyle w:val="Heading2"/>
        <w:spacing w:before="300" w:after="160"/>
      </w:pPr>
      <w:r>
        <w:rPr>
          <w:rFonts w:ascii="Arial" w:cs="Arial" w:eastAsia="Arial" w:hAnsi="Arial"/>
          <w:b/>
          <w:bCs/>
          <w:color w:val="2D2D44"/>
          <w:sz w:val="26"/>
          <w:szCs w:val="26"/>
        </w:rPr>
        <w:t xml:space="preserve">8.1 Revenue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LP Swap Fees</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Percentage of all swaps in the pool</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All phases</w:t>
            </w:r>
          </w:p>
        </w:tc>
      </w:tr>
      <w:tr>
        <w:tc>
          <w:tcPr>
            <w:tcW w:type="dxa" w:w="26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x402 Service Fee</w:t>
            </w:r>
          </w:p>
        </w:tc>
        <w:tc>
          <w:tcPr>
            <w:tcW w:type="dxa" w:w="3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Agent charges for research and deployment</w:t>
            </w:r>
          </w:p>
        </w:tc>
        <w:tc>
          <w:tcPr>
            <w:tcW w:type="dxa" w:w="3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One-time at creation</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Management Fee</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Ongoing fee for agent maintenance (optional)</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All phases</w:t>
            </w:r>
          </w:p>
        </w:tc>
      </w:tr>
      <w:tr>
        <w:tc>
          <w:tcPr>
            <w:tcW w:type="dxa" w:w="26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External LP Fees</w:t>
            </w:r>
          </w:p>
        </w:tc>
        <w:tc>
          <w:tcPr>
            <w:tcW w:type="dxa" w:w="3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If third-party LPs join, protocol takes a cut</w:t>
            </w:r>
          </w:p>
        </w:tc>
        <w:tc>
          <w:tcPr>
            <w:tcW w:type="dxa" w:w="3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Phase 3+</w:t>
            </w:r>
          </w:p>
        </w:tc>
      </w:tr>
    </w:tbl>
    <w:p>
      <w:pPr>
        <w:spacing w:after="80"/>
      </w:pPr>
    </w:p>
    <w:p>
      <w:pPr>
        <w:pStyle w:val="Heading2"/>
        <w:spacing w:before="300" w:after="160"/>
      </w:pPr>
      <w:r>
        <w:rPr>
          <w:rFonts w:ascii="Arial" w:cs="Arial" w:eastAsia="Arial" w:hAnsi="Arial"/>
          <w:b/>
          <w:bCs/>
          <w:color w:val="2D2D44"/>
          <w:sz w:val="26"/>
          <w:szCs w:val="26"/>
        </w:rPr>
        <w:t xml:space="preserve">8.2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Oracle Funding</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SOL/tokens to incentivize Switchboard oracles</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Ongoing (per update)</w:t>
            </w:r>
          </w:p>
        </w:tc>
      </w:tr>
      <w:tr>
        <w:tc>
          <w:tcPr>
            <w:tcW w:type="dxa" w:w="26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Gas Fees</w:t>
            </w:r>
          </w:p>
        </w:tc>
        <w:tc>
          <w:tcPr>
            <w:tcW w:type="dxa" w:w="3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Transaction costs for arb swaps</w:t>
            </w:r>
          </w:p>
        </w:tc>
        <w:tc>
          <w:tcPr>
            <w:tcW w:type="dxa" w:w="3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Per rebalance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Uniswap Protocol Fee</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Fraction of swap fees taken by Uniswap governance</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Per swap</w:t>
            </w:r>
          </w:p>
        </w:tc>
      </w:tr>
      <w:tr>
        <w:tc>
          <w:tcPr>
            <w:tcW w:type="dxa" w:w="26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Impermanent Loss</w:t>
            </w:r>
          </w:p>
        </w:tc>
        <w:tc>
          <w:tcPr>
            <w:tcW w:type="dxa" w:w="3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Loss from price divergence between rebalances</w:t>
            </w:r>
          </w:p>
        </w:tc>
        <w:tc>
          <w:tcPr>
            <w:tcW w:type="dxa" w:w="3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Continuous</w:t>
            </w:r>
          </w:p>
        </w:tc>
      </w:tr>
    </w:tbl>
    <w:p>
      <w:pPr>
        <w:spacing w:after="80"/>
      </w:pPr>
    </w:p>
    <w:p>
      <w:pPr>
        <w:pStyle w:val="Heading2"/>
        <w:spacing w:before="300" w:after="160"/>
      </w:pPr>
      <w:r>
        <w:rPr>
          <w:rFonts w:ascii="Arial" w:cs="Arial" w:eastAsia="Arial" w:hAnsi="Arial"/>
          <w:b/>
          <w:bCs/>
          <w:color w:val="2D2D44"/>
          <w:sz w:val="26"/>
          <w:szCs w:val="26"/>
        </w:rPr>
        <w:t xml:space="preserve">8.3 Break-Even Condition</w:t>
      </w:r>
    </w:p>
    <w:p>
      <w:pPr>
        <w:spacing w:after="160" w:line="300"/>
      </w:pPr>
      <w:r>
        <w:rPr>
          <w:rFonts w:ascii="Arial" w:cs="Arial" w:eastAsia="Arial" w:hAnsi="Arial"/>
          <w:color w:val="333333"/>
          <w:sz w:val="21"/>
          <w:szCs w:val="21"/>
        </w:rPr>
        <w:t xml:space="preserve">The protocol is self-sustaining when:</w:t>
      </w:r>
    </w:p>
    <w:p>
      <w:pPr>
        <w:spacing w:before="160" w:after="200"/>
        <w:jc w:val="center"/>
      </w:pPr>
      <w:r>
        <w:rPr>
          <w:rFonts w:ascii="Courier New" w:cs="Courier New" w:eastAsia="Courier New" w:hAnsi="Courier New"/>
          <w:b/>
          <w:bCs/>
          <w:color w:val="6C63FF"/>
          <w:sz w:val="22"/>
          <w:szCs w:val="22"/>
        </w:rPr>
        <w:t xml:space="preserve">Fee_Income − IL − Gas − Oracle_Cost &gt; 0</w:t>
      </w:r>
    </w:p>
    <w:p>
      <w:pPr>
        <w:spacing w:after="160" w:line="300"/>
      </w:pPr>
      <w:r>
        <w:rPr>
          <w:rFonts w:ascii="Arial" w:cs="Arial" w:eastAsia="Arial" w:hAnsi="Arial"/>
          <w:color w:val="333333"/>
          <w:sz w:val="21"/>
          <w:szCs w:val="21"/>
        </w:rPr>
        <w:t xml:space="preserve">By calibrating the fee tier to cover expected IL (the dominant cost), the remaining costs (gas on L2 and oracle funding) are marginal. On an L2 like Base or Arbitrum, gas per rebalance is typically under $0.10, making high-frequency rebalancing economically viable.</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9.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Oracle Manipulation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Thin or low-quality data sources could be manipulated to drain the pool through mispriced arb.</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Dual-oracle validation (Avantis-style 5% divergence circuit breaker); multiple data source aggregation in Switchboard feed.</w:t>
            </w:r>
          </w:p>
        </w:tc>
      </w:tr>
      <w:tr>
        <w:tc>
          <w:tcPr>
            <w:tcW w:type="dxa" w:w="2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Cold Start Volume</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No organic volume during bootstrap means the agent is the only trader, generating no net fee income.</w:t>
            </w:r>
          </w:p>
        </w:tc>
        <w:tc>
          <w:tcPr>
            <w:tcW w:type="dxa" w:w="2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Minimize bootstrap costs (L2 gas, low protocol fees). Fee structure ensures minimal bleed during low-volume phase.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Fee/Volume Tension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High fees needed for volatile assets may deter organic trading volume.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Dynamic fees that decrease as volume grows; wider rebalance threshold for volatile assets to reduce frequency.</w:t>
            </w:r>
          </w:p>
        </w:tc>
      </w:tr>
      <w:tr>
        <w:tc>
          <w:tcPr>
            <w:tcW w:type="dxa" w:w="2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Smart Contract Risk</w:t>
            </w:r>
          </w:p>
        </w:tc>
        <w:tc>
          <w:tcPr>
            <w:tcW w:type="dxa" w:w="43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Bugs in the synthetic token, fee hook, or agent logic could lead to fund loss.</w:t>
            </w:r>
          </w:p>
        </w:tc>
        <w:tc>
          <w:tcPr>
            <w:tcW w:type="dxa" w:w="2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Audit contracts; cap initial pool sizes; use battle-tested Uniswap infrastructure for pool mechanics.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Oracle Downtime</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If the Switchboard feed goes stale, the agent cannot rebalance, and pool price may drift.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Agent pauses rebalancing when oracle data is stale (&gt;N minutes old); alert system for operator.</w:t>
            </w:r>
          </w:p>
        </w:tc>
      </w:tr>
    </w:tbl>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10.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Runtime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Bun + TypeScript</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Fast, modern JS runtime with native TS support</w:t>
            </w:r>
          </w:p>
        </w:tc>
      </w:tr>
      <w:tr>
        <w:tc>
          <w:tcPr>
            <w:tcW w:type="dxa" w:w="2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Agent Framework</w:t>
            </w:r>
          </w:p>
        </w:tc>
        <w:tc>
          <w:tcPr>
            <w:tcW w:type="dxa" w:w="3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ElizaOS</w:t>
            </w:r>
          </w:p>
        </w:tc>
        <w:tc>
          <w:tcPr>
            <w:tcW w:type="dxa" w:w="37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Agentic framework with plugin architecture for autonomous operation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AI Research Agent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Kite AI</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Paid via x402 for data source discovery and evaluation</w:t>
            </w:r>
          </w:p>
        </w:tc>
      </w:tr>
      <w:tr>
        <w:tc>
          <w:tcPr>
            <w:tcW w:type="dxa" w:w="2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Payment Protocol</w:t>
            </w:r>
          </w:p>
        </w:tc>
        <w:tc>
          <w:tcPr>
            <w:tcW w:type="dxa" w:w="3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x402</w:t>
            </w:r>
          </w:p>
        </w:tc>
        <w:tc>
          <w:tcPr>
            <w:tcW w:type="dxa" w:w="37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HTTP-native micropayments for agent-to-agent and user-to-agent payments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Oracle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Switchboard</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Permissionless feed creation; on-demand pull oracles; TEE-secured compute</w:t>
            </w:r>
          </w:p>
        </w:tc>
      </w:tr>
      <w:tr>
        <w:tc>
          <w:tcPr>
            <w:tcW w:type="dxa" w:w="2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AMM / DEX</w:t>
            </w:r>
          </w:p>
        </w:tc>
        <w:tc>
          <w:tcPr>
            <w:tcW w:type="dxa" w:w="3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Uniswap V3 (V4 roadmap)</w:t>
            </w:r>
          </w:p>
        </w:tc>
        <w:tc>
          <w:tcPr>
            <w:tcW w:type="dxa" w:w="37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Concentrated liquidity pools; V4 hooks for dynamic fee adjustment</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Blockchain</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Base / Arbitrum</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EVM L2 for low gas costs enabling frequent rebalancing</w:t>
            </w:r>
          </w:p>
        </w:tc>
      </w:tr>
      <w:tr>
        <w:tc>
          <w:tcPr>
            <w:tcW w:type="dxa" w:w="24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Smart Contracts</w:t>
            </w:r>
          </w:p>
        </w:tc>
        <w:tc>
          <w:tcPr>
            <w:tcW w:type="dxa" w:w="32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Solidity</w:t>
            </w:r>
          </w:p>
        </w:tc>
        <w:tc>
          <w:tcPr>
            <w:tcW w:type="dxa" w:w="376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Synthetic ERC-20 token; optional V4 fee hook; pool router</w:t>
            </w:r>
          </w:p>
        </w:tc>
      </w:tr>
    </w:tbl>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11. Project Structure</w:t>
      </w:r>
    </w:p>
    <w:p>
      <w:pPr>
        <w:spacing w:after="80"/>
      </w:pPr>
    </w:p>
    <w:p>
      <w:pPr>
        <w:spacing w:after="60"/>
      </w:pPr>
      <w:r>
        <w:rPr>
          <w:rFonts w:ascii="Courier New" w:cs="Courier New" w:eastAsia="Courier New" w:hAnsi="Courier New"/>
          <w:b/>
          <w:bCs/>
          <w:color w:val="1A1A2E"/>
          <w:sz w:val="19"/>
          <w:szCs w:val="19"/>
        </w:rPr>
        <w:t xml:space="preserve">oracle-synthetic-protocol/</w:t>
      </w:r>
    </w:p>
    <w:p>
      <w:pPr>
        <w:spacing w:after="20"/>
        <w:ind w:left="360"/>
      </w:pPr>
      <w:r>
        <w:rPr>
          <w:rFonts w:ascii="Courier New" w:cs="Courier New" w:eastAsia="Courier New" w:hAnsi="Courier New"/>
          <w:color w:val="333333"/>
          <w:sz w:val="17"/>
          <w:szCs w:val="17"/>
        </w:rPr>
        <w:t xml:space="preserve">├── src/</w:t>
      </w:r>
    </w:p>
    <w:p>
      <w:pPr>
        <w:spacing w:after="20"/>
        <w:ind w:left="360"/>
      </w:pPr>
      <w:r>
        <w:rPr>
          <w:rFonts w:ascii="Courier New" w:cs="Courier New" w:eastAsia="Courier New" w:hAnsi="Courier New"/>
          <w:color w:val="333333"/>
          <w:sz w:val="17"/>
          <w:szCs w:val="17"/>
        </w:rPr>
        <w:t xml:space="preserve">│   ├── agents/</w:t>
      </w:r>
    </w:p>
    <w:p>
      <w:pPr>
        <w:spacing w:after="20"/>
        <w:ind w:left="360"/>
      </w:pPr>
      <w:r>
        <w:rPr>
          <w:rFonts w:ascii="Courier New" w:cs="Courier New" w:eastAsia="Courier New" w:hAnsi="Courier New"/>
          <w:color w:val="333333"/>
          <w:sz w:val="17"/>
          <w:szCs w:val="17"/>
        </w:rPr>
        <w:t xml:space="preserve">│   │   ├── kite-researcher/          # x402-paid data source discovery</w:t>
      </w:r>
    </w:p>
    <w:p>
      <w:pPr>
        <w:spacing w:after="20"/>
        <w:ind w:left="360"/>
      </w:pPr>
      <w:r>
        <w:rPr>
          <w:rFonts w:ascii="Courier New" w:cs="Courier New" w:eastAsia="Courier New" w:hAnsi="Courier New"/>
          <w:color w:val="333333"/>
          <w:sz w:val="17"/>
          <w:szCs w:val="17"/>
        </w:rPr>
        <w:t xml:space="preserve">│   │   │   ├── findDataSources.ts</w:t>
      </w:r>
    </w:p>
    <w:p>
      <w:pPr>
        <w:spacing w:after="20"/>
        <w:ind w:left="360"/>
      </w:pPr>
      <w:r>
        <w:rPr>
          <w:rFonts w:ascii="Courier New" w:cs="Courier New" w:eastAsia="Courier New" w:hAnsi="Courier New"/>
          <w:color w:val="333333"/>
          <w:sz w:val="17"/>
          <w:szCs w:val="17"/>
        </w:rPr>
        <w:t xml:space="preserve">│   │   │   └── evaluateSources.ts</w:t>
      </w:r>
    </w:p>
    <w:p>
      <w:pPr>
        <w:spacing w:after="20"/>
        <w:ind w:left="360"/>
      </w:pPr>
      <w:r>
        <w:rPr>
          <w:rFonts w:ascii="Courier New" w:cs="Courier New" w:eastAsia="Courier New" w:hAnsi="Courier New"/>
          <w:color w:val="333333"/>
          <w:sz w:val="17"/>
          <w:szCs w:val="17"/>
        </w:rPr>
        <w:t xml:space="preserve">│   │   ├── oracle-deployer/          # Switchboard feed deployment</w:t>
      </w:r>
    </w:p>
    <w:p>
      <w:pPr>
        <w:spacing w:after="20"/>
        <w:ind w:left="360"/>
      </w:pPr>
      <w:r>
        <w:rPr>
          <w:rFonts w:ascii="Courier New" w:cs="Courier New" w:eastAsia="Courier New" w:hAnsi="Courier New"/>
          <w:color w:val="333333"/>
          <w:sz w:val="17"/>
          <w:szCs w:val="17"/>
        </w:rPr>
        <w:t xml:space="preserve">│   │   │   ├── deployFeed.ts</w:t>
      </w:r>
    </w:p>
    <w:p>
      <w:pPr>
        <w:spacing w:after="20"/>
        <w:ind w:left="360"/>
      </w:pPr>
      <w:r>
        <w:rPr>
          <w:rFonts w:ascii="Courier New" w:cs="Courier New" w:eastAsia="Courier New" w:hAnsi="Courier New"/>
          <w:color w:val="333333"/>
          <w:sz w:val="17"/>
          <w:szCs w:val="17"/>
        </w:rPr>
        <w:t xml:space="preserve">│   │   │   └── fundFeed.ts</w:t>
      </w:r>
    </w:p>
    <w:p>
      <w:pPr>
        <w:spacing w:after="20"/>
        <w:ind w:left="360"/>
      </w:pPr>
      <w:r>
        <w:rPr>
          <w:rFonts w:ascii="Courier New" w:cs="Courier New" w:eastAsia="Courier New" w:hAnsi="Courier New"/>
          <w:color w:val="333333"/>
          <w:sz w:val="17"/>
          <w:szCs w:val="17"/>
        </w:rPr>
        <w:t xml:space="preserve">│   │   └── pool-manager/             # Rebalancing + fee calibration</w:t>
      </w:r>
    </w:p>
    <w:p>
      <w:pPr>
        <w:spacing w:after="20"/>
        <w:ind w:left="360"/>
      </w:pPr>
      <w:r>
        <w:rPr>
          <w:rFonts w:ascii="Courier New" w:cs="Courier New" w:eastAsia="Courier New" w:hAnsi="Courier New"/>
          <w:color w:val="333333"/>
          <w:sz w:val="17"/>
          <w:szCs w:val="17"/>
        </w:rPr>
        <w:t xml:space="preserve">│   │       ├── monitorSpread.ts</w:t>
      </w:r>
    </w:p>
    <w:p>
      <w:pPr>
        <w:spacing w:after="20"/>
        <w:ind w:left="360"/>
      </w:pPr>
      <w:r>
        <w:rPr>
          <w:rFonts w:ascii="Courier New" w:cs="Courier New" w:eastAsia="Courier New" w:hAnsi="Courier New"/>
          <w:color w:val="333333"/>
          <w:sz w:val="17"/>
          <w:szCs w:val="17"/>
        </w:rPr>
        <w:t xml:space="preserve">│   │       ├── executeArb.ts</w:t>
      </w:r>
    </w:p>
    <w:p>
      <w:pPr>
        <w:spacing w:after="20"/>
        <w:ind w:left="360"/>
      </w:pPr>
      <w:r>
        <w:rPr>
          <w:rFonts w:ascii="Courier New" w:cs="Courier New" w:eastAsia="Courier New" w:hAnsi="Courier New"/>
          <w:color w:val="333333"/>
          <w:sz w:val="17"/>
          <w:szCs w:val="17"/>
        </w:rPr>
        <w:t xml:space="preserve">│   │       └── calibrateFee.ts</w:t>
      </w:r>
    </w:p>
    <w:p>
      <w:pPr>
        <w:spacing w:after="20"/>
        <w:ind w:left="360"/>
      </w:pPr>
      <w:r>
        <w:rPr>
          <w:rFonts w:ascii="Courier New" w:cs="Courier New" w:eastAsia="Courier New" w:hAnsi="Courier New"/>
          <w:color w:val="333333"/>
          <w:sz w:val="17"/>
          <w:szCs w:val="17"/>
        </w:rPr>
        <w:t xml:space="preserve">│   ├── contracts/</w:t>
      </w:r>
    </w:p>
    <w:p>
      <w:pPr>
        <w:spacing w:after="20"/>
        <w:ind w:left="360"/>
      </w:pPr>
      <w:r>
        <w:rPr>
          <w:rFonts w:ascii="Courier New" w:cs="Courier New" w:eastAsia="Courier New" w:hAnsi="Courier New"/>
          <w:color w:val="333333"/>
          <w:sz w:val="17"/>
          <w:szCs w:val="17"/>
        </w:rPr>
        <w:t xml:space="preserve">│   │   ├── SyntheticToken.sol        # ERC-20 synthetic asset</w:t>
      </w:r>
    </w:p>
    <w:p>
      <w:pPr>
        <w:spacing w:after="20"/>
        <w:ind w:left="360"/>
      </w:pPr>
      <w:r>
        <w:rPr>
          <w:rFonts w:ascii="Courier New" w:cs="Courier New" w:eastAsia="Courier New" w:hAnsi="Courier New"/>
          <w:color w:val="333333"/>
          <w:sz w:val="17"/>
          <w:szCs w:val="17"/>
        </w:rPr>
        <w:t xml:space="preserve">│   │   ├── VolatilityFeeHook.sol     # Uniswap V4 dynamic fee hook</w:t>
      </w:r>
    </w:p>
    <w:p>
      <w:pPr>
        <w:spacing w:after="20"/>
        <w:ind w:left="360"/>
      </w:pPr>
      <w:r>
        <w:rPr>
          <w:rFonts w:ascii="Courier New" w:cs="Courier New" w:eastAsia="Courier New" w:hAnsi="Courier New"/>
          <w:color w:val="333333"/>
          <w:sz w:val="17"/>
          <w:szCs w:val="17"/>
        </w:rPr>
        <w:t xml:space="preserve">│   │   └── OracleReader.sol          # Switchboard integration</w:t>
      </w:r>
    </w:p>
    <w:p>
      <w:pPr>
        <w:spacing w:after="20"/>
        <w:ind w:left="360"/>
      </w:pPr>
      <w:r>
        <w:rPr>
          <w:rFonts w:ascii="Courier New" w:cs="Courier New" w:eastAsia="Courier New" w:hAnsi="Courier New"/>
          <w:color w:val="333333"/>
          <w:sz w:val="17"/>
          <w:szCs w:val="17"/>
        </w:rPr>
        <w:t xml:space="preserve">│   ├── plugins/</w:t>
      </w:r>
    </w:p>
    <w:p>
      <w:pPr>
        <w:spacing w:after="20"/>
        <w:ind w:left="360"/>
      </w:pPr>
      <w:r>
        <w:rPr>
          <w:rFonts w:ascii="Courier New" w:cs="Courier New" w:eastAsia="Courier New" w:hAnsi="Courier New"/>
          <w:color w:val="333333"/>
          <w:sz w:val="17"/>
          <w:szCs w:val="17"/>
        </w:rPr>
        <w:t xml:space="preserve">│   │   └── elizaos-oracle-listing/   # ElizaOS plugin wrapper</w:t>
      </w:r>
    </w:p>
    <w:p>
      <w:pPr>
        <w:spacing w:after="20"/>
        <w:ind w:left="360"/>
      </w:pPr>
      <w:r>
        <w:rPr>
          <w:rFonts w:ascii="Courier New" w:cs="Courier New" w:eastAsia="Courier New" w:hAnsi="Courier New"/>
          <w:color w:val="333333"/>
          <w:sz w:val="17"/>
          <w:szCs w:val="17"/>
        </w:rPr>
        <w:t xml:space="preserve">│   ├── lib/</w:t>
      </w:r>
    </w:p>
    <w:p>
      <w:pPr>
        <w:spacing w:after="20"/>
        <w:ind w:left="360"/>
      </w:pPr>
      <w:r>
        <w:rPr>
          <w:rFonts w:ascii="Courier New" w:cs="Courier New" w:eastAsia="Courier New" w:hAnsi="Courier New"/>
          <w:color w:val="333333"/>
          <w:sz w:val="17"/>
          <w:szCs w:val="17"/>
        </w:rPr>
        <w:t xml:space="preserve">│   │   ├── switchboard.ts            # Switchboard SDK helpers</w:t>
      </w:r>
    </w:p>
    <w:p>
      <w:pPr>
        <w:spacing w:after="20"/>
        <w:ind w:left="360"/>
      </w:pPr>
      <w:r>
        <w:rPr>
          <w:rFonts w:ascii="Courier New" w:cs="Courier New" w:eastAsia="Courier New" w:hAnsi="Courier New"/>
          <w:color w:val="333333"/>
          <w:sz w:val="17"/>
          <w:szCs w:val="17"/>
        </w:rPr>
        <w:t xml:space="preserve">│   │   ├── uniswap.ts                # Pool interaction helpers</w:t>
      </w:r>
    </w:p>
    <w:p>
      <w:pPr>
        <w:spacing w:after="20"/>
        <w:ind w:left="360"/>
      </w:pPr>
      <w:r>
        <w:rPr>
          <w:rFonts w:ascii="Courier New" w:cs="Courier New" w:eastAsia="Courier New" w:hAnsi="Courier New"/>
          <w:color w:val="333333"/>
          <w:sz w:val="17"/>
          <w:szCs w:val="17"/>
        </w:rPr>
        <w:t xml:space="preserve">│   │   ├── x402.ts                   # Payment protocol integration</w:t>
      </w:r>
    </w:p>
    <w:p>
      <w:pPr>
        <w:spacing w:after="20"/>
        <w:ind w:left="360"/>
      </w:pPr>
      <w:r>
        <w:rPr>
          <w:rFonts w:ascii="Courier New" w:cs="Courier New" w:eastAsia="Courier New" w:hAnsi="Courier New"/>
          <w:color w:val="333333"/>
          <w:sz w:val="17"/>
          <w:szCs w:val="17"/>
        </w:rPr>
        <w:t xml:space="preserve">│   │   └── volatility.ts             # Rolling vol + fee calculation</w:t>
      </w:r>
    </w:p>
    <w:p>
      <w:pPr>
        <w:spacing w:after="20"/>
        <w:ind w:left="360"/>
      </w:pPr>
      <w:r>
        <w:rPr>
          <w:rFonts w:ascii="Courier New" w:cs="Courier New" w:eastAsia="Courier New" w:hAnsi="Courier New"/>
          <w:color w:val="333333"/>
          <w:sz w:val="17"/>
          <w:szCs w:val="17"/>
        </w:rPr>
        <w:t xml:space="preserve">│   └── index.ts                  # Main entry point</w:t>
      </w:r>
    </w:p>
    <w:p>
      <w:pPr>
        <w:spacing w:after="20"/>
        <w:ind w:left="360"/>
      </w:pPr>
      <w:r>
        <w:rPr>
          <w:rFonts w:ascii="Courier New" w:cs="Courier New" w:eastAsia="Courier New" w:hAnsi="Courier New"/>
          <w:color w:val="333333"/>
          <w:sz w:val="17"/>
          <w:szCs w:val="17"/>
        </w:rPr>
        <w:t xml:space="preserve">├── config/</w:t>
      </w:r>
    </w:p>
    <w:p>
      <w:pPr>
        <w:spacing w:after="20"/>
        <w:ind w:left="360"/>
      </w:pPr>
      <w:r>
        <w:rPr>
          <w:rFonts w:ascii="Courier New" w:cs="Courier New" w:eastAsia="Courier New" w:hAnsi="Courier New"/>
          <w:color w:val="333333"/>
          <w:sz w:val="17"/>
          <w:szCs w:val="17"/>
        </w:rPr>
        <w:t xml:space="preserve">│   ├── default.yaml              # Default agent configuration</w:t>
      </w:r>
    </w:p>
    <w:p>
      <w:pPr>
        <w:spacing w:after="20"/>
        <w:ind w:left="360"/>
      </w:pPr>
      <w:r>
        <w:rPr>
          <w:rFonts w:ascii="Courier New" w:cs="Courier New" w:eastAsia="Courier New" w:hAnsi="Courier New"/>
          <w:color w:val="333333"/>
          <w:sz w:val="17"/>
          <w:szCs w:val="17"/>
        </w:rPr>
        <w:t xml:space="preserve">│   └── chains.yaml               # Supported chain configs</w:t>
      </w:r>
    </w:p>
    <w:p>
      <w:pPr>
        <w:spacing w:after="20"/>
        <w:ind w:left="360"/>
      </w:pPr>
      <w:r>
        <w:rPr>
          <w:rFonts w:ascii="Courier New" w:cs="Courier New" w:eastAsia="Courier New" w:hAnsi="Courier New"/>
          <w:color w:val="333333"/>
          <w:sz w:val="17"/>
          <w:szCs w:val="17"/>
        </w:rPr>
        <w:t xml:space="preserve">├── package.json</w:t>
      </w:r>
    </w:p>
    <w:p>
      <w:pPr>
        <w:spacing w:after="20"/>
        <w:ind w:left="360"/>
      </w:pPr>
      <w:r>
        <w:rPr>
          <w:rFonts w:ascii="Courier New" w:cs="Courier New" w:eastAsia="Courier New" w:hAnsi="Courier New"/>
          <w:color w:val="333333"/>
          <w:sz w:val="17"/>
          <w:szCs w:val="17"/>
        </w:rPr>
        <w:t xml:space="preserve">├── tsconfig.json</w:t>
      </w:r>
    </w:p>
    <w:p>
      <w:pPr>
        <w:spacing w:after="20"/>
        <w:ind w:left="360"/>
      </w:pPr>
      <w:r>
        <w:rPr>
          <w:rFonts w:ascii="Courier New" w:cs="Courier New" w:eastAsia="Courier New" w:hAnsi="Courier New"/>
          <w:color w:val="333333"/>
          <w:sz w:val="17"/>
          <w:szCs w:val="17"/>
        </w:rPr>
        <w:t xml:space="preserve">└── bunfig.toml</w:t>
      </w:r>
    </w:p>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12. Competitive Positioning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This Protocol</w:t>
            </w:r>
          </w:p>
        </w:tc>
        <w:tc>
          <w:tcPr>
            <w:tcW w:type="dxa" w:w="192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GMX</w:t>
            </w:r>
          </w:p>
        </w:tc>
        <w:tc>
          <w:tcPr>
            <w:tcW w:type="dxa" w:w="192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Avantis</w:t>
            </w:r>
          </w:p>
        </w:tc>
        <w:tc>
          <w:tcPr>
            <w:tcW w:type="dxa" w:w="192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AMM</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Permissionless Assets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Yes — any data feed</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 — governance-listed</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 — team-listed</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Yes — any ERC-20</w:t>
            </w:r>
          </w:p>
        </w:tc>
      </w:tr>
      <w:tr>
        <w:tc>
          <w:tcPr>
            <w:tcW w:type="dxa" w:w="1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Oracle-Anchored Pricing</w:t>
            </w:r>
          </w:p>
        </w:tc>
        <w:tc>
          <w:tcPr>
            <w:tcW w:type="dxa" w:w="1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192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192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192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No — arb-based</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IL Mitigation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Fee calibration</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 IL (vault model)</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 IL (vault model)</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None</w:t>
            </w:r>
          </w:p>
        </w:tc>
      </w:tr>
      <w:tr>
        <w:tc>
          <w:tcPr>
            <w:tcW w:type="dxa" w:w="1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b/>
                <w:bCs/>
                <w:color w:val="333333"/>
                <w:sz w:val="20"/>
                <w:szCs w:val="20"/>
              </w:rPr>
              <w:t xml:space="preserve">RWA Support</w:t>
            </w:r>
          </w:p>
        </w:tc>
        <w:tc>
          <w:tcPr>
            <w:tcW w:type="dxa" w:w="180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Any data source</w:t>
            </w:r>
          </w:p>
        </w:tc>
        <w:tc>
          <w:tcPr>
            <w:tcW w:type="dxa" w:w="192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Crypto only</w:t>
            </w:r>
          </w:p>
        </w:tc>
        <w:tc>
          <w:tcPr>
            <w:tcW w:type="dxa" w:w="192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Crypto + some RWA</w:t>
            </w:r>
          </w:p>
        </w:tc>
        <w:tc>
          <w:tcPr>
            <w:tcW w:type="dxa" w:w="1920"/>
            <w:tcBorders>
              <w:top w:val="single" w:color="D0D0D0" w:sz="1"/>
              <w:left w:val="single" w:color="D0D0D0" w:sz="1"/>
              <w:bottom w:val="single" w:color="D0D0D0" w:sz="1"/>
              <w:right w:val="single" w:color="D0D0D0" w:sz="1"/>
            </w:tcBorders>
            <w:shd w:fill="F7F7FB" w:val="clear"/>
            <w:tcMar>
              <w:top w:type="dxa" w:w="80"/>
              <w:left w:type="dxa" w:w="120"/>
              <w:bottom w:type="dxa" w:w="80"/>
              <w:right w:type="dxa" w:w="120"/>
            </w:tcMar>
          </w:tcPr>
          <w:p>
            <w:pPr>
              <w:spacing w:after="40"/>
            </w:pPr>
            <w:r>
              <w:rPr>
                <w:rFonts w:ascii="Arial" w:cs="Arial" w:eastAsia="Arial" w:hAnsi="Arial"/>
                <w:color w:val="333333"/>
                <w:sz w:val="20"/>
                <w:szCs w:val="20"/>
              </w:rPr>
              <w:t xml:space="preserve">Token pairs only</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Automated Setup</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 AI pipeline</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Manual</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Manual</w:t>
            </w:r>
          </w:p>
        </w:tc>
        <w:tc>
          <w:tcPr>
            <w:tcW w:type="dxa" w:w="19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Manual</w:t>
            </w:r>
          </w:p>
        </w:tc>
      </w:tr>
    </w:tbl>
    <w:p>
      <w:pPr>
        <w:pBdr>
          <w:bottom w:val="single" w:color="6C63FF" w:sz="4" w:space="1"/>
        </w:pBdr>
        <w:spacing w:before="200" w:after="200"/>
      </w:pPr>
    </w:p>
    <w:p>
      <w:pPr>
        <w:pStyle w:val="Heading1"/>
        <w:spacing w:before="360" w:after="200"/>
      </w:pPr>
      <w:r>
        <w:rPr>
          <w:rFonts w:ascii="Arial" w:cs="Arial" w:eastAsia="Arial" w:hAnsi="Arial"/>
          <w:b/>
          <w:bCs/>
          <w:color w:val="1A1A2E"/>
          <w:sz w:val="32"/>
          <w:szCs w:val="32"/>
        </w:rPr>
        <w:t xml:space="preserve">13. Future Roadmap</w:t>
      </w:r>
    </w:p>
    <w:p>
      <w:pPr>
        <w:spacing w:after="80"/>
      </w:pPr>
    </w:p>
    <w:p>
      <w:pPr>
        <w:spacing w:before="240" w:after="120"/>
      </w:pPr>
      <w:r>
        <w:rPr>
          <w:rFonts w:ascii="Arial" w:cs="Arial" w:eastAsia="Arial" w:hAnsi="Arial"/>
          <w:b/>
          <w:bCs/>
          <w:color w:val="6C63FF"/>
          <w:sz w:val="22"/>
          <w:szCs w:val="22"/>
        </w:rPr>
        <w:t xml:space="preserve">V1 — Hackathon MVP</w:t>
      </w:r>
    </w:p>
    <w:p>
      <w:pPr>
        <w:pStyle w:val="ListParagraph"/>
        <w:numPr>
          <w:ilvl w:val="0"/>
          <w:numId w:val="2"/>
        </w:numPr>
        <w:spacing w:after="100" w:line="280"/>
      </w:pPr>
      <w:r>
        <w:rPr>
          <w:rFonts w:ascii="Arial" w:cs="Arial" w:eastAsia="Arial" w:hAnsi="Arial"/>
          <w:color w:val="333333"/>
          <w:sz w:val="21"/>
          <w:szCs w:val="21"/>
        </w:rPr>
        <w:t xml:space="preserve">Kite agent researches data sources via x402 payment.</w:t>
      </w:r>
    </w:p>
    <w:p>
      <w:pPr>
        <w:pStyle w:val="ListParagraph"/>
        <w:numPr>
          <w:ilvl w:val="0"/>
          <w:numId w:val="2"/>
        </w:numPr>
        <w:spacing w:after="100" w:line="280"/>
      </w:pPr>
      <w:r>
        <w:rPr>
          <w:rFonts w:ascii="Arial" w:cs="Arial" w:eastAsia="Arial" w:hAnsi="Arial"/>
          <w:color w:val="333333"/>
          <w:sz w:val="21"/>
          <w:szCs w:val="21"/>
        </w:rPr>
        <w:t xml:space="preserve">Switchboard permissionless feed deployment.</w:t>
      </w:r>
    </w:p>
    <w:p>
      <w:pPr>
        <w:pStyle w:val="ListParagraph"/>
        <w:numPr>
          <w:ilvl w:val="0"/>
          <w:numId w:val="2"/>
        </w:numPr>
        <w:spacing w:after="100" w:line="280"/>
      </w:pPr>
      <w:r>
        <w:rPr>
          <w:rFonts w:ascii="Arial" w:cs="Arial" w:eastAsia="Arial" w:hAnsi="Arial"/>
          <w:color w:val="333333"/>
          <w:sz w:val="21"/>
          <w:szCs w:val="21"/>
        </w:rPr>
        <w:t xml:space="preserve">ERC-20 synthetic token + Uniswap V3 pool creation.</w:t>
      </w:r>
    </w:p>
    <w:p>
      <w:pPr>
        <w:pStyle w:val="ListParagraph"/>
        <w:numPr>
          <w:ilvl w:val="0"/>
          <w:numId w:val="2"/>
        </w:numPr>
        <w:spacing w:after="100" w:line="280"/>
      </w:pPr>
      <w:r>
        <w:rPr>
          <w:rFonts w:ascii="Arial" w:cs="Arial" w:eastAsia="Arial" w:hAnsi="Arial"/>
          <w:color w:val="333333"/>
          <w:sz w:val="21"/>
          <w:szCs w:val="21"/>
        </w:rPr>
        <w:t xml:space="preserve">Agent rebalancing loop with static fee tier based on initial volatility estimate.</w:t>
      </w:r>
    </w:p>
    <w:p>
      <w:pPr>
        <w:spacing w:after="80"/>
      </w:pPr>
    </w:p>
    <w:p>
      <w:pPr>
        <w:spacing w:before="240" w:after="120"/>
      </w:pPr>
      <w:r>
        <w:rPr>
          <w:rFonts w:ascii="Arial" w:cs="Arial" w:eastAsia="Arial" w:hAnsi="Arial"/>
          <w:b/>
          <w:bCs/>
          <w:color w:val="6C63FF"/>
          <w:sz w:val="22"/>
          <w:szCs w:val="22"/>
        </w:rPr>
        <w:t xml:space="preserve">V2 — Dynamic Fees and Multi-Asset</w:t>
      </w:r>
    </w:p>
    <w:p>
      <w:pPr>
        <w:pStyle w:val="ListParagraph"/>
        <w:numPr>
          <w:ilvl w:val="0"/>
          <w:numId w:val="3"/>
        </w:numPr>
        <w:spacing w:after="100" w:line="280"/>
      </w:pPr>
      <w:r>
        <w:rPr>
          <w:rFonts w:ascii="Arial" w:cs="Arial" w:eastAsia="Arial" w:hAnsi="Arial"/>
          <w:color w:val="333333"/>
          <w:sz w:val="21"/>
          <w:szCs w:val="21"/>
        </w:rPr>
        <w:t xml:space="preserve">Uniswap V4 hook for real-time volatility-based fee adjustment.</w:t>
      </w:r>
    </w:p>
    <w:p>
      <w:pPr>
        <w:pStyle w:val="ListParagraph"/>
        <w:numPr>
          <w:ilvl w:val="0"/>
          <w:numId w:val="3"/>
        </w:numPr>
        <w:spacing w:after="100" w:line="280"/>
      </w:pPr>
      <w:r>
        <w:rPr>
          <w:rFonts w:ascii="Arial" w:cs="Arial" w:eastAsia="Arial" w:hAnsi="Arial"/>
          <w:color w:val="333333"/>
          <w:sz w:val="21"/>
          <w:szCs w:val="21"/>
        </w:rPr>
        <w:t xml:space="preserve">Support for multiple concurrent oracle-backed pools managed by a single agent.</w:t>
      </w:r>
    </w:p>
    <w:p>
      <w:pPr>
        <w:pStyle w:val="ListParagraph"/>
        <w:numPr>
          <w:ilvl w:val="0"/>
          <w:numId w:val="3"/>
        </w:numPr>
        <w:spacing w:after="100" w:line="280"/>
      </w:pPr>
      <w:r>
        <w:rPr>
          <w:rFonts w:ascii="Arial" w:cs="Arial" w:eastAsia="Arial" w:hAnsi="Arial"/>
          <w:color w:val="333333"/>
          <w:sz w:val="21"/>
          <w:szCs w:val="21"/>
        </w:rPr>
        <w:t xml:space="preserve">External LP onboarding with protocol fee share.</w:t>
      </w:r>
    </w:p>
    <w:p>
      <w:pPr>
        <w:pStyle w:val="ListParagraph"/>
        <w:numPr>
          <w:ilvl w:val="0"/>
          <w:numId w:val="3"/>
        </w:numPr>
        <w:spacing w:after="100" w:line="280"/>
      </w:pPr>
      <w:r>
        <w:rPr>
          <w:rFonts w:ascii="Arial" w:cs="Arial" w:eastAsia="Arial" w:hAnsi="Arial"/>
          <w:color w:val="333333"/>
          <w:sz w:val="21"/>
          <w:szCs w:val="21"/>
        </w:rPr>
        <w:t xml:space="preserve">Dashboard for monitoring pool health, peg accuracy, and P&amp;L.</w:t>
      </w:r>
    </w:p>
    <w:p>
      <w:pPr>
        <w:spacing w:after="80"/>
      </w:pPr>
    </w:p>
    <w:p>
      <w:pPr>
        <w:spacing w:before="240" w:after="120"/>
      </w:pPr>
      <w:r>
        <w:rPr>
          <w:rFonts w:ascii="Arial" w:cs="Arial" w:eastAsia="Arial" w:hAnsi="Arial"/>
          <w:b/>
          <w:bCs/>
          <w:color w:val="6C63FF"/>
          <w:sz w:val="22"/>
          <w:szCs w:val="22"/>
        </w:rPr>
        <w:t xml:space="preserve">V3 — Protocol Expansion</w:t>
      </w:r>
    </w:p>
    <w:p>
      <w:pPr>
        <w:pStyle w:val="ListParagraph"/>
        <w:numPr>
          <w:ilvl w:val="0"/>
          <w:numId w:val="2"/>
        </w:numPr>
        <w:spacing w:after="100" w:line="280"/>
      </w:pPr>
      <w:r>
        <w:rPr>
          <w:rFonts w:ascii="Arial" w:cs="Arial" w:eastAsia="Arial" w:hAnsi="Arial"/>
          <w:color w:val="333333"/>
          <w:sz w:val="21"/>
          <w:szCs w:val="21"/>
        </w:rPr>
        <w:t xml:space="preserve">Governance token for protocol parameter management.</w:t>
      </w:r>
    </w:p>
    <w:p>
      <w:pPr>
        <w:pStyle w:val="ListParagraph"/>
        <w:numPr>
          <w:ilvl w:val="0"/>
          <w:numId w:val="2"/>
        </w:numPr>
        <w:spacing w:after="100" w:line="280"/>
      </w:pPr>
      <w:r>
        <w:rPr>
          <w:rFonts w:ascii="Arial" w:cs="Arial" w:eastAsia="Arial" w:hAnsi="Arial"/>
          <w:color w:val="333333"/>
          <w:sz w:val="21"/>
          <w:szCs w:val="21"/>
        </w:rPr>
        <w:t xml:space="preserve">Cross-chain deployment (Base, Arbitrum, Solana via Switchboard’s multi-chain support).</w:t>
      </w:r>
    </w:p>
    <w:p>
      <w:pPr>
        <w:pStyle w:val="ListParagraph"/>
        <w:numPr>
          <w:ilvl w:val="0"/>
          <w:numId w:val="2"/>
        </w:numPr>
        <w:spacing w:after="100" w:line="280"/>
      </w:pPr>
      <w:r>
        <w:rPr>
          <w:rFonts w:ascii="Arial" w:cs="Arial" w:eastAsia="Arial" w:hAnsi="Arial"/>
          <w:color w:val="333333"/>
          <w:sz w:val="21"/>
          <w:szCs w:val="21"/>
        </w:rPr>
        <w:t xml:space="preserve">Advanced agent strategies: multi-oracle validation, predictive rebalancing, MEV protection.</w:t>
      </w:r>
    </w:p>
    <w:p>
      <w:pPr>
        <w:pStyle w:val="ListParagraph"/>
        <w:numPr>
          <w:ilvl w:val="0"/>
          <w:numId w:val="2"/>
        </w:numPr>
        <w:spacing w:after="100" w:line="280"/>
      </w:pPr>
      <w:r>
        <w:rPr>
          <w:rFonts w:ascii="Arial" w:cs="Arial" w:eastAsia="Arial" w:hAnsi="Arial"/>
          <w:color w:val="333333"/>
          <w:sz w:val="21"/>
          <w:szCs w:val="21"/>
        </w:rPr>
        <w:t xml:space="preserve">Integration with lending protocols (synthetic tokens as collateral).</w:t>
      </w:r>
    </w:p>
    <w:p>
      <w:pPr>
        <w:pBdr>
          <w:bottom w:val="single" w:color="6C63FF" w:sz="4" w:space="1"/>
        </w:pBdr>
        <w:spacing w:before="200" w:after="200"/>
      </w:pPr>
    </w:p>
    <w:p>
      <w:pPr>
        <w:spacing w:after="80"/>
      </w:pPr>
    </w:p>
    <w:p>
      <w:pPr>
        <w:spacing w:before="200"/>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4"/>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i/>
        <w:iCs/>
        <w:color w:val="666666"/>
        <w:sz w:val="16"/>
        <w:szCs w:val="16"/>
      </w:rPr>
      <w:t xml:space="preserve">Oracle-Anchored Synthetic Asset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2026-02-20T07:11:00.057Z</dcterms:created>
  <dcterms:modified xsi:type="dcterms:W3CDTF">2026-02-20T07:11:00.058Z</dcterms:modified>
</cp:coreProperties>
</file>

<file path=docProps/custom.xml><?xml version="1.0" encoding="utf-8"?>
<Properties xmlns="http://schemas.openxmlformats.org/officeDocument/2006/custom-properties" xmlns:vt="http://schemas.openxmlformats.org/officeDocument/2006/docPropsVTypes"/>
</file>