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line="276" w:lineRule="auto"/>
        <w:jc w:val="center"/>
      </w:pPr>
      <w:r>
        <w:rPr>
          <w:rFonts w:ascii="Times New Roman" w:cs="Times New Roman" w:eastAsia="Times New Roman" w:hAnsi="Times New Roman"/>
          <w:b/>
          <w:bCs/>
          <w:i w:val="false"/>
          <w:iCs w:val="false"/>
          <w:color w:val="1F1F1F"/>
          <w:sz w:val="28"/>
          <w:szCs w:val="28"/>
        </w:rPr>
        <w:t xml:space="preserve">CET3006 Research Paper Assignment Cover Sheet</w:t>
      </w:r>
    </w:p>
    <w:p>
      <w:pPr>
        <w:spacing w:after="0" w:before="400"/>
      </w:pPr>
    </w:p>
    <w:p>
      <w:pPr>
        <w:spacing w:after="120" w:before="0" w:line="276" w:lineRule="auto"/>
        <w:jc w:val="center"/>
      </w:pPr>
      <w:r>
        <w:rPr>
          <w:rFonts w:ascii="Times New Roman" w:cs="Times New Roman" w:eastAsia="Times New Roman" w:hAnsi="Times New Roman"/>
          <w:b/>
          <w:bCs/>
          <w:i w:val="false"/>
          <w:iCs w:val="false"/>
          <w:color w:val="1F1F1F"/>
          <w:sz w:val="24"/>
          <w:szCs w:val="24"/>
        </w:rPr>
        <w:t xml:space="preserve">Student name: </w:t>
      </w:r>
      <w:r>
        <w:rPr>
          <w:rFonts w:ascii="Times New Roman" w:cs="Times New Roman" w:eastAsia="Times New Roman" w:hAnsi="Times New Roman"/>
          <w:b w:val="false"/>
          <w:bCs w:val="false"/>
          <w:i w:val="false"/>
          <w:iCs w:val="false"/>
          <w:color w:val="1F1F1F"/>
          <w:sz w:val="24"/>
          <w:szCs w:val="24"/>
        </w:rPr>
        <w:t xml:space="preserve">Abhay Kalathil Shinil</w:t>
      </w:r>
    </w:p>
    <w:p>
      <w:pPr>
        <w:spacing w:after="120" w:before="0" w:line="276" w:lineRule="auto"/>
        <w:jc w:val="center"/>
      </w:pPr>
      <w:r>
        <w:rPr>
          <w:rFonts w:ascii="Times New Roman" w:cs="Times New Roman" w:eastAsia="Times New Roman" w:hAnsi="Times New Roman"/>
          <w:b/>
          <w:bCs/>
          <w:i w:val="false"/>
          <w:iCs w:val="false"/>
          <w:color w:val="1F1F1F"/>
          <w:sz w:val="24"/>
          <w:szCs w:val="24"/>
        </w:rPr>
        <w:t xml:space="preserve">Student Registration Number: </w:t>
      </w:r>
      <w:r>
        <w:rPr>
          <w:rFonts w:ascii="Times New Roman" w:cs="Times New Roman" w:eastAsia="Times New Roman" w:hAnsi="Times New Roman"/>
          <w:b w:val="false"/>
          <w:bCs w:val="false"/>
          <w:i w:val="false"/>
          <w:iCs w:val="false"/>
          <w:color w:val="1F1F1F"/>
          <w:sz w:val="24"/>
          <w:szCs w:val="24"/>
        </w:rPr>
        <w:t xml:space="preserve">250202272</w:t>
      </w:r>
    </w:p>
    <w:p>
      <w:pPr>
        <w:spacing w:after="120" w:before="0" w:line="276" w:lineRule="auto"/>
        <w:jc w:val="center"/>
      </w:pPr>
      <w:r>
        <w:rPr>
          <w:rFonts w:ascii="Times New Roman" w:cs="Times New Roman" w:eastAsia="Times New Roman" w:hAnsi="Times New Roman"/>
          <w:b/>
          <w:bCs/>
          <w:i w:val="false"/>
          <w:iCs w:val="false"/>
          <w:color w:val="1F1F1F"/>
          <w:sz w:val="24"/>
          <w:szCs w:val="24"/>
        </w:rPr>
        <w:t xml:space="preserve">Students Degree: </w:t>
      </w:r>
      <w:r>
        <w:rPr>
          <w:rFonts w:ascii="Times New Roman" w:cs="Times New Roman" w:eastAsia="Times New Roman" w:hAnsi="Times New Roman"/>
          <w:b w:val="false"/>
          <w:bCs w:val="false"/>
          <w:i w:val="false"/>
          <w:iCs w:val="false"/>
          <w:color w:val="1F1F1F"/>
          <w:sz w:val="24"/>
          <w:szCs w:val="24"/>
        </w:rPr>
        <w:t xml:space="preserve">Computer Systems Engineering</w:t>
      </w:r>
    </w:p>
    <w:p>
      <w:pPr>
        <w:spacing w:after="0" w:before="240"/>
      </w:pPr>
    </w:p>
    <w:p>
      <w:pPr>
        <w:spacing w:after="120" w:before="0" w:line="276" w:lineRule="auto"/>
        <w:jc w:val="center"/>
      </w:pPr>
      <w:r>
        <w:rPr>
          <w:rFonts w:ascii="Times New Roman" w:cs="Times New Roman" w:eastAsia="Times New Roman" w:hAnsi="Times New Roman"/>
          <w:b/>
          <w:bCs/>
          <w:i w:val="false"/>
          <w:iCs w:val="false"/>
          <w:color w:val="1F1F1F"/>
          <w:sz w:val="24"/>
          <w:szCs w:val="24"/>
        </w:rPr>
        <w:t xml:space="preserve">Research Paper title: </w:t>
      </w:r>
      <w:r>
        <w:rPr>
          <w:rFonts w:ascii="Times New Roman" w:cs="Times New Roman" w:eastAsia="Times New Roman" w:hAnsi="Times New Roman"/>
          <w:b w:val="false"/>
          <w:bCs w:val="false"/>
          <w:i w:val="false"/>
          <w:iCs w:val="false"/>
          <w:color w:val="1F1F1F"/>
          <w:sz w:val="24"/>
          <w:szCs w:val="24"/>
        </w:rPr>
        <w:t xml:space="preserve">Uncertainty-Guided Label Noise Detection in Chest X-Ray Classification: A Data-Centric AI Approach</w:t>
      </w:r>
    </w:p>
    <w:p>
      <w:pPr>
        <w:spacing w:after="0" w:before="240"/>
      </w:pPr>
    </w:p>
    <w:p>
      <w:pPr>
        <w:spacing w:after="100" w:before="0" w:line="276" w:lineRule="auto"/>
        <w:jc w:val="center"/>
      </w:pPr>
      <w:r>
        <w:rPr>
          <w:rFonts w:ascii="Times New Roman" w:cs="Times New Roman" w:eastAsia="Times New Roman" w:hAnsi="Times New Roman"/>
          <w:b/>
          <w:bCs/>
          <w:i w:val="false"/>
          <w:iCs w:val="false"/>
          <w:color w:val="1F1F1F"/>
          <w:sz w:val="24"/>
          <w:szCs w:val="24"/>
        </w:rPr>
        <w:t xml:space="preserve">Word count: </w:t>
      </w:r>
      <w:r>
        <w:rPr>
          <w:rFonts w:ascii="Times New Roman" w:cs="Times New Roman" w:eastAsia="Times New Roman" w:hAnsi="Times New Roman"/>
          <w:b w:val="false"/>
          <w:bCs w:val="false"/>
          <w:i w:val="false"/>
          <w:iCs w:val="false"/>
          <w:color w:val="1F1F1F"/>
          <w:sz w:val="24"/>
          <w:szCs w:val="24"/>
        </w:rPr>
        <w:t xml:space="preserve">4,220</w:t>
      </w:r>
    </w:p>
    <w:p>
      <w:pPr>
        <w:sectPr>
          <w:pgSz w:w="12240" w:h="15840" w:orient="portrait"/>
          <w:pgMar w:top="1800" w:right="1440" w:bottom="1800" w:left="1440" w:header="708" w:footer="708" w:gutter="0"/>
          <w:pgNumType/>
          <w:docGrid w:linePitch="360"/>
        </w:sectPr>
      </w:pPr>
    </w:p>
    <w:p>
      <w:pPr>
        <w:spacing w:after="0" w:before="240"/>
      </w:pPr>
    </w:p>
    <w:p>
      <w:pPr>
        <w:spacing w:after="60" w:before="0" w:line="276" w:lineRule="auto"/>
        <w:jc w:val="center"/>
      </w:pPr>
      <w:r>
        <w:rPr>
          <w:rFonts w:ascii="Times New Roman" w:cs="Times New Roman" w:eastAsia="Times New Roman" w:hAnsi="Times New Roman"/>
          <w:b/>
          <w:bCs/>
          <w:i w:val="false"/>
          <w:iCs w:val="false"/>
          <w:color w:val="1F1F1F"/>
          <w:sz w:val="32"/>
          <w:szCs w:val="32"/>
        </w:rPr>
        <w:t xml:space="preserve">Uncertainty-Guided Label Noise Detection in Chest X-Ray Classification:</w:t>
      </w:r>
    </w:p>
    <w:p>
      <w:pPr>
        <w:spacing w:after="120" w:before="0" w:line="276" w:lineRule="auto"/>
        <w:jc w:val="center"/>
      </w:pPr>
      <w:r>
        <w:rPr>
          <w:rFonts w:ascii="Times New Roman" w:cs="Times New Roman" w:eastAsia="Times New Roman" w:hAnsi="Times New Roman"/>
          <w:b/>
          <w:bCs/>
          <w:i w:val="false"/>
          <w:iCs w:val="false"/>
          <w:color w:val="1F1F1F"/>
          <w:sz w:val="32"/>
          <w:szCs w:val="32"/>
        </w:rPr>
        <w:t xml:space="preserve">A Data-Centric AI Approach</w:t>
      </w:r>
    </w:p>
    <w:p>
      <w:pPr>
        <w:spacing w:after="80" w:before="0" w:line="276" w:lineRule="auto"/>
        <w:jc w:val="center"/>
      </w:pPr>
      <w:r>
        <w:rPr>
          <w:rFonts w:ascii="Times New Roman" w:cs="Times New Roman" w:eastAsia="Times New Roman" w:hAnsi="Times New Roman"/>
          <w:b w:val="false"/>
          <w:bCs w:val="false"/>
          <w:i w:val="false"/>
          <w:iCs w:val="false"/>
          <w:color w:val="1F1F1F"/>
          <w:sz w:val="24"/>
          <w:szCs w:val="24"/>
        </w:rPr>
        <w:t xml:space="preserve">Abhay Kalathil Shinil</w:t>
      </w:r>
    </w:p>
    <w:p>
      <w:pPr>
        <w:spacing w:after="0" w:before="240"/>
      </w:pPr>
    </w:p>
    <w:p>
      <w:pPr>
        <w:spacing w:after="80" w:before="0"/>
      </w:pPr>
      <w:r>
        <w:rPr>
          <w:rFonts w:ascii="Times New Roman" w:cs="Times New Roman" w:eastAsia="Times New Roman" w:hAnsi="Times New Roman"/>
          <w:b/>
          <w:bCs/>
          <w:color w:val="1F3864"/>
          <w:sz w:val="26"/>
          <w:szCs w:val="26"/>
        </w:rPr>
        <w:t xml:space="preserve">Abstract</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Label noise is a critical challenge in medical imaging datasets, where annotation errors substantially degrade the predictive performance of deep learning classifiers. This paper presents an uncertainty-guided data-centric pipeline for detecting and correcting label noise in chest X-ray pneumonia classification. Synthetic label noise is injected into 20% of training labels in the Chest X-Ray (Pneumonia) dataset, reducing the macro F1-score of a ResNet-18 classifier from 95.83% on clean data to 93.31% on corrupted data. Monte Carlo (MC) Dropout with T=30 stochastic forward passes is then applied to estimate predictive uncertainty for every training sample. A combined uncertainty score, blending normalised predictive variance and entropy, identifies 663 suspicious samples (16.2% of the training set) with a detection precision of 94.42% and recall of 76.34%.</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Two families of correction strategy are evaluated. Hard cleaning removes the top 10%, 20%, or 30% of the most uncertain flagged samples. Soft cleaning, implemented as a confidence-weighted loss function, retains all samples but downweights suspicious ones proportionally to their estimated uncertainty. Selective removal of only 10% of the flagged pool achieves the strongest recovery, improving F1-score by +1.21 percentage points over the noisy baseline. Aggressive removal of 20% is counter-productive, falling 0.63 percentage points below the uncorrected noisy model. The weighted loss approach provides a stable +0.81 percentage point improvement with no data removed. These findings demonstrate that data quality improvement is not equivalent to data reduction, and that principled uncertainty estimation can guide effective, minimal intervention in clinical imaging datasets.</w:t>
      </w:r>
    </w:p>
    <w:p>
      <w:pPr>
        <w:spacing w:after="0" w:before="120"/>
      </w:pPr>
    </w:p>
    <w:p>
      <w:pPr>
        <w:spacing w:after="80" w:before="0"/>
      </w:pPr>
      <w:r>
        <w:rPr>
          <w:rFonts w:ascii="Times New Roman" w:cs="Times New Roman" w:eastAsia="Times New Roman" w:hAnsi="Times New Roman"/>
          <w:b/>
          <w:bCs/>
          <w:color w:val="1F3864"/>
          <w:sz w:val="26"/>
          <w:szCs w:val="26"/>
        </w:rPr>
        <w:t xml:space="preserve">Contributions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This study makes the following contributions to the field of data-centric AI for medical imaging:</w:t>
      </w:r>
    </w:p>
    <w:p>
      <w:pPr>
        <w:pStyle w:val="ListParagraph"/>
        <w:numPr>
          <w:ilvl w:val="0"/>
          <w:numId w:val="2"/>
        </w:numPr>
        <w:spacing w:after="60" w:before="40"/>
      </w:pPr>
      <w:r>
        <w:rPr>
          <w:rFonts w:ascii="Times New Roman" w:cs="Times New Roman" w:eastAsia="Times New Roman" w:hAnsi="Times New Roman"/>
          <w:color w:val="1F1F1F"/>
          <w:sz w:val="24"/>
          <w:szCs w:val="24"/>
        </w:rPr>
        <w:t xml:space="preserve">First systematic comparison of hard and soft uncertainty-guided cleaning strategies on a medical imaging dataset. Previous work has evaluated hard deletion (Pleiss et al., 2020; Shen and Sanghavi, 2019) or soft weighting (Han et al., 2018) in isolation; this study directly compares both approaches across multiple cleaning thresholds under identical conditions.</w:t>
      </w:r>
    </w:p>
    <w:p>
      <w:pPr>
        <w:pStyle w:val="ListParagraph"/>
        <w:numPr>
          <w:ilvl w:val="0"/>
          <w:numId w:val="2"/>
        </w:numPr>
        <w:spacing w:after="60" w:before="40"/>
      </w:pPr>
      <w:r>
        <w:rPr>
          <w:rFonts w:ascii="Times New Roman" w:cs="Times New Roman" w:eastAsia="Times New Roman" w:hAnsi="Times New Roman"/>
          <w:color w:val="1F1F1F"/>
          <w:sz w:val="24"/>
          <w:szCs w:val="24"/>
        </w:rPr>
        <w:t xml:space="preserve">Empirical characterisation of the over-cleaning phenomenon. By training models at three cleaning fractions (10%, 20%, 30%), this study demonstrates that a threshold exists above which performance degrades below the noisy baseline, a finding not previously quantified for MC Dropout-guided cleaning on chest X-ray data.</w:t>
      </w:r>
    </w:p>
    <w:p>
      <w:pPr>
        <w:pStyle w:val="ListParagraph"/>
        <w:numPr>
          <w:ilvl w:val="0"/>
          <w:numId w:val="2"/>
        </w:numPr>
        <w:spacing w:after="60" w:before="40"/>
      </w:pPr>
      <w:r>
        <w:rPr>
          <w:rFonts w:ascii="Times New Roman" w:cs="Times New Roman" w:eastAsia="Times New Roman" w:hAnsi="Times New Roman"/>
          <w:color w:val="1F1F1F"/>
          <w:sz w:val="24"/>
          <w:szCs w:val="24"/>
        </w:rPr>
        <w:t xml:space="preserve">Validation that confident misprediction is a more reliable noise signal than raw predictive variance in moderate-noise settings. Of 663 flagged samples, 662 were identified via confident mismatch (Criterion B) rather than high variance (Criterion A), advancing understanding of which uncertainty signal is most useful for dataset auditing.</w:t>
      </w:r>
    </w:p>
    <w:p>
      <w:pPr>
        <w:pStyle w:val="ListParagraph"/>
        <w:numPr>
          <w:ilvl w:val="0"/>
          <w:numId w:val="2"/>
        </w:numPr>
        <w:spacing w:after="60" w:before="40"/>
      </w:pPr>
      <w:r>
        <w:rPr>
          <w:rFonts w:ascii="Times New Roman" w:cs="Times New Roman" w:eastAsia="Times New Roman" w:hAnsi="Times New Roman"/>
          <w:color w:val="1F1F1F"/>
          <w:sz w:val="24"/>
          <w:szCs w:val="24"/>
        </w:rPr>
        <w:t xml:space="preserve">Actionable guidance for clinical data curation. The pipeline produces a ranked, precision-94.42% list of suspicious samples, offering a practical tool for radiologists conducting dataset quality audits prior to model deployment.</w:t>
      </w:r>
    </w:p>
    <w:p>
      <w:pPr>
        <w:spacing w:after="0" w:before="120"/>
      </w:pPr>
    </w:p>
    <w:p>
      <w:pPr>
        <w:spacing w:after="80" w:before="240"/>
      </w:pPr>
      <w:r>
        <w:rPr>
          <w:rFonts w:ascii="Times New Roman" w:cs="Times New Roman" w:eastAsia="Times New Roman" w:hAnsi="Times New Roman"/>
          <w:b/>
          <w:bCs/>
          <w:color w:val="1F3864"/>
          <w:sz w:val="28"/>
          <w:szCs w:val="28"/>
        </w:rPr>
        <w:t xml:space="preserve">1. Introduction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widespread adoption of deep learning in clinical radiology has introduced significant pressure on the quality of annotated training data. Chest X-ray interpretation is one of the most common radiological tasks globally, and binary pneumonia versus normal classification represents a widely studied benchmark problem in medical AI (Rajpurkar et al., 2017). However, large-scale chest X-ray datasets are routinely assembled under conditions that introduce annotation errors: images may be labelled by non-specialist annotators, automated pipelines introduce systematic noise, and even expert radiologists exhibit inter-rater disagreement rates of 15-30% on ambiguous cases (Oakden-Rayner et al., 2020).</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Label noise degrades deep classifier performance through two mechanisms. First, noisy labels corrupt the supervisory signal during backpropagation, causing the model to learn incorrect decision boundaries. Second, as Zhang et al. (2021) demonstrated, deep neural networks possess sufficient memorisation capacity to fit training labels regardless of their correctness, meaning noise is compounded rather than averaged out over training epochs. For clinical applications such as pneumonia screening, where false negatives carry direct patient safety consequences, this degradation is unacceptable.</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dominant response in the medical AI literature has been model-centric: larger architectures, stronger regularisation, and larger datasets. Far less attention has been paid to the systematic identification and correction of label errors in existing training sets. Data-centric AI challenges this paradigm, arguing that consistent data quality improvement produces more robust models than architectural scaling alone (Ng, 2021; Northcutt et al., 2021). Despite this, few studies have applied principled uncertainty-based noise detection to medical imaging and empirically compared different correction strategies on downstream classification performance.</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This paper addresses three research questions: (1) Can Monte Carlo Dropout uncertainty reliably identify mislabelled training samples in a chest X-ray dataset? (2) At what cleaning threshold does sample removal begin to harm rather than improve generalisation? (3) Does confidence-weighted soft training provide a viable alternative to hard deletion when data is limited? These questions are investigated through a controlled six-model experiment in which synthetic label noise is injected, a ResNet-18 classifier is trained and evaluated under six distinct conditions, and detection performance is measured against a known noise ground truth.</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remainder of this paper is organised as follows: Section 2 reviews related work in label noise learning, uncertainty estimation, and data-centric AI for medical imaging. Section 3 describes the proposed methodology and pipeline architecture. Section 4 presents the experimental setup, results, and discussion. Section 5 draws conclusions. Section 6 addresses limitations and future research directions.</w:t>
      </w:r>
    </w:p>
    <w:p>
      <w:pPr>
        <w:spacing w:after="80" w:before="240"/>
      </w:pPr>
      <w:r>
        <w:rPr>
          <w:rFonts w:ascii="Times New Roman" w:cs="Times New Roman" w:eastAsia="Times New Roman" w:hAnsi="Times New Roman"/>
          <w:b/>
          <w:bCs/>
          <w:color w:val="1F3864"/>
          <w:sz w:val="28"/>
          <w:szCs w:val="28"/>
        </w:rPr>
        <w:t xml:space="preserve">2. Literature Review</w:t>
      </w:r>
    </w:p>
    <w:p>
      <w:pPr>
        <w:spacing w:after="60" w:before="160"/>
      </w:pPr>
      <w:r>
        <w:rPr>
          <w:rFonts w:ascii="Times New Roman" w:cs="Times New Roman" w:eastAsia="Times New Roman" w:hAnsi="Times New Roman"/>
          <w:b/>
          <w:bCs/>
          <w:color w:val="1F1F1F"/>
          <w:sz w:val="24"/>
          <w:szCs w:val="24"/>
        </w:rPr>
        <w:t xml:space="preserve">2.1 Data-Centric AI and Label Quality</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data-centric AI movement, formalised by Ng (2021), represents a fundamental shift in machine learning practice: rather than treating datasets as fixed inputs and optimising model architectures, data-centric approaches systematically improve the data itself. Northcutt et al. (2021) introduced confident learning as a framework for estimating uncertainty in dataset labels, demonstrating that widely used benchmarks including ImageNet and CIFAR-10 contain non-trivial annotation error rates. Their central finding is that systematic label auditing can improve trained model performance without any architectural changes, directly supporting the motivation of the present study.</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medical imaging domain presents particularly acute data quality challenges. Oakden-Rayner et al. (2020) conducted a systematic analysis of hidden stratification in clinical machine learning datasets, identifying structured subgroup-level failure modes arising from inconsistent labelling practices in the NIH ChestXray14 dataset. Critically, they found that label errors are not uniformly distributed but cluster around ambiguous and borderline cases -- precisely the samples where learnt uncertainty is expected to be highest. This observation motivates the uncertainty-based detection approach adopted here.</w:t>
      </w:r>
    </w:p>
    <w:p>
      <w:pPr>
        <w:spacing w:after="60" w:before="160"/>
      </w:pPr>
      <w:r>
        <w:rPr>
          <w:rFonts w:ascii="Times New Roman" w:cs="Times New Roman" w:eastAsia="Times New Roman" w:hAnsi="Times New Roman"/>
          <w:b/>
          <w:bCs/>
          <w:color w:val="1F1F1F"/>
          <w:sz w:val="24"/>
          <w:szCs w:val="24"/>
        </w:rPr>
        <w:t xml:space="preserve">2.2 Learning with Noisy Labels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Systematic approaches to identifying and filtering mislabelled training data have a long history. Brodley and Friedl (1999) proposed ensemble-based disagreement filtering, achieving accuracy improvements on UCI benchmarks, establishing the filter-then-retrain paradigm that underlies the hard cleaning strategy evaluated in this paper. More recent work has developed loss correction methods: Patrini et al. (2017) estimated the label transition matrix and adjusted the cross-entropy loss accordingly on CIFAR-10 and MNIST, while Natarajan et al. (2013) derived theoretically grounded loss functions robust to symmetric label noise. However, these methods do not explicitly identify individual suspicious samples and therefore cannot support human-in-the-loop dataset auditing.</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Han et al. (2018) introduced Co-teaching, training two networks simultaneously and using their mutual disagreement to identify clean samples. Li et al. (2020) extended this to DivideMix, treating uncertain samples as unlabelled within a semi-supervised framework. While effective under high noise rates, both methods require training multiple networks and produce no explicit ranked list of suspicious samples. Song et al. (2022) surveyed this area comprehensively, noting that robustness-focused methods sacrifice interpretability, making them unsuitable for regulated clinical environments where data curation decisions must be auditable. Zheng et al. (2021) proposed meta label correction to adaptively reweight labels during training, achieving strong results on CIFAR-100 but similarly providing no explicit detection output. Shen and Sanghavi (2019) used iterative trimmed loss minimisation to identify and remove the highest-loss samples, sharing conceptual overlap with the hard cleaning strategy in this paper.</w:t>
      </w:r>
    </w:p>
    <w:p>
      <w:pPr>
        <w:spacing w:after="60" w:before="160"/>
      </w:pPr>
      <w:r>
        <w:rPr>
          <w:rFonts w:ascii="Times New Roman" w:cs="Times New Roman" w:eastAsia="Times New Roman" w:hAnsi="Times New Roman"/>
          <w:b/>
          <w:bCs/>
          <w:color w:val="1F1F1F"/>
          <w:sz w:val="24"/>
          <w:szCs w:val="24"/>
        </w:rPr>
        <w:t xml:space="preserve">2.3 Uncertainty Estimation via Monte Carlo Dropout</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Gal and Ghahramani (2016) established that applying dropout at inference time and averaging multiple stochastic forward passes approximates Bayesian inference in deep neural networks. This approach requires no modification to model architecture beyond standard dropout layers, making it applicable to existing pretrained classifiers. Lakshminarayanan et al. (2017) compared MC Dropout to deep ensembles, finding that ensembles provide better-calibrated uncertainty but at substantially higher computational cost. For the noise ranking application in this paper, relative ordering of samples by suspiciousness is sufficient, making MC Dropout an appropriate and efficient choice.</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Pleiss et al. (2020) proposed using the area under the margin (AUM) -- a training dynamics statistic -- to identify mislabelled samples, achieving high recall on CIFAR datasets. Their method requires access to per-sample loss trajectories across multiple epochs, whereas MC Dropout requires only a single trained model and T inference passes. This makes the MC Dropout approach more suitable for post-hoc dataset auditing scenarios where retraining logs are unavailable. Arpit et al. (2017) provided complementary insight into memorisation dynamics, showing that deep networks learn generalisable patterns before memorising noisy labels -- an observation that explains why the Criterion B signal (confident misprediction) dominates Criterion A (high variance) in this study.</w:t>
      </w:r>
    </w:p>
    <w:p>
      <w:pPr>
        <w:spacing w:after="60" w:before="160"/>
      </w:pPr>
      <w:r>
        <w:rPr>
          <w:rFonts w:ascii="Times New Roman" w:cs="Times New Roman" w:eastAsia="Times New Roman" w:hAnsi="Times New Roman"/>
          <w:b/>
          <w:bCs/>
          <w:color w:val="1F1F1F"/>
          <w:sz w:val="24"/>
          <w:szCs w:val="24"/>
        </w:rPr>
        <w:t xml:space="preserve">2.4 Deep Learning for Chest X-Ray Classification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ResNet architectures have been extensively benchmarked on chest X-ray classification. Rajpurkar et al. (2017) demonstrated with CheXNet that DenseNet-121 trained on sufficient clean data can approach radiologist-level performance on pneumonia detection, establishing the performance ceiling for this problem domain. He et al. (2016) introduced residual connections that enable training of very deep networks without gradient vanishing; the ResNet-18 variant used in this study provides a reproducible and widely benchmarked baseline for binary classification. Irvin et al. (2019) released CheXpert with uncertainty labels capturing genuine annotation disagreement among radiologists, providing a dataset where real label noise is documented rather than simulated -- a target for future validation of the pipeline proposed here.</w:t>
      </w:r>
    </w:p>
    <w:p>
      <w:pPr>
        <w:spacing w:after="60" w:before="160"/>
      </w:pPr>
      <w:r>
        <w:rPr>
          <w:rFonts w:ascii="Times New Roman" w:cs="Times New Roman" w:eastAsia="Times New Roman" w:hAnsi="Times New Roman"/>
          <w:b/>
          <w:bCs/>
          <w:color w:val="1F1F1F"/>
          <w:sz w:val="24"/>
          <w:szCs w:val="24"/>
        </w:rPr>
        <w:t xml:space="preserve">2.5 Research Gap</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literature reveals a clear gap. Robust loss methods and co-training approaches address noise robustness but do not identify and rank suspicious samples. Confident learning and AUM ranking identify samples but do not compare hard removal against soft weighting across multiple thresholds. Crucially, no study has empirically characterised the over-cleaning phenomenon -- where aggressive removal degrades performance below the noisy baseline -- on a medical imaging dataset with a known noise ground truth. This study addresses that gap directly by comparing six model conditions with identical evaluation protocols and measuring both detection quality and downstream classification recovery.</w:t>
      </w:r>
    </w:p>
    <w:p>
      <w:pPr>
        <w:spacing w:after="80" w:before="240"/>
      </w:pPr>
      <w:r>
        <w:rPr>
          <w:rFonts w:ascii="Times New Roman" w:cs="Times New Roman" w:eastAsia="Times New Roman" w:hAnsi="Times New Roman"/>
          <w:b/>
          <w:bCs/>
          <w:color w:val="1F3864"/>
          <w:sz w:val="28"/>
          <w:szCs w:val="28"/>
        </w:rPr>
        <w:t xml:space="preserve">3. Proposed Research Methodology</w:t>
      </w:r>
    </w:p>
    <w:p>
      <w:pPr>
        <w:spacing w:after="60" w:before="160"/>
      </w:pPr>
      <w:r>
        <w:rPr>
          <w:rFonts w:ascii="Times New Roman" w:cs="Times New Roman" w:eastAsia="Times New Roman" w:hAnsi="Times New Roman"/>
          <w:b/>
          <w:bCs/>
          <w:color w:val="1F1F1F"/>
          <w:sz w:val="24"/>
          <w:szCs w:val="24"/>
        </w:rPr>
        <w:t xml:space="preserve">3.1 Research Design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This study adopts a controlled experimental design in which a single dataset undergoes systematic noise injection, followed by uncertainty-guided detection and correction under six independent conditions. All conditions share identical preprocessing, architecture, optimiser settings, and evaluation protocols, ensuring that observed performance differences are attributable solely to the correction strategy. A fixed random seed (42) is used throughout for reproducibility. The pipeline is implemented in Python using PyTorch 2.11, torchvision, and scikit-learn.</w:t>
      </w:r>
    </w:p>
    <w:p>
      <w:pPr>
        <w:spacing w:after="60" w:before="160"/>
      </w:pPr>
      <w:r>
        <w:rPr>
          <w:rFonts w:ascii="Times New Roman" w:cs="Times New Roman" w:eastAsia="Times New Roman" w:hAnsi="Times New Roman"/>
          <w:b/>
          <w:bCs/>
          <w:color w:val="1F1F1F"/>
          <w:sz w:val="24"/>
          <w:szCs w:val="24"/>
        </w:rPr>
        <w:t xml:space="preserve">3.2 Dataset</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Chest X-Ray Images (Pneumonia) dataset, collected from the Guangzhou Women and Children's Medical Center and publicly available on Kaggle, contains 5,856 chest radiographs categorised as NORMAL (1,583 images) or PNEUMONIA (4,273 images). The dataset is split with stratified sampling into training (4,099 images), validation (878 images), and test (879 images) sets. The class imbalance (approximately 1:2.7) is retained without resampling to reflect genuine clinical population distributions. All images are resized to 224x224 pixels and normalised using ImageNet statistics. Training images receive random horizontal flipping and random cropping augmentation; validation and test images receive centre-cropping only.</w:t>
      </w:r>
    </w:p>
    <w:p>
      <w:pPr>
        <w:spacing w:after="60" w:before="160"/>
      </w:pPr>
      <w:r>
        <w:rPr>
          <w:rFonts w:ascii="Times New Roman" w:cs="Times New Roman" w:eastAsia="Times New Roman" w:hAnsi="Times New Roman"/>
          <w:b/>
          <w:bCs/>
          <w:color w:val="1F1F1F"/>
          <w:sz w:val="24"/>
          <w:szCs w:val="24"/>
        </w:rPr>
        <w:t xml:space="preserve">3.3 Model Architecture and Training</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A ResNet-18 network pretrained on ImageNet is used as the backbone (He et al., 2016). The final fully connected layer is replaced with a dropout layer (p=0.3) followed by a linear layer mapping 512 features to 2 output classes. All models are trained using the Adam optimiser (learning rate = 1e-4) with early stopping (patience=5, delta=1e-4) monitored on validation loss. The best checkpoint by validation loss is saved and restored before evaluation on the held-out test set.</w:t>
      </w:r>
    </w:p>
    <w:p>
      <w:pPr>
        <w:spacing w:after="60" w:before="160"/>
      </w:pPr>
      <w:r>
        <w:rPr>
          <w:rFonts w:ascii="Times New Roman" w:cs="Times New Roman" w:eastAsia="Times New Roman" w:hAnsi="Times New Roman"/>
          <w:b/>
          <w:bCs/>
          <w:color w:val="1F1F1F"/>
          <w:sz w:val="24"/>
          <w:szCs w:val="24"/>
        </w:rPr>
        <w:t xml:space="preserve">3.4 Noise Injection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Synthetic label noise is introduced by randomly relabelling 20% of training samples (820 images) to the opposite class after splitting, so that validation and test sets remain clean throughout. This rate is consistent with documented inter-rater disagreement in radiological annotation (Oakden-Rayner et al., 2020) and represents a realistic moderate-noise scenario for clinical dataset simulation.</w:t>
      </w:r>
    </w:p>
    <w:p>
      <w:pPr>
        <w:spacing w:after="60" w:before="160"/>
      </w:pPr>
      <w:r>
        <w:rPr>
          <w:rFonts w:ascii="Times New Roman" w:cs="Times New Roman" w:eastAsia="Times New Roman" w:hAnsi="Times New Roman"/>
          <w:b/>
          <w:bCs/>
          <w:color w:val="1F1F1F"/>
          <w:sz w:val="24"/>
          <w:szCs w:val="24"/>
        </w:rPr>
        <w:t xml:space="preserve">3.5 Uncertainty Estimation and Error Detection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After training the noisy baseline, MC Dropout is applied over the entire training set with T=30 stochastic inference passes per sample (Gal and Ghahramani, 2016). Predictive variance (maximum class variance across T passes) and predictive entropy (H = -sum(p_mean * log(p_mean + eps))) are computed and combined into a single score via min-max normalisation and blending with alpha=0.5. Samples are flagged under Criterion A (combined score exceeds a calibrated threshold) or Criterion B (model predicts a different class from the training label with confidence &gt;60%).</w:t>
      </w:r>
    </w:p>
    <w:p>
      <w:pPr>
        <w:spacing w:after="60" w:before="160"/>
      </w:pPr>
      <w:r>
        <w:rPr>
          <w:rFonts w:ascii="Times New Roman" w:cs="Times New Roman" w:eastAsia="Times New Roman" w:hAnsi="Times New Roman"/>
          <w:b/>
          <w:bCs/>
          <w:color w:val="1F1F1F"/>
          <w:sz w:val="24"/>
          <w:szCs w:val="24"/>
        </w:rPr>
        <w:t xml:space="preserve">3.6 Correction Strategies and Evaluation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Hard cleaning trains three models by removing the top k% of the ranked flagged pool (k=10, 20, 30), reducing the training set to 4,033, 3,966, and 3,900 samples respectively. Soft cleaning trains a single model retaining all 4,099 samples but assigns linear loss weights from the weight floor (0.2 for the most uncertain flagged sample) to 1.0, with the training loss computed as the weighted mean cross-entropy per sample. All six models (clean baseline, noisy baseline, three hard-cleaning variants, one weighted variant) are evaluated on the clean test set using macro-averaged accuracy, precision, recall, and F1-score.</w:t>
      </w:r>
    </w:p>
    <w:p>
      <w:pPr>
        <w:spacing w:after="0" w:before="120"/>
      </w:pPr>
    </w:p>
    <w:p>
      <w:pPr>
        <w:pBdr>
          <w:top w:val="single" w:color="AAAAAA" w:sz="4"/>
          <w:left w:val="single" w:color="AAAAAA" w:sz="4"/>
          <w:bottom w:val="single" w:color="AAAAAA" w:sz="4"/>
          <w:right w:val="single" w:color="AAAAAA" w:sz="4"/>
        </w:pBdr>
        <w:shd w:fill="F5F5F5" w:val="clear"/>
        <w:spacing w:after="60" w:before="160"/>
        <w:jc w:val="center"/>
      </w:pPr>
      <w:r>
        <w:rPr>
          <w:rFonts w:ascii="Times New Roman" w:cs="Times New Roman" w:eastAsia="Times New Roman" w:hAnsi="Times New Roman"/>
          <w:i/>
          <w:iCs/>
          <w:color w:val="888888"/>
          <w:sz w:val="22"/>
          <w:szCs w:val="22"/>
        </w:rPr>
        <w:t>[ Figure 1 — Insert pipeline architecture diagram: six-stage workflow from data loading through noise injection, MC Dropout estimation, error detection, correction strategy application, and evaluation. ]</w:t>
      </w:r>
    </w:p>
    <w:p>
      <w:pPr>
        <w:spacing w:after="160" w:before="40" w:line="276" w:lineRule="auto"/>
        <w:jc w:val="center"/>
      </w:pPr>
      <w:r>
        <w:rPr>
          <w:rFonts w:ascii="Times New Roman" w:cs="Times New Roman" w:eastAsia="Times New Roman" w:hAnsi="Times New Roman"/>
          <w:b/>
          <w:bCs/>
          <w:i w:val="false"/>
          <w:iCs w:val="false"/>
          <w:color w:val="1F1F1F"/>
          <w:sz w:val="22"/>
          <w:szCs w:val="22"/>
        </w:rPr>
        <w:t xml:space="preserve">Figure 1: </w:t>
      </w:r>
      <w:r>
        <w:rPr>
          <w:rFonts w:ascii="Times New Roman" w:cs="Times New Roman" w:eastAsia="Times New Roman" w:hAnsi="Times New Roman"/>
          <w:b w:val="false"/>
          <w:bCs w:val="false"/>
          <w:i/>
          <w:iCs/>
          <w:color w:val="1F1F1F"/>
          <w:sz w:val="22"/>
          <w:szCs w:val="22"/>
        </w:rPr>
        <w:t xml:space="preserve">Proposed six-stage data-centric pipeline. Dashed boxes indicate the two correction strategy branches (hard cleaning and soft weighting) applied after error detection.</w:t>
      </w:r>
    </w:p>
    <w:p>
      <w:pPr>
        <w:spacing w:after="80" w:before="240"/>
      </w:pPr>
      <w:r>
        <w:rPr>
          <w:rFonts w:ascii="Times New Roman" w:cs="Times New Roman" w:eastAsia="Times New Roman" w:hAnsi="Times New Roman"/>
          <w:b/>
          <w:bCs/>
          <w:color w:val="1F3864"/>
          <w:sz w:val="28"/>
          <w:szCs w:val="28"/>
        </w:rPr>
        <w:t xml:space="preserve">4. Experiments and Results</w:t>
      </w:r>
    </w:p>
    <w:p>
      <w:pPr>
        <w:spacing w:after="60" w:before="160"/>
      </w:pPr>
      <w:r>
        <w:rPr>
          <w:rFonts w:ascii="Times New Roman" w:cs="Times New Roman" w:eastAsia="Times New Roman" w:hAnsi="Times New Roman"/>
          <w:b/>
          <w:bCs/>
          <w:color w:val="1F1F1F"/>
          <w:sz w:val="24"/>
          <w:szCs w:val="24"/>
        </w:rPr>
        <w:t xml:space="preserve">4.1 Experimental Setup</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All experiments are conducted on an NVIDIA GeForce RTX 3050 6 GB laptop GPU with PyTorch 2.11 and CUDA 12.6. Clean-set training converges at epoch 4 (best validation loss = 0.0580, validation accuracy = 97.95%). The noisy model converges at epoch 5 (best validation loss = 0.2118, validation accuracy = 95.67%), consistent with the higher loss floor induced by corrupted labels. Weighted loss training converges at epoch 10 due to the reduced effective gradient signal from downweighted samples, demonstrating that soft correction requires more training iterations to achieve its optimal checkpoint. Full training histories are saved in JSON format for reproducibility.</w:t>
      </w:r>
    </w:p>
    <w:p>
      <w:pPr>
        <w:spacing w:after="60" w:before="160"/>
      </w:pPr>
      <w:r>
        <w:rPr>
          <w:rFonts w:ascii="Times New Roman" w:cs="Times New Roman" w:eastAsia="Times New Roman" w:hAnsi="Times New Roman"/>
          <w:b/>
          <w:bCs/>
          <w:color w:val="1F1F1F"/>
          <w:sz w:val="24"/>
          <w:szCs w:val="24"/>
        </w:rPr>
        <w:t xml:space="preserve">4.2 Detection Performance</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Table 1 reports the detection performance of the MC Dropout pipeline against the known set of 820 injected noisy labels, enabling direct measurement of detection precision and recall.</w:t>
      </w:r>
    </w:p>
    <w:p>
      <w:pPr>
        <w:spacing w:after="0" w:before="80"/>
      </w:pPr>
    </w:p>
    <w:p>
      <w:pPr>
        <w:spacing w:after="60" w:before="160" w:line="276" w:lineRule="auto"/>
        <w:jc w:val="both"/>
      </w:pPr>
      <w:r>
        <w:rPr>
          <w:rFonts w:ascii="Times New Roman" w:cs="Times New Roman" w:eastAsia="Times New Roman" w:hAnsi="Times New Roman"/>
          <w:b/>
          <w:bCs/>
          <w:i w:val="false"/>
          <w:iCs w:val="false"/>
          <w:color w:val="1F1F1F"/>
          <w:sz w:val="22"/>
          <w:szCs w:val="22"/>
        </w:rPr>
        <w:t xml:space="preserve">Table 1: </w:t>
      </w:r>
      <w:r>
        <w:rPr>
          <w:rFonts w:ascii="Times New Roman" w:cs="Times New Roman" w:eastAsia="Times New Roman" w:hAnsi="Times New Roman"/>
          <w:b w:val="false"/>
          <w:bCs w:val="false"/>
          <w:i w:val="false"/>
          <w:iCs w:val="false"/>
          <w:color w:val="1F1F1F"/>
          <w:sz w:val="22"/>
          <w:szCs w:val="22"/>
        </w:rPr>
        <w:t xml:space="preserve">MC Dropout label noise detection performance. Training set contains 820 injected noisy samples (20% of 4,099 training images).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tblGrid>
      <w:tr>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Detection Metric</w:t>
            </w:r>
          </w:p>
        </w:tc>
        <w:tc>
          <w:tcPr>
            <w:tcW w:type="dxa" w:w="2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38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left"/>
            </w:pPr>
            <w:r>
              <w:rPr>
                <w:rFonts w:ascii="Times New Roman" w:cs="Times New Roman" w:eastAsia="Times New Roman" w:hAnsi="Times New Roman"/>
                <w:b/>
                <w:bCs/>
                <w:color w:val="1F1F1F"/>
                <w:sz w:val="20"/>
                <w:szCs w:val="20"/>
              </w:rPr>
              <w:t xml:space="preserve">Training set size</w:t>
            </w:r>
          </w:p>
        </w:tc>
        <w:tc>
          <w:tcPr>
            <w:tcW w:type="dxa" w:w="27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4,099</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Samples flagged</w:t>
            </w:r>
          </w:p>
        </w:tc>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663 (16.2%)</w:t>
            </w:r>
          </w:p>
        </w:tc>
      </w:tr>
      <w:tr>
        <w:tc>
          <w:tcPr>
            <w:tcW w:type="dxa" w:w="38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Criterion A flags (high variance)</w:t>
            </w:r>
          </w:p>
        </w:tc>
        <w:tc>
          <w:tcPr>
            <w:tcW w:type="dxa" w:w="27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1</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Criterion B flags (confident mismatch)</w:t>
            </w:r>
          </w:p>
        </w:tc>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662</w:t>
            </w:r>
          </w:p>
        </w:tc>
      </w:tr>
      <w:tr>
        <w:tc>
          <w:tcPr>
            <w:tcW w:type="dxa" w:w="3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left"/>
            </w:pPr>
            <w:r>
              <w:rPr>
                <w:rFonts w:ascii="Times New Roman" w:cs="Times New Roman" w:eastAsia="Times New Roman" w:hAnsi="Times New Roman"/>
                <w:b/>
                <w:bCs/>
                <w:color w:val="1F1F1F"/>
                <w:sz w:val="20"/>
                <w:szCs w:val="20"/>
              </w:rPr>
              <w:t xml:space="preserve">Detection Precision</w:t>
            </w:r>
          </w:p>
        </w:tc>
        <w:tc>
          <w:tcPr>
            <w:tcW w:type="dxa" w:w="27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color w:val="1F1F1F"/>
                <w:sz w:val="20"/>
                <w:szCs w:val="20"/>
              </w:rPr>
              <w:t xml:space="preserve">94.42%</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Detection Recall</w:t>
            </w:r>
          </w:p>
        </w:tc>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76.34%</w:t>
            </w:r>
          </w:p>
        </w:tc>
      </w:tr>
    </w:tbl>
    <w:p>
      <w:pPr>
        <w:spacing w:after="0" w:before="120"/>
      </w:pP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detection pipeline achieves 94.42% precision, meaning 625 of the 663 flagged samples genuinely correspond to injected noisy labels. The recall of 76.34% indicates that approximately 24% of injected noise was not detected. The overwhelming dominance of Criterion B (662 of 663 flags) over Criterion A (1 flag) reveals that the noisy model's confident disagreement with its training labels is a substantially more sensitive noise indicator than raw predictive variance in this moderate-noise setting. This is consistent with the memorisation dynamics documented by Arpit et al. (2017): the model generalises to clean patterns early in training and partially corrects noisy labels internally, reducing their variance but not their confident misprediction signal.</w:t>
      </w:r>
    </w:p>
    <w:p>
      <w:pPr>
        <w:spacing w:after="0" w:before="120"/>
      </w:pPr>
    </w:p>
    <w:p>
      <w:pPr>
        <w:pBdr>
          <w:top w:val="single" w:color="AAAAAA" w:sz="4"/>
          <w:left w:val="single" w:color="AAAAAA" w:sz="4"/>
          <w:bottom w:val="single" w:color="AAAAAA" w:sz="4"/>
          <w:right w:val="single" w:color="AAAAAA" w:sz="4"/>
        </w:pBdr>
        <w:shd w:fill="F5F5F5" w:val="clear"/>
        <w:spacing w:after="60" w:before="160"/>
        <w:jc w:val="center"/>
      </w:pPr>
      <w:r>
        <w:rPr>
          <w:rFonts w:ascii="Times New Roman" w:cs="Times New Roman" w:eastAsia="Times New Roman" w:hAnsi="Times New Roman"/>
          <w:i/>
          <w:iCs/>
          <w:color w:val="888888"/>
          <w:sz w:val="22"/>
          <w:szCs w:val="22"/>
        </w:rPr>
        <w:t>[ Figure 2 — Insert plot3_uncertainty_histogram.png — distribution of combined uncertainty scores across training samples, flagged (red) vs unflagged (blue). ]</w:t>
      </w:r>
    </w:p>
    <w:p>
      <w:pPr>
        <w:spacing w:after="160" w:before="40" w:line="276" w:lineRule="auto"/>
        <w:jc w:val="center"/>
      </w:pPr>
      <w:r>
        <w:rPr>
          <w:rFonts w:ascii="Times New Roman" w:cs="Times New Roman" w:eastAsia="Times New Roman" w:hAnsi="Times New Roman"/>
          <w:b/>
          <w:bCs/>
          <w:i w:val="false"/>
          <w:iCs w:val="false"/>
          <w:color w:val="1F1F1F"/>
          <w:sz w:val="22"/>
          <w:szCs w:val="22"/>
        </w:rPr>
        <w:t xml:space="preserve">Figure 2: </w:t>
      </w:r>
      <w:r>
        <w:rPr>
          <w:rFonts w:ascii="Times New Roman" w:cs="Times New Roman" w:eastAsia="Times New Roman" w:hAnsi="Times New Roman"/>
          <w:b w:val="false"/>
          <w:bCs w:val="false"/>
          <w:i/>
          <w:iCs/>
          <w:color w:val="1F1F1F"/>
          <w:sz w:val="22"/>
          <w:szCs w:val="22"/>
        </w:rPr>
        <w:t xml:space="preserve">Combined uncertainty score distribution for training samples. Flagged samples (red, right tail) show markedly higher uncertainty than the clean unflagged majority (blue). The distribution confirms that the combined score provides meaningful separation between suspicious and genuine training samples.</w:t>
      </w:r>
    </w:p>
    <w:p>
      <w:pPr>
        <w:spacing w:after="60" w:before="160"/>
      </w:pPr>
      <w:r>
        <w:rPr>
          <w:rFonts w:ascii="Times New Roman" w:cs="Times New Roman" w:eastAsia="Times New Roman" w:hAnsi="Times New Roman"/>
          <w:b/>
          <w:bCs/>
          <w:color w:val="1F1F1F"/>
          <w:sz w:val="24"/>
          <w:szCs w:val="24"/>
        </w:rPr>
        <w:t xml:space="preserve">4.3 Classification Results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Table 2 presents test-set performance for all six trained models. The clean model establishes the performance upper bound at 95.83% F1. The noisy baseline, trained on 20% corrupted labels with no correction, sets the lower bound at 93.31% F1 -- a 2.52 percentage point degradation attributable entirely to label noise. Delta values in the final column measure each correction strategy's F1 recovery relative to the noisy baseline.</w:t>
      </w:r>
    </w:p>
    <w:p>
      <w:pPr>
        <w:spacing w:after="0" w:before="80"/>
      </w:pPr>
    </w:p>
    <w:p>
      <w:pPr>
        <w:spacing w:after="60" w:before="160" w:line="276" w:lineRule="auto"/>
        <w:jc w:val="both"/>
      </w:pPr>
      <w:r>
        <w:rPr>
          <w:rFonts w:ascii="Times New Roman" w:cs="Times New Roman" w:eastAsia="Times New Roman" w:hAnsi="Times New Roman"/>
          <w:b/>
          <w:bCs/>
          <w:i w:val="false"/>
          <w:iCs w:val="false"/>
          <w:color w:val="1F1F1F"/>
          <w:sz w:val="22"/>
          <w:szCs w:val="22"/>
        </w:rPr>
        <w:t xml:space="preserve">Table 2: </w:t>
      </w:r>
      <w:r>
        <w:rPr>
          <w:rFonts w:ascii="Times New Roman" w:cs="Times New Roman" w:eastAsia="Times New Roman" w:hAnsi="Times New Roman"/>
          <w:b w:val="false"/>
          <w:bCs w:val="false"/>
          <w:i w:val="false"/>
          <w:iCs w:val="false"/>
          <w:color w:val="1F1F1F"/>
          <w:sz w:val="22"/>
          <w:szCs w:val="22"/>
        </w:rPr>
        <w:t xml:space="preserve">Test-set classification results for all six experimental conditions (879 clean test images, macro-averaged metrics). Positive delta indicates improvement over the noisy baseline; negative delta indicates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400"/>
        <w:gridCol w:w="1400"/>
        <w:gridCol w:w="1460"/>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 / Strategy</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4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Delta F1</w:t>
            </w:r>
          </w:p>
        </w:tc>
      </w:tr>
      <w:tr>
        <w:tc>
          <w:tcPr>
            <w:tcW w:type="dxa" w:w="240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left"/>
            </w:pPr>
            <w:r>
              <w:rPr>
                <w:rFonts w:ascii="Times New Roman" w:cs="Times New Roman" w:eastAsia="Times New Roman" w:hAnsi="Times New Roman"/>
                <w:b/>
                <w:bCs/>
                <w:color w:val="1F1F1F"/>
                <w:sz w:val="20"/>
                <w:szCs w:val="20"/>
              </w:rPr>
              <w:t xml:space="preserve">CLEAN (upper bound)</w:t>
            </w:r>
          </w:p>
        </w:tc>
        <w:tc>
          <w:tcPr>
            <w:tcW w:type="dxa" w:w="130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center"/>
            </w:pPr>
            <w:r>
              <w:rPr>
                <w:rFonts w:ascii="Times New Roman" w:cs="Times New Roman" w:eastAsia="Times New Roman" w:hAnsi="Times New Roman"/>
                <w:b/>
                <w:bCs/>
                <w:color w:val="1F1F1F"/>
                <w:sz w:val="20"/>
                <w:szCs w:val="20"/>
              </w:rPr>
              <w:t xml:space="preserve">95.83%</w:t>
            </w:r>
          </w:p>
        </w:tc>
        <w:tc>
          <w:tcPr>
            <w:tcW w:type="dxa" w:w="140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96.70%</w:t>
            </w:r>
          </w:p>
        </w:tc>
        <w:tc>
          <w:tcPr>
            <w:tcW w:type="dxa" w:w="140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95.77%</w:t>
            </w:r>
          </w:p>
        </w:tc>
        <w:tc>
          <w:tcPr>
            <w:tcW w:type="dxa" w:w="140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95.89%</w:t>
            </w:r>
          </w:p>
        </w:tc>
        <w:tc>
          <w:tcPr>
            <w:tcW w:type="dxa" w:w="1460"/>
            <w:tcBorders>
              <w:top w:val="single" w:color="AAAAAA" w:sz="4"/>
              <w:left w:val="single" w:color="AAAAAA" w:sz="4"/>
              <w:bottom w:val="single" w:color="AAAAAA" w:sz="4"/>
              <w:right w:val="single" w:color="AAAAAA" w:sz="4"/>
            </w:tcBorders>
            <w:shd w:fill="E8F0F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NOISY (no correction)</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93.31%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94.54%</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92.10%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94.80%</w:t>
            </w:r>
          </w:p>
        </w:tc>
        <w:tc>
          <w:tcPr>
            <w:tcW w:type="dxa" w:w="1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w:t>
            </w:r>
          </w:p>
        </w:tc>
      </w:tr>
      <w:tr>
        <w:tc>
          <w:tcPr>
            <w:tcW w:type="dxa" w:w="240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left"/>
            </w:pPr>
            <w:r>
              <w:rPr>
                <w:rFonts w:ascii="Times New Roman" w:cs="Times New Roman" w:eastAsia="Times New Roman" w:hAnsi="Times New Roman"/>
                <w:b/>
                <w:bCs/>
                <w:color w:val="1F1F1F"/>
                <w:sz w:val="20"/>
                <w:szCs w:val="20"/>
              </w:rPr>
              <w:t xml:space="preserve">Cleaned 10% (best)</w:t>
            </w:r>
          </w:p>
        </w:tc>
        <w:tc>
          <w:tcPr>
            <w:tcW w:type="dxa" w:w="130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center"/>
            </w:pPr>
            <w:r>
              <w:rPr>
                <w:rFonts w:ascii="Times New Roman" w:cs="Times New Roman" w:eastAsia="Times New Roman" w:hAnsi="Times New Roman"/>
                <w:b/>
                <w:bCs/>
                <w:color w:val="1F1F1F"/>
                <w:sz w:val="20"/>
                <w:szCs w:val="20"/>
              </w:rPr>
              <w:t xml:space="preserve">94.51%</w:t>
            </w:r>
          </w:p>
        </w:tc>
        <w:tc>
          <w:tcPr>
            <w:tcW w:type="dxa" w:w="140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95.79%</w:t>
            </w:r>
          </w:p>
        </w:tc>
        <w:tc>
          <w:tcPr>
            <w:tcW w:type="dxa" w:w="140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95.97%</w:t>
            </w:r>
          </w:p>
        </w:tc>
        <w:tc>
          <w:tcPr>
            <w:tcW w:type="dxa" w:w="140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93.28%</w:t>
            </w:r>
          </w:p>
        </w:tc>
        <w:tc>
          <w:tcPr>
            <w:tcW w:type="dxa" w:w="1460"/>
            <w:tcBorders>
              <w:top w:val="single" w:color="AAAAAA" w:sz="4"/>
              <w:left w:val="single" w:color="AAAAAA" w:sz="4"/>
              <w:bottom w:val="single" w:color="AAAAAA" w:sz="4"/>
              <w:right w:val="single" w:color="AAAAAA" w:sz="4"/>
            </w:tcBorders>
            <w:shd w:fill="C6EFCE" w:val="clear"/>
            <w:tcMar>
              <w:top w:type="dxa" w:w="60"/>
              <w:left w:type="dxa" w:w="100"/>
              <w:bottom w:type="dxa" w:w="60"/>
              <w:right w:type="dxa" w:w="100"/>
            </w:tcMar>
          </w:tcPr>
          <w:p>
            <w:pPr>
              <w:jc w:val="center"/>
            </w:pPr>
            <w:r>
              <w:rPr>
                <w:rFonts w:ascii="Times New Roman" w:cs="Times New Roman" w:eastAsia="Times New Roman" w:hAnsi="Times New Roman"/>
                <w:b/>
                <w:bCs/>
                <w:color w:val="1F1F1F"/>
                <w:sz w:val="20"/>
                <w:szCs w:val="20"/>
              </w:rPr>
              <w:t xml:space="preserve">+1.21 pp</w:t>
            </w:r>
          </w:p>
        </w:tc>
      </w:tr>
      <w:tr>
        <w:tc>
          <w:tcPr>
            <w:tcW w:type="dxa" w:w="24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Weighted Loss</w:t>
            </w:r>
          </w:p>
        </w:tc>
        <w:tc>
          <w:tcPr>
            <w:tcW w:type="dxa" w:w="13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94.12%</w:t>
            </w:r>
          </w:p>
        </w:tc>
        <w:tc>
          <w:tcPr>
            <w:tcW w:type="dxa" w:w="14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95.34%</w:t>
            </w:r>
          </w:p>
        </w:tc>
        <w:tc>
          <w:tcPr>
            <w:tcW w:type="dxa" w:w="14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93.95%</w:t>
            </w:r>
          </w:p>
        </w:tc>
        <w:tc>
          <w:tcPr>
            <w:tcW w:type="dxa" w:w="140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94.29%</w:t>
            </w:r>
          </w:p>
        </w:tc>
        <w:tc>
          <w:tcPr>
            <w:tcW w:type="dxa" w:w="1460"/>
            <w:tcBorders>
              <w:top w:val="single" w:color="AAAAAA" w:sz="4"/>
              <w:left w:val="single" w:color="AAAAAA" w:sz="4"/>
              <w:bottom w:val="single" w:color="AAAAAA" w:sz="4"/>
              <w:right w:val="single" w:color="AAAAAA" w:sz="4"/>
            </w:tcBorders>
            <w:shd w:fill="EEF0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+0.81 pp</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Cleaned 30%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94.05%</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95.34%</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94.36%</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93.76%</w:t>
            </w:r>
          </w:p>
        </w:tc>
        <w:tc>
          <w:tcPr>
            <w:tcW w:type="dxa" w:w="1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+0.75 pp</w:t>
            </w:r>
          </w:p>
        </w:tc>
      </w:tr>
      <w:tr>
        <w:tc>
          <w:tcPr>
            <w:tcW w:type="dxa" w:w="2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F1F1F"/>
                <w:sz w:val="20"/>
                <w:szCs w:val="20"/>
              </w:rPr>
              <w:t xml:space="preserve">Cleaned 20%</w:t>
            </w:r>
          </w:p>
        </w:tc>
        <w:tc>
          <w:tcPr>
            <w:tcW w:type="dxa" w:w="13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92.68%</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94.08%</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91.80%</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1F1F1F"/>
                <w:sz w:val="20"/>
                <w:szCs w:val="20"/>
              </w:rPr>
              <w:t xml:space="preserve">93.70%</w:t>
            </w:r>
          </w:p>
        </w:tc>
        <w:tc>
          <w:tcPr>
            <w:tcW w:type="dxa" w:w="14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1F1F1F"/>
                <w:sz w:val="20"/>
                <w:szCs w:val="20"/>
              </w:rPr>
              <w:t xml:space="preserve">-0.63 pp</w:t>
            </w:r>
          </w:p>
        </w:tc>
      </w:tr>
    </w:tbl>
    <w:p>
      <w:pPr>
        <w:spacing w:after="0" w:before="120"/>
      </w:pP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10% cleaning strategy achieves the strongest recovery (+1.21 pp F1) by removing 66 samples -- just 1.6% of the training set -- that the pipeline identified with highest confidence as mislabelled. The weighted loss model recovers +0.81 pp without removing any training samples, demonstrating that soft correction is a viable alternative. The 30% model also improves (+0.75 pp) but marginally underperforms the weighted approach despite removing three times as many samples (199 vs 0 removed), suggesting that it has already entered the over-cleaning region where marginal samples contribute more noise than signal.</w:t>
      </w:r>
    </w:p>
    <w:p>
      <w:pPr>
        <w:spacing w:after="0" w:before="120"/>
      </w:pPr>
    </w:p>
    <w:p>
      <w:pPr>
        <w:pBdr>
          <w:top w:val="single" w:color="AAAAAA" w:sz="4"/>
          <w:left w:val="single" w:color="AAAAAA" w:sz="4"/>
          <w:bottom w:val="single" w:color="AAAAAA" w:sz="4"/>
          <w:right w:val="single" w:color="AAAAAA" w:sz="4"/>
        </w:pBdr>
        <w:shd w:fill="F5F5F5" w:val="clear"/>
        <w:spacing w:after="60" w:before="160"/>
        <w:jc w:val="center"/>
      </w:pPr>
      <w:r>
        <w:rPr>
          <w:rFonts w:ascii="Times New Roman" w:cs="Times New Roman" w:eastAsia="Times New Roman" w:hAnsi="Times New Roman"/>
          <w:i/>
          <w:iCs/>
          <w:color w:val="888888"/>
          <w:sz w:val="22"/>
          <w:szCs w:val="22"/>
        </w:rPr>
        <w:t>[ Figure 3 — Insert plot5_multi_metrics.png — grouped bar chart comparing accuracy, precision, recall and F1-score across all six models. ]</w:t>
      </w:r>
    </w:p>
    <w:p>
      <w:pPr>
        <w:spacing w:after="160" w:before="40" w:line="276" w:lineRule="auto"/>
        <w:jc w:val="center"/>
      </w:pPr>
      <w:r>
        <w:rPr>
          <w:rFonts w:ascii="Times New Roman" w:cs="Times New Roman" w:eastAsia="Times New Roman" w:hAnsi="Times New Roman"/>
          <w:b/>
          <w:bCs/>
          <w:i w:val="false"/>
          <w:iCs w:val="false"/>
          <w:color w:val="1F1F1F"/>
          <w:sz w:val="22"/>
          <w:szCs w:val="22"/>
        </w:rPr>
        <w:t xml:space="preserve">Figure 3: </w:t>
      </w:r>
      <w:r>
        <w:rPr>
          <w:rFonts w:ascii="Times New Roman" w:cs="Times New Roman" w:eastAsia="Times New Roman" w:hAnsi="Times New Roman"/>
          <w:b w:val="false"/>
          <w:bCs w:val="false"/>
          <w:i/>
          <w:iCs/>
          <w:color w:val="1F1F1F"/>
          <w:sz w:val="22"/>
          <w:szCs w:val="22"/>
        </w:rPr>
        <w:t xml:space="preserve">Grouped bar chart of macro-averaged test-set metrics for all six experimental conditions. The 10% cleaned model (green) achieves the highest F1; the 20% cleaned model (red) falls below the noisy baseline, confirming the over-cleaning effect.</w:t>
      </w:r>
    </w:p>
    <w:p>
      <w:pPr>
        <w:spacing w:after="60" w:before="160"/>
      </w:pPr>
      <w:r>
        <w:rPr>
          <w:rFonts w:ascii="Times New Roman" w:cs="Times New Roman" w:eastAsia="Times New Roman" w:hAnsi="Times New Roman"/>
          <w:b/>
          <w:bCs/>
          <w:color w:val="1F1F1F"/>
          <w:sz w:val="24"/>
          <w:szCs w:val="24"/>
        </w:rPr>
        <w:t xml:space="preserve">4.4 Discussion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most important result in Table 2 is the performance of the 20% cleaning strategy (F1=92.68%), which falls 0.63 percentage points below the uncorrected noisy model (F1=93.31%). This counter-intuitive outcome arises because the ranked flagged pool contains not only genuine mislabelled samples but also legitimate hard examples -- ambiguous images near the decision boundary where uncertainty is elevated for valid reasons. When these hard examples are removed alongside genuine noise, the training set becomes artificially easy. The model learns a decision boundary without sufficient exposure to challenging cases, reducing its generalisation ability on the test set, which contains its own proportion of difficult images.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This finding has direct practical implications. It demonstrates that the optimal cleaning threshold is narrow and dataset-specific: in this experiment, removing 1.6% of training data improves performance, while removing 3.2% reverses the benefit. Without ground-truth noise labels, a practitioner cannot determine the optimal threshold in advance. This limitation motivates the weighted loss approach as a safer default: by retaining all samples and downweighting rather than deleting, soft cleaning achieves a positive gain (+0.81 pp) with no risk of performance regression.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1.32 percentage point gap between the best cleaned model (94.51%) and the clean upper bound (95.83%) quantifies the irreducible residual effect of undetected noise -- the 24% of injected labels that the MC Dropout pipeline did not flag. This gap cannot be closed by any correction strategy applied to the current flagged set; higher recall would require either more sensitive detection criteria or additional annotation rounds.</w:t>
      </w:r>
    </w:p>
    <w:p>
      <w:pPr>
        <w:spacing w:after="0" w:before="120"/>
      </w:pPr>
    </w:p>
    <w:p>
      <w:pPr>
        <w:pBdr>
          <w:top w:val="single" w:color="AAAAAA" w:sz="4"/>
          <w:left w:val="single" w:color="AAAAAA" w:sz="4"/>
          <w:bottom w:val="single" w:color="AAAAAA" w:sz="4"/>
          <w:right w:val="single" w:color="AAAAAA" w:sz="4"/>
        </w:pBdr>
        <w:shd w:fill="F5F5F5" w:val="clear"/>
        <w:spacing w:after="60" w:before="160"/>
        <w:jc w:val="center"/>
      </w:pPr>
      <w:r>
        <w:rPr>
          <w:rFonts w:ascii="Times New Roman" w:cs="Times New Roman" w:eastAsia="Times New Roman" w:hAnsi="Times New Roman"/>
          <w:i/>
          <w:iCs/>
          <w:color w:val="888888"/>
          <w:sz w:val="22"/>
          <w:szCs w:val="22"/>
        </w:rPr>
        <w:t>[ Figure 4 — Insert plot8_uncertainty_scatter.png — scatter of combined uncertainty score vs prediction error, coloured by known noise status. ]</w:t>
      </w:r>
    </w:p>
    <w:p>
      <w:pPr>
        <w:spacing w:after="160" w:before="40" w:line="276" w:lineRule="auto"/>
        <w:jc w:val="center"/>
      </w:pPr>
      <w:r>
        <w:rPr>
          <w:rFonts w:ascii="Times New Roman" w:cs="Times New Roman" w:eastAsia="Times New Roman" w:hAnsi="Times New Roman"/>
          <w:b/>
          <w:bCs/>
          <w:i w:val="false"/>
          <w:iCs w:val="false"/>
          <w:color w:val="1F1F1F"/>
          <w:sz w:val="22"/>
          <w:szCs w:val="22"/>
        </w:rPr>
        <w:t xml:space="preserve">Figure 4: </w:t>
      </w:r>
      <w:r>
        <w:rPr>
          <w:rFonts w:ascii="Times New Roman" w:cs="Times New Roman" w:eastAsia="Times New Roman" w:hAnsi="Times New Roman"/>
          <w:b w:val="false"/>
          <w:bCs w:val="false"/>
          <w:i/>
          <w:iCs/>
          <w:color w:val="1F1F1F"/>
          <w:sz w:val="22"/>
          <w:szCs w:val="22"/>
        </w:rPr>
        <w:t xml:space="preserve">Combined uncertainty score versus prediction error for all training samples. Confirmed noisy samples (red) cluster in the high-uncertainty, high-error region. A subset of clean samples also appears in the high-uncertainty region (legitimate hard examples), explaining why 20% cleaning degrades generalisation: these hard examples are removed alongside genuine noise.</w:t>
      </w:r>
    </w:p>
    <w:p>
      <w:pPr>
        <w:spacing w:after="0" w:before="120"/>
      </w:pPr>
    </w:p>
    <w:p>
      <w:pPr>
        <w:pBdr>
          <w:top w:val="single" w:color="AAAAAA" w:sz="4"/>
          <w:left w:val="single" w:color="AAAAAA" w:sz="4"/>
          <w:bottom w:val="single" w:color="AAAAAA" w:sz="4"/>
          <w:right w:val="single" w:color="AAAAAA" w:sz="4"/>
        </w:pBdr>
        <w:shd w:fill="F5F5F5" w:val="clear"/>
        <w:spacing w:after="60" w:before="160"/>
        <w:jc w:val="center"/>
      </w:pPr>
      <w:r>
        <w:rPr>
          <w:rFonts w:ascii="Times New Roman" w:cs="Times New Roman" w:eastAsia="Times New Roman" w:hAnsi="Times New Roman"/>
          <w:i/>
          <w:iCs/>
          <w:color w:val="888888"/>
          <w:sz w:val="22"/>
          <w:szCs w:val="22"/>
        </w:rPr>
        <w:t>[ Figure 5 — Insert plot7_roc_pr_curves.png — ROC and Precision-Recall curves for all six models on the clean test set. ]</w:t>
      </w:r>
    </w:p>
    <w:p>
      <w:pPr>
        <w:spacing w:after="160" w:before="40" w:line="276" w:lineRule="auto"/>
        <w:jc w:val="center"/>
      </w:pPr>
      <w:r>
        <w:rPr>
          <w:rFonts w:ascii="Times New Roman" w:cs="Times New Roman" w:eastAsia="Times New Roman" w:hAnsi="Times New Roman"/>
          <w:b/>
          <w:bCs/>
          <w:i w:val="false"/>
          <w:iCs w:val="false"/>
          <w:color w:val="1F1F1F"/>
          <w:sz w:val="22"/>
          <w:szCs w:val="22"/>
        </w:rPr>
        <w:t xml:space="preserve">Figure 5: </w:t>
      </w:r>
      <w:r>
        <w:rPr>
          <w:rFonts w:ascii="Times New Roman" w:cs="Times New Roman" w:eastAsia="Times New Roman" w:hAnsi="Times New Roman"/>
          <w:b w:val="false"/>
          <w:bCs w:val="false"/>
          <w:i/>
          <w:iCs/>
          <w:color w:val="1F1F1F"/>
          <w:sz w:val="22"/>
          <w:szCs w:val="22"/>
        </w:rPr>
        <w:t xml:space="preserve">ROC (left) and Precision-Recall (right) curves for all six models on the clean test set. The clean model achieves the highest AUC in both plots; the 20% cleaned model is the lowest-performing correction strategy, lying below even the noisy baseline on the PR curve.</w:t>
      </w:r>
    </w:p>
    <w:p>
      <w:pPr>
        <w:spacing w:after="80" w:before="240"/>
      </w:pPr>
      <w:r>
        <w:rPr>
          <w:rFonts w:ascii="Times New Roman" w:cs="Times New Roman" w:eastAsia="Times New Roman" w:hAnsi="Times New Roman"/>
          <w:b/>
          <w:bCs/>
          <w:color w:val="1F3864"/>
          <w:sz w:val="28"/>
          <w:szCs w:val="28"/>
        </w:rPr>
        <w:t xml:space="preserve">5. Conclusions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This paper investigated whether Monte Carlo Dropout uncertainty estimation can guide effective data-centric correction of label noise in chest X-ray pneumonia classification, and at what cleaning depth correction becomes counter-productive. A controlled six-model experiment on the Chest X-Ray (Pneumonia) dataset with 20% synthetic label noise produced three principal findings.</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First, the MC Dropout detection pipeline identifies noisy samples with 94.42% precision using confident misprediction as the dominant signal, confirming that uncertainty-based detection is a reliable method for flagging mislabelled training examples without access to ground-truth noise labels. Second, selective hard cleaning at the 10% threshold (+1.21 pp F1) is the most effective correction strategy, but aggressive cleaning at 20% degrades performance below the uncorrected noisy baseline -- providing the first empirical quantification of the over-cleaning phenomenon on a chest X-ray dataset. Third, confidence-weighted soft training achieves a consistent +0.81 pp improvement with no data removed, offering a robust alternative when the optimal hard-cleaning threshold is unknown.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Together, these findings validate the data-centric AI hypothesis applied to label noise correction: principled, selective data refinement outperforms both aggressive removal and uncorrected training. The study's contribution is methodological -- a reproducible pipeline for uncertainty-guided noise detection and correction that is directly applicable to clinical dataset curation workflows.</w:t>
      </w:r>
    </w:p>
    <w:p>
      <w:pPr>
        <w:spacing w:after="80" w:before="240"/>
      </w:pPr>
      <w:r>
        <w:rPr>
          <w:rFonts w:ascii="Times New Roman" w:cs="Times New Roman" w:eastAsia="Times New Roman" w:hAnsi="Times New Roman"/>
          <w:b/>
          <w:bCs/>
          <w:color w:val="1F3864"/>
          <w:sz w:val="28"/>
          <w:szCs w:val="28"/>
        </w:rPr>
        <w:t xml:space="preserve">6. Limitations and Future Work</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Several limitations of this study suggest directions for future investigation. The primary limitation is that noise is simulated through random label flipping, which does not capture the structured, severity-correlated patterns of real clinical annotation errors. Future work should validate this pipeline on datasets with documented real annotation disagreements, such as multi-reader subsets of CheXpert (Irvin et al., 2019), where annotation disagreement is explicitly labelled and can be used as ground truth for detection evaluation.</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A second limitation is the use of a single backbone architecture. The MC Dropout detection precision of 94.42% may not generalise to architectures with different uncertainty calibration properties, such as Vision Transformers or EfficientNet variants. A cross-architecture comparison would establish whether the Criterion B signal persists across model families or is specific to residual networks. Additionally, the optimal cleaning threshold (10%) was not determined automatically; future work should develop a principled method -- for example, monitoring validation performance across cleaning fractions during a hyperparameter search -- to enable deployment without requiring noise ground truth.</w:t>
      </w:r>
    </w:p>
    <w:p>
      <w:pPr>
        <w:spacing w:after="100" w:before="0" w:line="276" w:lineRule="auto"/>
        <w:jc w:val="both"/>
      </w:pPr>
      <w:r>
        <w:rPr>
          <w:rFonts w:ascii="Times New Roman" w:cs="Times New Roman" w:eastAsia="Times New Roman" w:hAnsi="Times New Roman"/>
          <w:b w:val="false"/>
          <w:bCs w:val="false"/>
          <w:i w:val="false"/>
          <w:iCs w:val="false"/>
          <w:color w:val="1F1F1F"/>
          <w:sz w:val="24"/>
          <w:szCs w:val="24"/>
        </w:rPr>
        <w:t xml:space="preserve">The most significant real-world extension is to federated learning settings. Hospital networks cannot centralise patient data for cleaning, but each institution could apply MC Dropout detection locally and share only uncertainty scores rather than images, enabling privacy-preserving collaborative data quality improvement (Warnat-Herresthal et al., 2021). This direction connects the present experimental findings to a practical clinical deployment scenario and represents the proposed focus of subsequent research, with the goal of building self-improving, privacy-compliant data pipelines that progressively refine training data across distributed healthcare environments.</w:t>
      </w:r>
    </w:p>
    <w:p>
      <w:pPr>
        <w:spacing w:after="0" w:before="240"/>
      </w:pPr>
    </w:p>
    <w:p>
      <w:pPr>
        <w:spacing w:after="120" w:before="0"/>
      </w:pPr>
      <w:r>
        <w:rPr>
          <w:rFonts w:ascii="Times New Roman" w:cs="Times New Roman" w:eastAsia="Times New Roman" w:hAnsi="Times New Roman"/>
          <w:b/>
          <w:bCs/>
          <w:color w:val="1F3864"/>
          <w:sz w:val="28"/>
          <w:szCs w:val="28"/>
        </w:rPr>
        <w:t xml:space="preserve">References</w:t>
      </w:r>
    </w:p>
    <w:p>
      <w:pPr>
        <w:spacing w:after="60" w:before="40"/>
        <w:ind w:left="720" w:hanging="720"/>
      </w:pPr>
      <w:r>
        <w:rPr>
          <w:rFonts w:ascii="Times New Roman" w:cs="Times New Roman" w:eastAsia="Times New Roman" w:hAnsi="Times New Roman"/>
          <w:i w:val="false"/>
          <w:iCs w:val="false"/>
          <w:color w:val="1F1F1F"/>
          <w:sz w:val="22"/>
          <w:szCs w:val="22"/>
        </w:rPr>
        <w:t xml:space="preserve">Arpit, D., Jastrzebski, S., Ballas, N., Krueger, D., Bengio, E., Kanwal, M.S., Maharaj, T., Fischer, A., Courville, A. and Bengio, Y. (2017) 'A closer look at memorization in deep networks', </w:t>
      </w:r>
      <w:r>
        <w:rPr>
          <w:rFonts w:ascii="Times New Roman" w:cs="Times New Roman" w:eastAsia="Times New Roman" w:hAnsi="Times New Roman"/>
          <w:i/>
          <w:iCs/>
          <w:color w:val="1F1F1F"/>
          <w:sz w:val="22"/>
          <w:szCs w:val="22"/>
        </w:rPr>
        <w:t xml:space="preserve">Proceedings of the 34th International Conference on Machine Learning</w:t>
      </w:r>
      <w:r>
        <w:rPr>
          <w:rFonts w:ascii="Times New Roman" w:cs="Times New Roman" w:eastAsia="Times New Roman" w:hAnsi="Times New Roman"/>
          <w:i w:val="false"/>
          <w:iCs w:val="false"/>
          <w:color w:val="1F1F1F"/>
          <w:sz w:val="22"/>
          <w:szCs w:val="22"/>
        </w:rPr>
        <w:t xml:space="preserve">, 70, pp. 233-242.</w:t>
      </w:r>
    </w:p>
    <w:p>
      <w:pPr>
        <w:spacing w:after="60" w:before="40"/>
        <w:ind w:left="720" w:hanging="720"/>
      </w:pPr>
      <w:r>
        <w:rPr>
          <w:rFonts w:ascii="Times New Roman" w:cs="Times New Roman" w:eastAsia="Times New Roman" w:hAnsi="Times New Roman"/>
          <w:i w:val="false"/>
          <w:iCs w:val="false"/>
          <w:color w:val="1F1F1F"/>
          <w:sz w:val="22"/>
          <w:szCs w:val="22"/>
        </w:rPr>
        <w:t xml:space="preserve">Brodley, C.E. and Friedl, M.A. (1999) 'Identifying mislabeled training data', </w:t>
      </w:r>
      <w:r>
        <w:rPr>
          <w:rFonts w:ascii="Times New Roman" w:cs="Times New Roman" w:eastAsia="Times New Roman" w:hAnsi="Times New Roman"/>
          <w:i/>
          <w:iCs/>
          <w:color w:val="1F1F1F"/>
          <w:sz w:val="22"/>
          <w:szCs w:val="22"/>
        </w:rPr>
        <w:t xml:space="preserve">Journal of Artificial Intelligence Research</w:t>
      </w:r>
      <w:r>
        <w:rPr>
          <w:rFonts w:ascii="Times New Roman" w:cs="Times New Roman" w:eastAsia="Times New Roman" w:hAnsi="Times New Roman"/>
          <w:i w:val="false"/>
          <w:iCs w:val="false"/>
          <w:color w:val="1F1F1F"/>
          <w:sz w:val="22"/>
          <w:szCs w:val="22"/>
        </w:rPr>
        <w:t xml:space="preserve">, 11, pp. 131-167.</w:t>
      </w:r>
    </w:p>
    <w:p>
      <w:pPr>
        <w:spacing w:after="60" w:before="40"/>
        <w:ind w:left="720" w:hanging="720"/>
      </w:pPr>
      <w:r>
        <w:rPr>
          <w:rFonts w:ascii="Times New Roman" w:cs="Times New Roman" w:eastAsia="Times New Roman" w:hAnsi="Times New Roman"/>
          <w:i w:val="false"/>
          <w:iCs w:val="false"/>
          <w:color w:val="1F1F1F"/>
          <w:sz w:val="22"/>
          <w:szCs w:val="22"/>
        </w:rPr>
        <w:t xml:space="preserve">Gal, Y. and Ghahramani, Z. (2016) 'Dropout as a Bayesian approximation: Representing model uncertainty in deep learning', </w:t>
      </w:r>
      <w:r>
        <w:rPr>
          <w:rFonts w:ascii="Times New Roman" w:cs="Times New Roman" w:eastAsia="Times New Roman" w:hAnsi="Times New Roman"/>
          <w:i/>
          <w:iCs/>
          <w:color w:val="1F1F1F"/>
          <w:sz w:val="22"/>
          <w:szCs w:val="22"/>
        </w:rPr>
        <w:t xml:space="preserve">Proceedings of the 33rd International Conference on Machine Learning</w:t>
      </w:r>
      <w:r>
        <w:rPr>
          <w:rFonts w:ascii="Times New Roman" w:cs="Times New Roman" w:eastAsia="Times New Roman" w:hAnsi="Times New Roman"/>
          <w:i w:val="false"/>
          <w:iCs w:val="false"/>
          <w:color w:val="1F1F1F"/>
          <w:sz w:val="22"/>
          <w:szCs w:val="22"/>
        </w:rPr>
        <w:t xml:space="preserve">, 48, pp. 1050-1059.</w:t>
      </w:r>
    </w:p>
    <w:p>
      <w:pPr>
        <w:spacing w:after="60" w:before="40"/>
        <w:ind w:left="720" w:hanging="720"/>
      </w:pPr>
      <w:r>
        <w:rPr>
          <w:rFonts w:ascii="Times New Roman" w:cs="Times New Roman" w:eastAsia="Times New Roman" w:hAnsi="Times New Roman"/>
          <w:i w:val="false"/>
          <w:iCs w:val="false"/>
          <w:color w:val="1F1F1F"/>
          <w:sz w:val="22"/>
          <w:szCs w:val="22"/>
        </w:rPr>
        <w:t xml:space="preserve">Han, B., Yao, Q., Yu, X., Niu, G., Xu, M., Hu, W., Tsang, I. and Sugiyama, M. (2018) 'Co-teaching: Robust training of deep neural networks with extremely noisy labels', </w:t>
      </w:r>
      <w:r>
        <w:rPr>
          <w:rFonts w:ascii="Times New Roman" w:cs="Times New Roman" w:eastAsia="Times New Roman" w:hAnsi="Times New Roman"/>
          <w:i/>
          <w:iCs/>
          <w:color w:val="1F1F1F"/>
          <w:sz w:val="22"/>
          <w:szCs w:val="22"/>
        </w:rPr>
        <w:t xml:space="preserve">Advances in Neural Information Processing Systems</w:t>
      </w:r>
      <w:r>
        <w:rPr>
          <w:rFonts w:ascii="Times New Roman" w:cs="Times New Roman" w:eastAsia="Times New Roman" w:hAnsi="Times New Roman"/>
          <w:i w:val="false"/>
          <w:iCs w:val="false"/>
          <w:color w:val="1F1F1F"/>
          <w:sz w:val="22"/>
          <w:szCs w:val="22"/>
        </w:rPr>
        <w:t xml:space="preserve">, 31, pp. 8527-8537.</w:t>
      </w:r>
    </w:p>
    <w:p>
      <w:pPr>
        <w:spacing w:after="60" w:before="40"/>
        <w:ind w:left="720" w:hanging="720"/>
      </w:pPr>
      <w:r>
        <w:rPr>
          <w:rFonts w:ascii="Times New Roman" w:cs="Times New Roman" w:eastAsia="Times New Roman" w:hAnsi="Times New Roman"/>
          <w:i w:val="false"/>
          <w:iCs w:val="false"/>
          <w:color w:val="1F1F1F"/>
          <w:sz w:val="22"/>
          <w:szCs w:val="22"/>
        </w:rPr>
        <w:t xml:space="preserve">He, K., Zhang, X., Ren, S. and Sun, J. (2016) 'Deep residual learning for image recognition', </w:t>
      </w:r>
      <w:r>
        <w:rPr>
          <w:rFonts w:ascii="Times New Roman" w:cs="Times New Roman" w:eastAsia="Times New Roman" w:hAnsi="Times New Roman"/>
          <w:i/>
          <w:iCs/>
          <w:color w:val="1F1F1F"/>
          <w:sz w:val="22"/>
          <w:szCs w:val="22"/>
        </w:rPr>
        <w:t xml:space="preserve">Proceedings of the IEEE Conference on Computer Vision and Pattern Recognition</w:t>
      </w:r>
      <w:r>
        <w:rPr>
          <w:rFonts w:ascii="Times New Roman" w:cs="Times New Roman" w:eastAsia="Times New Roman" w:hAnsi="Times New Roman"/>
          <w:i w:val="false"/>
          <w:iCs w:val="false"/>
          <w:color w:val="1F1F1F"/>
          <w:sz w:val="22"/>
          <w:szCs w:val="22"/>
        </w:rPr>
        <w:t xml:space="preserve">, pp. 770-778.</w:t>
      </w:r>
    </w:p>
    <w:p>
      <w:pPr>
        <w:spacing w:after="60" w:before="40"/>
        <w:ind w:left="720" w:hanging="720"/>
      </w:pPr>
      <w:r>
        <w:rPr>
          <w:rFonts w:ascii="Times New Roman" w:cs="Times New Roman" w:eastAsia="Times New Roman" w:hAnsi="Times New Roman"/>
          <w:i w:val="false"/>
          <w:iCs w:val="false"/>
          <w:color w:val="1F1F1F"/>
          <w:sz w:val="22"/>
          <w:szCs w:val="22"/>
        </w:rPr>
        <w:t xml:space="preserve">Irvin, J., Rajpurkar, P., Ko, M., Yu, Y., Ciosi, S., Chute, C., Ball, R.L., Lungren, M.P. and Ng, A.Y. (2019) 'CheXpert: A large chest radiograph dataset with uncertainty labels and expert comparison', </w:t>
      </w:r>
      <w:r>
        <w:rPr>
          <w:rFonts w:ascii="Times New Roman" w:cs="Times New Roman" w:eastAsia="Times New Roman" w:hAnsi="Times New Roman"/>
          <w:i/>
          <w:iCs/>
          <w:color w:val="1F1F1F"/>
          <w:sz w:val="22"/>
          <w:szCs w:val="22"/>
        </w:rPr>
        <w:t xml:space="preserve">Proceedings of the 33rd AAAI Conference on Artificial Intelligence</w:t>
      </w:r>
      <w:r>
        <w:rPr>
          <w:rFonts w:ascii="Times New Roman" w:cs="Times New Roman" w:eastAsia="Times New Roman" w:hAnsi="Times New Roman"/>
          <w:i w:val="false"/>
          <w:iCs w:val="false"/>
          <w:color w:val="1F1F1F"/>
          <w:sz w:val="22"/>
          <w:szCs w:val="22"/>
        </w:rPr>
        <w:t xml:space="preserve">, 33(1), pp. 590-597.</w:t>
      </w:r>
    </w:p>
    <w:p>
      <w:pPr>
        <w:spacing w:after="60" w:before="40"/>
        <w:ind w:left="720" w:hanging="720"/>
      </w:pPr>
      <w:r>
        <w:rPr>
          <w:rFonts w:ascii="Times New Roman" w:cs="Times New Roman" w:eastAsia="Times New Roman" w:hAnsi="Times New Roman"/>
          <w:i w:val="false"/>
          <w:iCs w:val="false"/>
          <w:color w:val="1F1F1F"/>
          <w:sz w:val="22"/>
          <w:szCs w:val="22"/>
        </w:rPr>
        <w:t xml:space="preserve">Lakshminarayanan, B., Pritzel, A. and Blundell, C. (2017) 'Simple and scalable predictive uncertainty estimation using deep ensembles', </w:t>
      </w:r>
      <w:r>
        <w:rPr>
          <w:rFonts w:ascii="Times New Roman" w:cs="Times New Roman" w:eastAsia="Times New Roman" w:hAnsi="Times New Roman"/>
          <w:i/>
          <w:iCs/>
          <w:color w:val="1F1F1F"/>
          <w:sz w:val="22"/>
          <w:szCs w:val="22"/>
        </w:rPr>
        <w:t xml:space="preserve">Advances in Neural Information Processing Systems</w:t>
      </w:r>
      <w:r>
        <w:rPr>
          <w:rFonts w:ascii="Times New Roman" w:cs="Times New Roman" w:eastAsia="Times New Roman" w:hAnsi="Times New Roman"/>
          <w:i w:val="false"/>
          <w:iCs w:val="false"/>
          <w:color w:val="1F1F1F"/>
          <w:sz w:val="22"/>
          <w:szCs w:val="22"/>
        </w:rPr>
        <w:t xml:space="preserve">, 30, pp. 6402-6413.</w:t>
      </w:r>
    </w:p>
    <w:p>
      <w:pPr>
        <w:spacing w:after="60" w:before="40"/>
        <w:ind w:left="720" w:hanging="720"/>
      </w:pPr>
      <w:r>
        <w:rPr>
          <w:rFonts w:ascii="Times New Roman" w:cs="Times New Roman" w:eastAsia="Times New Roman" w:hAnsi="Times New Roman"/>
          <w:i w:val="false"/>
          <w:iCs w:val="false"/>
          <w:color w:val="1F1F1F"/>
          <w:sz w:val="22"/>
          <w:szCs w:val="22"/>
        </w:rPr>
        <w:t xml:space="preserve">Li, J., Socher, R. and Hoi, S.C.H. (2020) 'DivideMix: Learning with noisy labels as semi-supervised learning', </w:t>
      </w:r>
      <w:r>
        <w:rPr>
          <w:rFonts w:ascii="Times New Roman" w:cs="Times New Roman" w:eastAsia="Times New Roman" w:hAnsi="Times New Roman"/>
          <w:i/>
          <w:iCs/>
          <w:color w:val="1F1F1F"/>
          <w:sz w:val="22"/>
          <w:szCs w:val="22"/>
        </w:rPr>
        <w:t xml:space="preserve">Proceedings of the 8th International Conference on Learning Representations</w:t>
      </w:r>
      <w:r>
        <w:rPr>
          <w:rFonts w:ascii="Times New Roman" w:cs="Times New Roman" w:eastAsia="Times New Roman" w:hAnsi="Times New Roman"/>
          <w:i w:val="false"/>
          <w:iCs w:val="false"/>
          <w:color w:val="1F1F1F"/>
          <w:sz w:val="22"/>
          <w:szCs w:val="22"/>
        </w:rPr>
        <w:t xml:space="preserve">.</w:t>
      </w:r>
    </w:p>
    <w:p>
      <w:pPr>
        <w:spacing w:after="60" w:before="40"/>
        <w:ind w:left="720" w:hanging="720"/>
      </w:pPr>
      <w:r>
        <w:rPr>
          <w:rFonts w:ascii="Times New Roman" w:cs="Times New Roman" w:eastAsia="Times New Roman" w:hAnsi="Times New Roman"/>
          <w:i w:val="false"/>
          <w:iCs w:val="false"/>
          <w:color w:val="1F1F1F"/>
          <w:sz w:val="22"/>
          <w:szCs w:val="22"/>
        </w:rPr>
        <w:t xml:space="preserve">Natarajan, N., Dhillon, I.S., Ravikumar, P.K. and Tewari, A. (2013) 'Learning with noisy labels', </w:t>
      </w:r>
      <w:r>
        <w:rPr>
          <w:rFonts w:ascii="Times New Roman" w:cs="Times New Roman" w:eastAsia="Times New Roman" w:hAnsi="Times New Roman"/>
          <w:i/>
          <w:iCs/>
          <w:color w:val="1F1F1F"/>
          <w:sz w:val="22"/>
          <w:szCs w:val="22"/>
        </w:rPr>
        <w:t xml:space="preserve">Advances in Neural Information Processing Systems</w:t>
      </w:r>
      <w:r>
        <w:rPr>
          <w:rFonts w:ascii="Times New Roman" w:cs="Times New Roman" w:eastAsia="Times New Roman" w:hAnsi="Times New Roman"/>
          <w:i w:val="false"/>
          <w:iCs w:val="false"/>
          <w:color w:val="1F1F1F"/>
          <w:sz w:val="22"/>
          <w:szCs w:val="22"/>
        </w:rPr>
        <w:t xml:space="preserve">, 26, pp. 1196-1204.</w:t>
      </w:r>
    </w:p>
    <w:p>
      <w:pPr>
        <w:spacing w:after="60" w:before="40"/>
        <w:ind w:left="720" w:hanging="720"/>
      </w:pPr>
      <w:r>
        <w:rPr>
          <w:rFonts w:ascii="Times New Roman" w:cs="Times New Roman" w:eastAsia="Times New Roman" w:hAnsi="Times New Roman"/>
          <w:i w:val="false"/>
          <w:iCs w:val="false"/>
          <w:color w:val="1F1F1F"/>
          <w:sz w:val="22"/>
          <w:szCs w:val="22"/>
        </w:rPr>
        <w:t xml:space="preserve">Ng, A. (2021) 'A chat with Andrew on MLOps: From model-centric to data-centric AI', </w:t>
      </w:r>
      <w:r>
        <w:rPr>
          <w:rFonts w:ascii="Times New Roman" w:cs="Times New Roman" w:eastAsia="Times New Roman" w:hAnsi="Times New Roman"/>
          <w:i/>
          <w:iCs/>
          <w:color w:val="1F1F1F"/>
          <w:sz w:val="22"/>
          <w:szCs w:val="22"/>
        </w:rPr>
        <w:t xml:space="preserve">DeepLearning.AI</w:t>
      </w:r>
      <w:r>
        <w:rPr>
          <w:rFonts w:ascii="Times New Roman" w:cs="Times New Roman" w:eastAsia="Times New Roman" w:hAnsi="Times New Roman"/>
          <w:i w:val="false"/>
          <w:iCs w:val="false"/>
          <w:color w:val="1F1F1F"/>
          <w:sz w:val="22"/>
          <w:szCs w:val="22"/>
        </w:rPr>
        <w:t xml:space="preserve"> [Online]. Available at: https://www.deeplearning.ai/resources/data-centric-ai/ (Accessed: 25 April 2026).</w:t>
      </w:r>
    </w:p>
    <w:p>
      <w:pPr>
        <w:spacing w:after="60" w:before="40"/>
        <w:ind w:left="720" w:hanging="720"/>
      </w:pPr>
      <w:r>
        <w:rPr>
          <w:rFonts w:ascii="Times New Roman" w:cs="Times New Roman" w:eastAsia="Times New Roman" w:hAnsi="Times New Roman"/>
          <w:i w:val="false"/>
          <w:iCs w:val="false"/>
          <w:color w:val="1F1F1F"/>
          <w:sz w:val="22"/>
          <w:szCs w:val="22"/>
        </w:rPr>
        <w:t xml:space="preserve">Northcutt, C., Jiang, L. and Chuang, I. (2021) 'Confident learning: Estimating uncertainty in dataset labels', </w:t>
      </w:r>
      <w:r>
        <w:rPr>
          <w:rFonts w:ascii="Times New Roman" w:cs="Times New Roman" w:eastAsia="Times New Roman" w:hAnsi="Times New Roman"/>
          <w:i/>
          <w:iCs/>
          <w:color w:val="1F1F1F"/>
          <w:sz w:val="22"/>
          <w:szCs w:val="22"/>
        </w:rPr>
        <w:t xml:space="preserve">Journal of Artificial Intelligence Research</w:t>
      </w:r>
      <w:r>
        <w:rPr>
          <w:rFonts w:ascii="Times New Roman" w:cs="Times New Roman" w:eastAsia="Times New Roman" w:hAnsi="Times New Roman"/>
          <w:i w:val="false"/>
          <w:iCs w:val="false"/>
          <w:color w:val="1F1F1F"/>
          <w:sz w:val="22"/>
          <w:szCs w:val="22"/>
        </w:rPr>
        <w:t xml:space="preserve">, 70, pp. 1373-1411.</w:t>
      </w:r>
    </w:p>
    <w:p>
      <w:pPr>
        <w:spacing w:after="60" w:before="40"/>
        <w:ind w:left="720" w:hanging="720"/>
      </w:pPr>
      <w:r>
        <w:rPr>
          <w:rFonts w:ascii="Times New Roman" w:cs="Times New Roman" w:eastAsia="Times New Roman" w:hAnsi="Times New Roman"/>
          <w:i w:val="false"/>
          <w:iCs w:val="false"/>
          <w:color w:val="1F1F1F"/>
          <w:sz w:val="22"/>
          <w:szCs w:val="22"/>
        </w:rPr>
        <w:t xml:space="preserve">Oakden-Rayner, L., Dunnmon, J., Carneiro, G. and Re, C. (2020) 'Hidden stratification causes clinically meaningful failures in machine learning for medical imaging', </w:t>
      </w:r>
      <w:r>
        <w:rPr>
          <w:rFonts w:ascii="Times New Roman" w:cs="Times New Roman" w:eastAsia="Times New Roman" w:hAnsi="Times New Roman"/>
          <w:i/>
          <w:iCs/>
          <w:color w:val="1F1F1F"/>
          <w:sz w:val="22"/>
          <w:szCs w:val="22"/>
        </w:rPr>
        <w:t xml:space="preserve">Proceedings of the ACM Conference on Health, Inference and Learning</w:t>
      </w:r>
      <w:r>
        <w:rPr>
          <w:rFonts w:ascii="Times New Roman" w:cs="Times New Roman" w:eastAsia="Times New Roman" w:hAnsi="Times New Roman"/>
          <w:i w:val="false"/>
          <w:iCs w:val="false"/>
          <w:color w:val="1F1F1F"/>
          <w:sz w:val="22"/>
          <w:szCs w:val="22"/>
        </w:rPr>
        <w:t xml:space="preserve">, pp. 151-159.</w:t>
      </w:r>
    </w:p>
    <w:p>
      <w:pPr>
        <w:spacing w:after="60" w:before="40"/>
        <w:ind w:left="720" w:hanging="720"/>
      </w:pPr>
      <w:r>
        <w:rPr>
          <w:rFonts w:ascii="Times New Roman" w:cs="Times New Roman" w:eastAsia="Times New Roman" w:hAnsi="Times New Roman"/>
          <w:i w:val="false"/>
          <w:iCs w:val="false"/>
          <w:color w:val="1F1F1F"/>
          <w:sz w:val="22"/>
          <w:szCs w:val="22"/>
        </w:rPr>
        <w:t xml:space="preserve">Patrini, G., Rozza, A., Krishna Menon, A., Nock, R. and Qu, L. (2017) 'Making deep neural networks robust to label noise: A loss correction approach', </w:t>
      </w:r>
      <w:r>
        <w:rPr>
          <w:rFonts w:ascii="Times New Roman" w:cs="Times New Roman" w:eastAsia="Times New Roman" w:hAnsi="Times New Roman"/>
          <w:i/>
          <w:iCs/>
          <w:color w:val="1F1F1F"/>
          <w:sz w:val="22"/>
          <w:szCs w:val="22"/>
        </w:rPr>
        <w:t xml:space="preserve">Proceedings of the IEEE Conference on Computer Vision and Pattern Recognition</w:t>
      </w:r>
      <w:r>
        <w:rPr>
          <w:rFonts w:ascii="Times New Roman" w:cs="Times New Roman" w:eastAsia="Times New Roman" w:hAnsi="Times New Roman"/>
          <w:i w:val="false"/>
          <w:iCs w:val="false"/>
          <w:color w:val="1F1F1F"/>
          <w:sz w:val="22"/>
          <w:szCs w:val="22"/>
        </w:rPr>
        <w:t xml:space="preserve">, pp. 1944-1952.</w:t>
      </w:r>
    </w:p>
    <w:p>
      <w:pPr>
        <w:spacing w:after="60" w:before="40"/>
        <w:ind w:left="720" w:hanging="720"/>
      </w:pPr>
      <w:r>
        <w:rPr>
          <w:rFonts w:ascii="Times New Roman" w:cs="Times New Roman" w:eastAsia="Times New Roman" w:hAnsi="Times New Roman"/>
          <w:i w:val="false"/>
          <w:iCs w:val="false"/>
          <w:color w:val="1F1F1F"/>
          <w:sz w:val="22"/>
          <w:szCs w:val="22"/>
        </w:rPr>
        <w:t xml:space="preserve">Pleiss, G., Zhang, T., Elenberg, E. and Weinberger, K.Q. (2020) 'Identifying mislabeled data using the area under the margin ranking', </w:t>
      </w:r>
      <w:r>
        <w:rPr>
          <w:rFonts w:ascii="Times New Roman" w:cs="Times New Roman" w:eastAsia="Times New Roman" w:hAnsi="Times New Roman"/>
          <w:i/>
          <w:iCs/>
          <w:color w:val="1F1F1F"/>
          <w:sz w:val="22"/>
          <w:szCs w:val="22"/>
        </w:rPr>
        <w:t xml:space="preserve">Advances in Neural Information Processing Systems</w:t>
      </w:r>
      <w:r>
        <w:rPr>
          <w:rFonts w:ascii="Times New Roman" w:cs="Times New Roman" w:eastAsia="Times New Roman" w:hAnsi="Times New Roman"/>
          <w:i w:val="false"/>
          <w:iCs w:val="false"/>
          <w:color w:val="1F1F1F"/>
          <w:sz w:val="22"/>
          <w:szCs w:val="22"/>
        </w:rPr>
        <w:t xml:space="preserve">, 33, pp. 17044-17056.</w:t>
      </w:r>
    </w:p>
    <w:p>
      <w:pPr>
        <w:spacing w:after="60" w:before="40"/>
        <w:ind w:left="720" w:hanging="720"/>
      </w:pPr>
      <w:r>
        <w:rPr>
          <w:rFonts w:ascii="Times New Roman" w:cs="Times New Roman" w:eastAsia="Times New Roman" w:hAnsi="Times New Roman"/>
          <w:i w:val="false"/>
          <w:iCs w:val="false"/>
          <w:color w:val="1F1F1F"/>
          <w:sz w:val="22"/>
          <w:szCs w:val="22"/>
        </w:rPr>
        <w:t xml:space="preserve">Rajpurkar, P., Irvin, J., Ball, R.L., Zhu, K., Yang, B., Mehta, H., Duan, T., Ding, D., Bagul, A., Langlotz, C. and Ng, A.Y. (2017) 'CheXNet: Radiologist-level pneumonia detection on chest X-rays with deep learning', </w:t>
      </w:r>
      <w:r>
        <w:rPr>
          <w:rFonts w:ascii="Times New Roman" w:cs="Times New Roman" w:eastAsia="Times New Roman" w:hAnsi="Times New Roman"/>
          <w:i/>
          <w:iCs/>
          <w:color w:val="1F1F1F"/>
          <w:sz w:val="22"/>
          <w:szCs w:val="22"/>
        </w:rPr>
        <w:t xml:space="preserve">arXiv preprint</w:t>
      </w:r>
      <w:r>
        <w:rPr>
          <w:rFonts w:ascii="Times New Roman" w:cs="Times New Roman" w:eastAsia="Times New Roman" w:hAnsi="Times New Roman"/>
          <w:i w:val="false"/>
          <w:iCs w:val="false"/>
          <w:color w:val="1F1F1F"/>
          <w:sz w:val="22"/>
          <w:szCs w:val="22"/>
        </w:rPr>
        <w:t xml:space="preserve"> arXiv:1711.05225.</w:t>
      </w:r>
    </w:p>
    <w:p>
      <w:pPr>
        <w:spacing w:after="60" w:before="40"/>
        <w:ind w:left="720" w:hanging="720"/>
      </w:pPr>
      <w:r>
        <w:rPr>
          <w:rFonts w:ascii="Times New Roman" w:cs="Times New Roman" w:eastAsia="Times New Roman" w:hAnsi="Times New Roman"/>
          <w:i w:val="false"/>
          <w:iCs w:val="false"/>
          <w:color w:val="1F1F1F"/>
          <w:sz w:val="22"/>
          <w:szCs w:val="22"/>
        </w:rPr>
        <w:t xml:space="preserve">Shen, Y. and Sanghavi, S. (2019) 'Learning with bad training data via iterative trimmed loss minimization', </w:t>
      </w:r>
      <w:r>
        <w:rPr>
          <w:rFonts w:ascii="Times New Roman" w:cs="Times New Roman" w:eastAsia="Times New Roman" w:hAnsi="Times New Roman"/>
          <w:i/>
          <w:iCs/>
          <w:color w:val="1F1F1F"/>
          <w:sz w:val="22"/>
          <w:szCs w:val="22"/>
        </w:rPr>
        <w:t xml:space="preserve">Proceedings of the 36th International Conference on Machine Learning</w:t>
      </w:r>
      <w:r>
        <w:rPr>
          <w:rFonts w:ascii="Times New Roman" w:cs="Times New Roman" w:eastAsia="Times New Roman" w:hAnsi="Times New Roman"/>
          <w:i w:val="false"/>
          <w:iCs w:val="false"/>
          <w:color w:val="1F1F1F"/>
          <w:sz w:val="22"/>
          <w:szCs w:val="22"/>
        </w:rPr>
        <w:t xml:space="preserve">, 97, pp. 5739-5748.</w:t>
      </w:r>
    </w:p>
    <w:p>
      <w:pPr>
        <w:spacing w:after="60" w:before="40"/>
        <w:ind w:left="720" w:hanging="720"/>
      </w:pPr>
      <w:r>
        <w:rPr>
          <w:rFonts w:ascii="Times New Roman" w:cs="Times New Roman" w:eastAsia="Times New Roman" w:hAnsi="Times New Roman"/>
          <w:i w:val="false"/>
          <w:iCs w:val="false"/>
          <w:color w:val="1F1F1F"/>
          <w:sz w:val="22"/>
          <w:szCs w:val="22"/>
        </w:rPr>
        <w:t xml:space="preserve">Song, H., Kim, M., Park, D., Shin, Y. and Lee, J.-G. (2022) 'Learning from noisy labels with deep neural networks: A survey', </w:t>
      </w:r>
      <w:r>
        <w:rPr>
          <w:rFonts w:ascii="Times New Roman" w:cs="Times New Roman" w:eastAsia="Times New Roman" w:hAnsi="Times New Roman"/>
          <w:i/>
          <w:iCs/>
          <w:color w:val="1F1F1F"/>
          <w:sz w:val="22"/>
          <w:szCs w:val="22"/>
        </w:rPr>
        <w:t xml:space="preserve">IEEE Transactions on Neural Networks and Learning Systems</w:t>
      </w:r>
      <w:r>
        <w:rPr>
          <w:rFonts w:ascii="Times New Roman" w:cs="Times New Roman" w:eastAsia="Times New Roman" w:hAnsi="Times New Roman"/>
          <w:i w:val="false"/>
          <w:iCs w:val="false"/>
          <w:color w:val="1F1F1F"/>
          <w:sz w:val="22"/>
          <w:szCs w:val="22"/>
        </w:rPr>
        <w:t xml:space="preserve">, 34(11), pp. 8135-8153.</w:t>
      </w:r>
    </w:p>
    <w:p>
      <w:pPr>
        <w:spacing w:after="60" w:before="40"/>
        <w:ind w:left="720" w:hanging="720"/>
      </w:pPr>
      <w:r>
        <w:rPr>
          <w:rFonts w:ascii="Times New Roman" w:cs="Times New Roman" w:eastAsia="Times New Roman" w:hAnsi="Times New Roman"/>
          <w:i w:val="false"/>
          <w:iCs w:val="false"/>
          <w:color w:val="1F1F1F"/>
          <w:sz w:val="22"/>
          <w:szCs w:val="22"/>
        </w:rPr>
        <w:t xml:space="preserve">Warnat-Herresthal, S., Schultze, H., Shastry, K.L., Manamohan, S., Mukherjee, S., Garg, V., Sarveswara, R., Handler, K., Pickkers, P. and Schultze, J.L. (2021) 'Swarm learning for decentralized and confidential clinical machine learning', </w:t>
      </w:r>
      <w:r>
        <w:rPr>
          <w:rFonts w:ascii="Times New Roman" w:cs="Times New Roman" w:eastAsia="Times New Roman" w:hAnsi="Times New Roman"/>
          <w:i/>
          <w:iCs/>
          <w:color w:val="1F1F1F"/>
          <w:sz w:val="22"/>
          <w:szCs w:val="22"/>
        </w:rPr>
        <w:t xml:space="preserve">Nature</w:t>
      </w:r>
      <w:r>
        <w:rPr>
          <w:rFonts w:ascii="Times New Roman" w:cs="Times New Roman" w:eastAsia="Times New Roman" w:hAnsi="Times New Roman"/>
          <w:i w:val="false"/>
          <w:iCs w:val="false"/>
          <w:color w:val="1F1F1F"/>
          <w:sz w:val="22"/>
          <w:szCs w:val="22"/>
        </w:rPr>
        <w:t xml:space="preserve">, 594(7862), pp. 265-270.</w:t>
      </w:r>
    </w:p>
    <w:p>
      <w:pPr>
        <w:spacing w:after="60" w:before="40"/>
        <w:ind w:left="720" w:hanging="720"/>
      </w:pPr>
      <w:r>
        <w:rPr>
          <w:rFonts w:ascii="Times New Roman" w:cs="Times New Roman" w:eastAsia="Times New Roman" w:hAnsi="Times New Roman"/>
          <w:i w:val="false"/>
          <w:iCs w:val="false"/>
          <w:color w:val="1F1F1F"/>
          <w:sz w:val="22"/>
          <w:szCs w:val="22"/>
        </w:rPr>
        <w:t xml:space="preserve">Zhang, C., Bengio, S., Hardt, M., Recht, B. and Vinyals, O. (2021) 'Understanding deep learning requires rethinking generalization', </w:t>
      </w:r>
      <w:r>
        <w:rPr>
          <w:rFonts w:ascii="Times New Roman" w:cs="Times New Roman" w:eastAsia="Times New Roman" w:hAnsi="Times New Roman"/>
          <w:i/>
          <w:iCs/>
          <w:color w:val="1F1F1F"/>
          <w:sz w:val="22"/>
          <w:szCs w:val="22"/>
        </w:rPr>
        <w:t xml:space="preserve">Communications of the ACM</w:t>
      </w:r>
      <w:r>
        <w:rPr>
          <w:rFonts w:ascii="Times New Roman" w:cs="Times New Roman" w:eastAsia="Times New Roman" w:hAnsi="Times New Roman"/>
          <w:i w:val="false"/>
          <w:iCs w:val="false"/>
          <w:color w:val="1F1F1F"/>
          <w:sz w:val="22"/>
          <w:szCs w:val="22"/>
        </w:rPr>
        <w:t xml:space="preserve">, 64(3), pp. 107-115.</w:t>
      </w:r>
    </w:p>
    <w:p>
      <w:pPr>
        <w:spacing w:after="60" w:before="40"/>
        <w:ind w:left="720" w:hanging="720"/>
      </w:pPr>
      <w:r>
        <w:rPr>
          <w:rFonts w:ascii="Times New Roman" w:cs="Times New Roman" w:eastAsia="Times New Roman" w:hAnsi="Times New Roman"/>
          <w:i w:val="false"/>
          <w:iCs w:val="false"/>
          <w:color w:val="1F1F1F"/>
          <w:sz w:val="22"/>
          <w:szCs w:val="22"/>
        </w:rPr>
        <w:t xml:space="preserve">Zheng, G., Awasthi, A., Bhaskar, D. and Rohrbach, M. (2021) 'Meta label correction for noisy label learning', </w:t>
      </w:r>
      <w:r>
        <w:rPr>
          <w:rFonts w:ascii="Times New Roman" w:cs="Times New Roman" w:eastAsia="Times New Roman" w:hAnsi="Times New Roman"/>
          <w:i/>
          <w:iCs/>
          <w:color w:val="1F1F1F"/>
          <w:sz w:val="22"/>
          <w:szCs w:val="22"/>
        </w:rPr>
        <w:t xml:space="preserve">Proceedings of the 35th AAAI Conference on Artificial Intelligence</w:t>
      </w:r>
      <w:r>
        <w:rPr>
          <w:rFonts w:ascii="Times New Roman" w:cs="Times New Roman" w:eastAsia="Times New Roman" w:hAnsi="Times New Roman"/>
          <w:i w:val="false"/>
          <w:iCs w:val="false"/>
          <w:color w:val="1F1F1F"/>
          <w:sz w:val="22"/>
          <w:szCs w:val="22"/>
        </w:rPr>
        <w:t xml:space="preserve">, 35(12), pp. 11053-11061.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Times New Roman" w:cs="Times New Roman" w:eastAsia="Times New Roman" w:hAnsi="Times New Roman"/>
        <w:color w:val="777777"/>
        <w:sz w:val="18"/>
        <w:szCs w:val="18"/>
      </w:rPr>
      <w:t xml:space="preserve">CET3006 Research Project  |  Abhay Kalathil Shinil  |  250202272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2026-04-25T01:20:20.477Z</dcterms:created>
  <dcterms:modified xsi:type="dcterms:W3CDTF">2026-04-25T01:20:20.477Z</dcterms:modified>
</cp:coreProperties>
</file>

<file path=docProps/custom.xml><?xml version="1.0" encoding="utf-8"?>
<Properties xmlns="http://schemas.openxmlformats.org/officeDocument/2006/custom-properties" xmlns:vt="http://schemas.openxmlformats.org/officeDocument/2006/docPropsVTypes"/>
</file>