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2"/>
        </w:rPr>
        <w:t>CHARGEMESH</w:t>
      </w:r>
    </w:p>
    <w:p>
      <w:pPr>
        <w:jc w:val="center"/>
      </w:pPr>
      <w:r>
        <w:rPr>
          <w:b/>
          <w:sz w:val="46"/>
        </w:rPr>
        <w:t>CONCEPT NOTE</w:t>
      </w:r>
    </w:p>
    <w:p>
      <w:pPr>
        <w:jc w:val="center"/>
      </w:pPr>
      <w:r>
        <w:rPr>
          <w:b w:val="0"/>
          <w:sz w:val="26"/>
        </w:rPr>
        <w:t>Detailed Product, Market, Problem, Solution &amp; Business Blueprint</w:t>
      </w:r>
    </w:p>
    <w:p>
      <w:pPr>
        <w:jc w:val="center"/>
      </w:pPr>
      <w:r>
        <w:rPr>
          <w:b w:val="0"/>
        </w:rPr>
        <w:t>Document 01 | Version 3.0 | August 2026</w:t>
      </w:r>
    </w:p>
    <w:p>
      <w:pPr>
        <w:jc w:val="center"/>
      </w:pPr>
      <w:r>
        <w:rPr>
          <w:b w:val="0"/>
        </w:rPr>
        <w:t>Android + iOS Consumer Application | Web-only Admin Platform</w:t>
      </w:r>
    </w:p>
    <w:p>
      <w:pPr>
        <w:jc w:val="center"/>
      </w:pPr>
      <w:r>
        <w:rPr>
          <w:b/>
        </w:rPr>
        <w:t>One App. Multiple Charging Networks. One Charging Experience. ⚡</w:t>
      </w:r>
    </w:p>
    <w:p>
      <w:pPr>
        <w:jc w:val="center"/>
      </w:pPr>
      <w:r>
        <w:rPr>
          <w:b w:val="0"/>
        </w:rPr>
        <w:br/>
        <w:t>Prepared as the master concept document for ChargeMesh.</w:t>
      </w:r>
    </w:p>
    <w:p>
      <w:r>
        <w:br w:type="page"/>
      </w:r>
    </w:p>
    <w:p>
      <w:pPr>
        <w:pStyle w:val="Heading1"/>
      </w:pPr>
      <w:r>
        <w:t>Document Control</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7"/>
              </w:rPr>
              <w:t>Field</w:t>
            </w:r>
          </w:p>
        </w:tc>
        <w:tc>
          <w:tcPr>
            <w:tcW w:type="dxa" w:w="5112"/>
            <w:vAlign w:val="center"/>
            <w:shd w:fill="DDEBF7"/>
          </w:tcPr>
          <w:p>
            <w:r/>
            <w:r>
              <w:rPr>
                <w:b/>
                <w:sz w:val="17"/>
              </w:rPr>
              <w:t>Details</w:t>
            </w:r>
          </w:p>
        </w:tc>
      </w:tr>
      <w:tr>
        <w:tc>
          <w:tcPr>
            <w:tcW w:type="dxa" w:w="5112"/>
            <w:vAlign w:val="center"/>
          </w:tcPr>
          <w:p>
            <w:r/>
            <w:r>
              <w:rPr>
                <w:b w:val="0"/>
                <w:sz w:val="17"/>
              </w:rPr>
              <w:t>Product</w:t>
            </w:r>
          </w:p>
        </w:tc>
        <w:tc>
          <w:tcPr>
            <w:tcW w:type="dxa" w:w="5112"/>
            <w:vAlign w:val="center"/>
          </w:tcPr>
          <w:p>
            <w:r/>
            <w:r>
              <w:rPr>
                <w:b w:val="0"/>
                <w:sz w:val="17"/>
              </w:rPr>
              <w:t>ChargeMesh</w:t>
            </w:r>
          </w:p>
        </w:tc>
      </w:tr>
      <w:tr>
        <w:tc>
          <w:tcPr>
            <w:tcW w:type="dxa" w:w="5112"/>
            <w:vAlign w:val="center"/>
          </w:tcPr>
          <w:p>
            <w:r/>
            <w:r>
              <w:rPr>
                <w:b w:val="0"/>
                <w:sz w:val="17"/>
              </w:rPr>
              <w:t>Document</w:t>
            </w:r>
          </w:p>
        </w:tc>
        <w:tc>
          <w:tcPr>
            <w:tcW w:type="dxa" w:w="5112"/>
            <w:vAlign w:val="center"/>
          </w:tcPr>
          <w:p>
            <w:r/>
            <w:r>
              <w:rPr>
                <w:b w:val="0"/>
                <w:sz w:val="17"/>
              </w:rPr>
              <w:t>Concept Note</w:t>
            </w:r>
          </w:p>
        </w:tc>
      </w:tr>
      <w:tr>
        <w:tc>
          <w:tcPr>
            <w:tcW w:type="dxa" w:w="5112"/>
            <w:vAlign w:val="center"/>
          </w:tcPr>
          <w:p>
            <w:r/>
            <w:r>
              <w:rPr>
                <w:b w:val="0"/>
                <w:sz w:val="17"/>
              </w:rPr>
              <w:t>Document Number</w:t>
            </w:r>
          </w:p>
        </w:tc>
        <w:tc>
          <w:tcPr>
            <w:tcW w:type="dxa" w:w="5112"/>
            <w:vAlign w:val="center"/>
          </w:tcPr>
          <w:p>
            <w:r/>
            <w:r>
              <w:rPr>
                <w:b w:val="0"/>
                <w:sz w:val="17"/>
              </w:rPr>
              <w:t>CM-DOC-01</w:t>
            </w:r>
          </w:p>
        </w:tc>
      </w:tr>
      <w:tr>
        <w:tc>
          <w:tcPr>
            <w:tcW w:type="dxa" w:w="5112"/>
            <w:vAlign w:val="center"/>
          </w:tcPr>
          <w:p>
            <w:r/>
            <w:r>
              <w:rPr>
                <w:b w:val="0"/>
                <w:sz w:val="17"/>
              </w:rPr>
              <w:t>Version</w:t>
            </w:r>
          </w:p>
        </w:tc>
        <w:tc>
          <w:tcPr>
            <w:tcW w:type="dxa" w:w="5112"/>
            <w:vAlign w:val="center"/>
          </w:tcPr>
          <w:p>
            <w:r/>
            <w:r>
              <w:rPr>
                <w:b w:val="0"/>
                <w:sz w:val="17"/>
              </w:rPr>
              <w:t>3.0</w:t>
            </w:r>
          </w:p>
        </w:tc>
      </w:tr>
      <w:tr>
        <w:tc>
          <w:tcPr>
            <w:tcW w:type="dxa" w:w="5112"/>
            <w:vAlign w:val="center"/>
          </w:tcPr>
          <w:p>
            <w:r/>
            <w:r>
              <w:rPr>
                <w:b w:val="0"/>
                <w:sz w:val="17"/>
              </w:rPr>
              <w:t>Status</w:t>
            </w:r>
          </w:p>
        </w:tc>
        <w:tc>
          <w:tcPr>
            <w:tcW w:type="dxa" w:w="5112"/>
            <w:vAlign w:val="center"/>
          </w:tcPr>
          <w:p>
            <w:r/>
            <w:r>
              <w:rPr>
                <w:b w:val="0"/>
                <w:sz w:val="17"/>
              </w:rPr>
              <w:t>Detailed working master</w:t>
            </w:r>
          </w:p>
        </w:tc>
      </w:tr>
      <w:tr>
        <w:tc>
          <w:tcPr>
            <w:tcW w:type="dxa" w:w="5112"/>
            <w:vAlign w:val="center"/>
          </w:tcPr>
          <w:p>
            <w:r/>
            <w:r>
              <w:rPr>
                <w:b w:val="0"/>
                <w:sz w:val="17"/>
              </w:rPr>
              <w:t>Product Type</w:t>
            </w:r>
          </w:p>
        </w:tc>
        <w:tc>
          <w:tcPr>
            <w:tcW w:type="dxa" w:w="5112"/>
            <w:vAlign w:val="center"/>
          </w:tcPr>
          <w:p>
            <w:r/>
            <w:r>
              <w:rPr>
                <w:b w:val="0"/>
                <w:sz w:val="17"/>
              </w:rPr>
              <w:t>EV charging interoperability / e-mobility platform</w:t>
            </w:r>
          </w:p>
        </w:tc>
      </w:tr>
      <w:tr>
        <w:tc>
          <w:tcPr>
            <w:tcW w:type="dxa" w:w="5112"/>
            <w:vAlign w:val="center"/>
          </w:tcPr>
          <w:p>
            <w:r/>
            <w:r>
              <w:rPr>
                <w:b w:val="0"/>
                <w:sz w:val="17"/>
              </w:rPr>
              <w:t>Consumer Platforms</w:t>
            </w:r>
          </w:p>
        </w:tc>
        <w:tc>
          <w:tcPr>
            <w:tcW w:type="dxa" w:w="5112"/>
            <w:vAlign w:val="center"/>
          </w:tcPr>
          <w:p>
            <w:r/>
            <w:r>
              <w:rPr>
                <w:b w:val="0"/>
                <w:sz w:val="17"/>
              </w:rPr>
              <w:t>Android + iOS through one cross-platform application</w:t>
            </w:r>
          </w:p>
        </w:tc>
      </w:tr>
      <w:tr>
        <w:tc>
          <w:tcPr>
            <w:tcW w:type="dxa" w:w="5112"/>
            <w:vAlign w:val="center"/>
          </w:tcPr>
          <w:p>
            <w:r/>
            <w:r>
              <w:rPr>
                <w:b w:val="0"/>
                <w:sz w:val="17"/>
              </w:rPr>
              <w:t>Operations Platform</w:t>
            </w:r>
          </w:p>
        </w:tc>
        <w:tc>
          <w:tcPr>
            <w:tcW w:type="dxa" w:w="5112"/>
            <w:vAlign w:val="center"/>
          </w:tcPr>
          <w:p>
            <w:r/>
            <w:r>
              <w:rPr>
                <w:b w:val="0"/>
                <w:sz w:val="17"/>
              </w:rPr>
              <w:t>Web-only Admin</w:t>
            </w:r>
          </w:p>
        </w:tc>
      </w:tr>
      <w:tr>
        <w:tc>
          <w:tcPr>
            <w:tcW w:type="dxa" w:w="5112"/>
            <w:vAlign w:val="center"/>
          </w:tcPr>
          <w:p>
            <w:r/>
            <w:r>
              <w:rPr>
                <w:b w:val="0"/>
                <w:sz w:val="17"/>
              </w:rPr>
              <w:t>Primary Market</w:t>
            </w:r>
          </w:p>
        </w:tc>
        <w:tc>
          <w:tcPr>
            <w:tcW w:type="dxa" w:w="5112"/>
            <w:vAlign w:val="center"/>
          </w:tcPr>
          <w:p>
            <w:r/>
            <w:r>
              <w:rPr>
                <w:b w:val="0"/>
                <w:sz w:val="17"/>
              </w:rPr>
              <w:t>India; initial pilot recommended in Delhi NCR</w:t>
            </w:r>
          </w:p>
        </w:tc>
      </w:tr>
      <w:tr>
        <w:tc>
          <w:tcPr>
            <w:tcW w:type="dxa" w:w="5112"/>
            <w:vAlign w:val="center"/>
          </w:tcPr>
          <w:p>
            <w:r/>
            <w:r>
              <w:rPr>
                <w:b w:val="0"/>
                <w:sz w:val="17"/>
              </w:rPr>
              <w:t>Primary Users</w:t>
            </w:r>
          </w:p>
        </w:tc>
        <w:tc>
          <w:tcPr>
            <w:tcW w:type="dxa" w:w="5112"/>
            <w:vAlign w:val="center"/>
          </w:tcPr>
          <w:p>
            <w:r/>
            <w:r>
              <w:rPr>
                <w:b w:val="0"/>
                <w:sz w:val="17"/>
              </w:rPr>
              <w:t>EV drivers</w:t>
            </w:r>
          </w:p>
        </w:tc>
      </w:tr>
      <w:tr>
        <w:tc>
          <w:tcPr>
            <w:tcW w:type="dxa" w:w="5112"/>
            <w:vAlign w:val="center"/>
          </w:tcPr>
          <w:p>
            <w:r/>
            <w:r>
              <w:rPr>
                <w:b w:val="0"/>
                <w:sz w:val="17"/>
              </w:rPr>
              <w:t>Business Partners</w:t>
            </w:r>
          </w:p>
        </w:tc>
        <w:tc>
          <w:tcPr>
            <w:tcW w:type="dxa" w:w="5112"/>
            <w:vAlign w:val="center"/>
          </w:tcPr>
          <w:p>
            <w:r/>
            <w:r>
              <w:rPr>
                <w:b w:val="0"/>
                <w:sz w:val="17"/>
              </w:rPr>
              <w:t>CPOs, payment partners, roaming/integration partners</w:t>
            </w:r>
          </w:p>
        </w:tc>
      </w:tr>
      <w:tr>
        <w:tc>
          <w:tcPr>
            <w:tcW w:type="dxa" w:w="5112"/>
            <w:vAlign w:val="center"/>
          </w:tcPr>
          <w:p>
            <w:r/>
            <w:r>
              <w:rPr>
                <w:b w:val="0"/>
                <w:sz w:val="17"/>
              </w:rPr>
              <w:t>Owner</w:t>
            </w:r>
          </w:p>
        </w:tc>
        <w:tc>
          <w:tcPr>
            <w:tcW w:type="dxa" w:w="5112"/>
            <w:vAlign w:val="center"/>
          </w:tcPr>
          <w:p>
            <w:r/>
            <w:r>
              <w:rPr>
                <w:b w:val="0"/>
                <w:sz w:val="17"/>
              </w:rPr>
              <w:t>ChargeMesh</w:t>
            </w:r>
          </w:p>
        </w:tc>
      </w:tr>
    </w:tbl>
    <w:p>
      <w:pPr>
        <w:pStyle w:val="Heading2"/>
      </w:pPr>
      <w:r>
        <w:t>Version 3.0 — What This Document Adds</w:t>
      </w:r>
    </w:p>
    <w:p>
      <w:pPr>
        <w:pStyle w:val="ListBullet"/>
      </w:pPr>
      <w:r>
        <w:t>A complete problem-to-solution narrative based on the charging-app screenshots and user journey reviewed.</w:t>
      </w:r>
    </w:p>
    <w:p>
      <w:pPr>
        <w:pStyle w:val="ListBullet"/>
      </w:pPr>
      <w:r>
        <w:t>Clear distinction between station, EVSE and connector so 'station available' is not confused with 'connector available'.</w:t>
      </w:r>
    </w:p>
    <w:p>
      <w:pPr>
        <w:pStyle w:val="ListBullet"/>
      </w:pPr>
      <w:r>
        <w:t>A formal Available / In Use / Unavailable / Offline / Unknown / Stale status model.</w:t>
      </w:r>
    </w:p>
    <w:p>
      <w:pPr>
        <w:pStyle w:val="ListBullet"/>
      </w:pPr>
      <w:r>
        <w:t>A charger data-confidence and reliability layer.</w:t>
      </w:r>
    </w:p>
    <w:p>
      <w:pPr>
        <w:pStyle w:val="ListBullet"/>
      </w:pPr>
      <w:r>
        <w:t>Vehicle-aware charger discovery and compatibility logic.</w:t>
      </w:r>
    </w:p>
    <w:p>
      <w:pPr>
        <w:pStyle w:val="ListBullet"/>
      </w:pPr>
      <w:r>
        <w:t>A unified charging journey: Find → Verify → Choose → Pay → Charge → Track.</w:t>
      </w:r>
    </w:p>
    <w:p>
      <w:pPr>
        <w:pStyle w:val="ListBullet"/>
      </w:pPr>
      <w:r>
        <w:t>A second charging journey: Scan QR → Verify → Pay → Charge.</w:t>
      </w:r>
    </w:p>
    <w:p>
      <w:pPr>
        <w:pStyle w:val="ListBullet"/>
      </w:pPr>
      <w:r>
        <w:t>Charging targets by Amount, Time and Energy (kWh) where supported.</w:t>
      </w:r>
    </w:p>
    <w:p>
      <w:pPr>
        <w:pStyle w:val="ListBullet"/>
      </w:pPr>
      <w:r>
        <w:t>Voltage explicitly treated as a technical charger attribute, not a normal consumer billing target.</w:t>
      </w:r>
    </w:p>
    <w:p>
      <w:pPr>
        <w:pStyle w:val="ListBullet"/>
      </w:pPr>
      <w:r>
        <w:t>Unified payment experience as the MVP direction, with a regulated stored-value wallet treated as a separate decision.</w:t>
      </w:r>
    </w:p>
    <w:p>
      <w:pPr>
        <w:pStyle w:val="ListBullet"/>
      </w:pPr>
      <w:r>
        <w:t>CPO integration strategy using OCPI 2.3.0 where supported and isolated adapters for proprietary APIs.</w:t>
      </w:r>
    </w:p>
    <w:p>
      <w:pPr>
        <w:pStyle w:val="ListBullet"/>
      </w:pPr>
      <w:r>
        <w:t>Settlement, CDR, payment and session reconciliation as first-class platform capabilities.</w:t>
      </w:r>
    </w:p>
    <w:p>
      <w:pPr>
        <w:pStyle w:val="ListBullet"/>
      </w:pPr>
      <w:r>
        <w:t>A detailed pilot, business model, risks, metrics, governance and roadmap.</w:t>
      </w:r>
    </w:p>
    <w:p>
      <w:pPr>
        <w:pStyle w:val="Heading1"/>
      </w:pPr>
      <w:r>
        <w:t>1. Executive Summary</w:t>
      </w:r>
    </w:p>
    <w:p>
      <w:r>
        <w:rPr>
          <w:b w:val="0"/>
        </w:rPr>
        <w:t>ChargeMesh is a cross-platform EV charging interoperability platform intended to solve a simple but important customer problem: an EV driver should not need to understand the charging-network ownership of a charger before using it.</w:t>
      </w:r>
    </w:p>
    <w:p>
      <w:r>
        <w:rPr>
          <w:b w:val="0"/>
        </w:rPr>
        <w:t>Today, an EV driver can discover a charger on a map but may then encounter a different CPO, a different application, a separate wallet, a separate payment process, a different QR flow, inconsistent availability information and fragmented charging history. The driver's problem is therefore not simply 'Where is a charger?' It is 'Where can I reliably charge my vehicle right now, how much will it cost, and can I complete the charging session without switching ecosystems?'</w:t>
      </w:r>
    </w:p>
    <w:p>
      <w:r>
        <w:rPr>
          <w:b w:val="0"/>
        </w:rPr>
        <w:t>ChargeMesh proposes a single consumer application for Android and iOS that aggregates participating CPO networks and presents their infrastructure through one consistent experience. The user can search nearby charging stations, filter by vehicle compatibility and charging requirements, see connector-level availability, understand data freshness, compare charging speed and tariff, navigate to a station, scan a QR code, initiate charging, pay through one payment experience, monitor the session and keep one charging history.</w:t>
      </w:r>
    </w:p>
    <w:p>
      <w:r>
        <w:rPr>
          <w:b w:val="0"/>
        </w:rPr>
        <w:t>The long-term ambition is to make the CPO network largely invisible to the end user. CPO identity remains transparent and important for commercial, operational and support purposes, but the user experience is organized around the driver's need: charge successfully.</w:t>
      </w:r>
    </w:p>
    <w:p>
      <w:r>
        <w:rPr>
          <w:b w:val="0"/>
        </w:rPr>
        <w:t>ChargeMesh is therefore better described as an interoperability and charging-experience layer than as another charger-map application.</w:t>
      </w:r>
    </w:p>
    <w:p>
      <w:pPr>
        <w:pStyle w:val="Heading2"/>
      </w:pPr>
      <w:r>
        <w:t>1.1 One-Line Concept</w:t>
      </w:r>
    </w:p>
    <w:p>
      <w:pPr>
        <w:jc w:val="center"/>
      </w:pPr>
      <w:r>
        <w:rPr>
          <w:b/>
        </w:rPr>
        <w:t>ChargeMesh = one intelligent EV charging experience across multiple participating charging networks.</w:t>
      </w:r>
    </w:p>
    <w:p>
      <w:pPr>
        <w:pStyle w:val="Heading2"/>
      </w:pPr>
      <w:r>
        <w:t>1.2 Product Promise</w:t>
      </w:r>
    </w:p>
    <w:p>
      <w:pPr>
        <w:jc w:val="center"/>
      </w:pPr>
      <w:r>
        <w:rPr>
          <w:b/>
        </w:rPr>
        <w:t>Find a compatible charger. Verify its real availability. Understand speed and price. Pay once through a consistent experience. Start charging. Track everything.</w:t>
      </w:r>
    </w:p>
    <w:p>
      <w:pPr>
        <w:pStyle w:val="Heading2"/>
      </w:pPr>
      <w:r>
        <w:t>1.3 The Core Product Loop</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7"/>
              </w:rPr>
              <w:t>Step</w:t>
            </w:r>
          </w:p>
        </w:tc>
        <w:tc>
          <w:tcPr>
            <w:tcW w:type="dxa" w:w="3408"/>
            <w:vAlign w:val="center"/>
            <w:shd w:fill="DDEBF7"/>
          </w:tcPr>
          <w:p>
            <w:r/>
            <w:r>
              <w:rPr>
                <w:b/>
                <w:sz w:val="17"/>
              </w:rPr>
              <w:t>User Question</w:t>
            </w:r>
          </w:p>
        </w:tc>
        <w:tc>
          <w:tcPr>
            <w:tcW w:type="dxa" w:w="3408"/>
            <w:vAlign w:val="center"/>
            <w:shd w:fill="DDEBF7"/>
          </w:tcPr>
          <w:p>
            <w:r/>
            <w:r>
              <w:rPr>
                <w:b/>
                <w:sz w:val="17"/>
              </w:rPr>
              <w:t>ChargeMesh Answer</w:t>
            </w:r>
          </w:p>
        </w:tc>
      </w:tr>
      <w:tr>
        <w:tc>
          <w:tcPr>
            <w:tcW w:type="dxa" w:w="3408"/>
            <w:vAlign w:val="center"/>
          </w:tcPr>
          <w:p>
            <w:r/>
            <w:r>
              <w:rPr>
                <w:b w:val="0"/>
                <w:sz w:val="17"/>
              </w:rPr>
              <w:t>1. Find</w:t>
            </w:r>
          </w:p>
        </w:tc>
        <w:tc>
          <w:tcPr>
            <w:tcW w:type="dxa" w:w="3408"/>
            <w:vAlign w:val="center"/>
          </w:tcPr>
          <w:p>
            <w:r/>
            <w:r>
              <w:rPr>
                <w:b w:val="0"/>
                <w:sz w:val="17"/>
              </w:rPr>
              <w:t>Where can I charge?</w:t>
            </w:r>
          </w:p>
        </w:tc>
        <w:tc>
          <w:tcPr>
            <w:tcW w:type="dxa" w:w="3408"/>
            <w:vAlign w:val="center"/>
          </w:tcPr>
          <w:p>
            <w:r/>
            <w:r>
              <w:rPr>
                <w:b w:val="0"/>
                <w:sz w:val="17"/>
              </w:rPr>
              <w:t>Nearby participating chargers on map/list</w:t>
            </w:r>
          </w:p>
        </w:tc>
      </w:tr>
      <w:tr>
        <w:tc>
          <w:tcPr>
            <w:tcW w:type="dxa" w:w="3408"/>
            <w:vAlign w:val="center"/>
          </w:tcPr>
          <w:p>
            <w:r/>
            <w:r>
              <w:rPr>
                <w:b w:val="0"/>
                <w:sz w:val="17"/>
              </w:rPr>
              <w:t>2. Verify</w:t>
            </w:r>
          </w:p>
        </w:tc>
        <w:tc>
          <w:tcPr>
            <w:tcW w:type="dxa" w:w="3408"/>
            <w:vAlign w:val="center"/>
          </w:tcPr>
          <w:p>
            <w:r/>
            <w:r>
              <w:rPr>
                <w:b w:val="0"/>
                <w:sz w:val="17"/>
              </w:rPr>
              <w:t>Can I actually charge there?</w:t>
            </w:r>
          </w:p>
        </w:tc>
        <w:tc>
          <w:tcPr>
            <w:tcW w:type="dxa" w:w="3408"/>
            <w:vAlign w:val="center"/>
          </w:tcPr>
          <w:p>
            <w:r/>
            <w:r>
              <w:rPr>
                <w:b w:val="0"/>
                <w:sz w:val="17"/>
              </w:rPr>
              <w:t>Connector-level status + freshness</w:t>
            </w:r>
          </w:p>
        </w:tc>
      </w:tr>
      <w:tr>
        <w:tc>
          <w:tcPr>
            <w:tcW w:type="dxa" w:w="3408"/>
            <w:vAlign w:val="center"/>
          </w:tcPr>
          <w:p>
            <w:r/>
            <w:r>
              <w:rPr>
                <w:b w:val="0"/>
                <w:sz w:val="17"/>
              </w:rPr>
              <w:t>3. Choose</w:t>
            </w:r>
          </w:p>
        </w:tc>
        <w:tc>
          <w:tcPr>
            <w:tcW w:type="dxa" w:w="3408"/>
            <w:vAlign w:val="center"/>
          </w:tcPr>
          <w:p>
            <w:r/>
            <w:r>
              <w:rPr>
                <w:b w:val="0"/>
                <w:sz w:val="17"/>
              </w:rPr>
              <w:t>Which charger is best?</w:t>
            </w:r>
          </w:p>
        </w:tc>
        <w:tc>
          <w:tcPr>
            <w:tcW w:type="dxa" w:w="3408"/>
            <w:vAlign w:val="center"/>
          </w:tcPr>
          <w:p>
            <w:r/>
            <w:r>
              <w:rPr>
                <w:b w:val="0"/>
                <w:sz w:val="17"/>
              </w:rPr>
              <w:t>Compatibility + power + price + distance + reliability</w:t>
            </w:r>
          </w:p>
        </w:tc>
      </w:tr>
      <w:tr>
        <w:tc>
          <w:tcPr>
            <w:tcW w:type="dxa" w:w="3408"/>
            <w:vAlign w:val="center"/>
          </w:tcPr>
          <w:p>
            <w:r/>
            <w:r>
              <w:rPr>
                <w:b w:val="0"/>
                <w:sz w:val="17"/>
              </w:rPr>
              <w:t>4. Pay</w:t>
            </w:r>
          </w:p>
        </w:tc>
        <w:tc>
          <w:tcPr>
            <w:tcW w:type="dxa" w:w="3408"/>
            <w:vAlign w:val="center"/>
          </w:tcPr>
          <w:p>
            <w:r/>
            <w:r>
              <w:rPr>
                <w:b w:val="0"/>
                <w:sz w:val="17"/>
              </w:rPr>
              <w:t>How do I pay?</w:t>
            </w:r>
          </w:p>
        </w:tc>
        <w:tc>
          <w:tcPr>
            <w:tcW w:type="dxa" w:w="3408"/>
            <w:vAlign w:val="center"/>
          </w:tcPr>
          <w:p>
            <w:r/>
            <w:r>
              <w:rPr>
                <w:b w:val="0"/>
                <w:sz w:val="17"/>
              </w:rPr>
              <w:t>One consistent payment experience</w:t>
            </w:r>
          </w:p>
        </w:tc>
      </w:tr>
      <w:tr>
        <w:tc>
          <w:tcPr>
            <w:tcW w:type="dxa" w:w="3408"/>
            <w:vAlign w:val="center"/>
          </w:tcPr>
          <w:p>
            <w:r/>
            <w:r>
              <w:rPr>
                <w:b w:val="0"/>
                <w:sz w:val="17"/>
              </w:rPr>
              <w:t>5. Charge</w:t>
            </w:r>
          </w:p>
        </w:tc>
        <w:tc>
          <w:tcPr>
            <w:tcW w:type="dxa" w:w="3408"/>
            <w:vAlign w:val="center"/>
          </w:tcPr>
          <w:p>
            <w:r/>
            <w:r>
              <w:rPr>
                <w:b w:val="0"/>
                <w:sz w:val="17"/>
              </w:rPr>
              <w:t>Did charging really start?</w:t>
            </w:r>
          </w:p>
        </w:tc>
        <w:tc>
          <w:tcPr>
            <w:tcW w:type="dxa" w:w="3408"/>
            <w:vAlign w:val="center"/>
          </w:tcPr>
          <w:p>
            <w:r/>
            <w:r>
              <w:rPr>
                <w:b w:val="0"/>
                <w:sz w:val="17"/>
              </w:rPr>
              <w:t>Session confirmation + live status</w:t>
            </w:r>
          </w:p>
        </w:tc>
      </w:tr>
      <w:tr>
        <w:tc>
          <w:tcPr>
            <w:tcW w:type="dxa" w:w="3408"/>
            <w:vAlign w:val="center"/>
          </w:tcPr>
          <w:p>
            <w:r/>
            <w:r>
              <w:rPr>
                <w:b w:val="0"/>
                <w:sz w:val="17"/>
              </w:rPr>
              <w:t>6. Track</w:t>
            </w:r>
          </w:p>
        </w:tc>
        <w:tc>
          <w:tcPr>
            <w:tcW w:type="dxa" w:w="3408"/>
            <w:vAlign w:val="center"/>
          </w:tcPr>
          <w:p>
            <w:r/>
            <w:r>
              <w:rPr>
                <w:b w:val="0"/>
                <w:sz w:val="17"/>
              </w:rPr>
              <w:t>What did I spend?</w:t>
            </w:r>
          </w:p>
        </w:tc>
        <w:tc>
          <w:tcPr>
            <w:tcW w:type="dxa" w:w="3408"/>
            <w:vAlign w:val="center"/>
          </w:tcPr>
          <w:p>
            <w:r/>
            <w:r>
              <w:rPr>
                <w:b w:val="0"/>
                <w:sz w:val="17"/>
              </w:rPr>
              <w:t>Unified history + invoice + session data</w:t>
            </w:r>
          </w:p>
        </w:tc>
      </w:tr>
    </w:tbl>
    <w:p>
      <w:pPr>
        <w:pStyle w:val="Heading1"/>
      </w:pPr>
      <w:r>
        <w:t>2. Background &amp; Market Context</w:t>
      </w:r>
    </w:p>
    <w:p>
      <w:r>
        <w:rPr>
          <w:b w:val="0"/>
        </w:rPr>
        <w:t>EV charging is a networked infrastructure problem. A physical charging station is operated by a CPO or other infrastructure owner/operator, while a driver may discover and access it through a separate e-mobility application. As the number of CPOs grows, the value of aggregation and interoperability grows as well.</w:t>
      </w:r>
    </w:p>
    <w:p>
      <w:r>
        <w:rPr>
          <w:b w:val="0"/>
        </w:rPr>
        <w:t>India's Ministry of Power issued the Guidelines for Installation and Operation of Electric Vehicle Charging Infrastructure-2024, replacing earlier consolidated versions and covering charging infrastructure in private, semi-restricted, public and highway/expressway contexts. The guidelines emphasize safe, reliable and accessible charging infrastructure. citeturn0search49</w:t>
      </w:r>
    </w:p>
    <w:p>
      <w:r>
        <w:rPr>
          <w:b w:val="0"/>
        </w:rPr>
        <w:t>For software interoperability, the EVRoaming Foundation describes OCPI as a protocol connecting eMobility Service Providers and CPOs. The Foundation currently identifies OCPI 2.3.0 as the current version and notes support for features including locations, tariffs, sessions, remote tools, direct payment and optional booking functionality. citeturn0search8turn0search3</w:t>
      </w:r>
    </w:p>
    <w:p>
      <w:r>
        <w:rPr>
          <w:b w:val="0"/>
        </w:rPr>
        <w:t>This means ChargeMesh should not attempt to replace the CPO's charging-management system. Its role is to connect the driver-facing experience with multiple charging networks through standards and adapters.</w:t>
      </w:r>
    </w:p>
    <w:p>
      <w:pPr>
        <w:pStyle w:val="Heading1"/>
      </w:pPr>
      <w:r>
        <w:t>3. The User Situation — Why ChargeMesh Exists</w:t>
      </w:r>
    </w:p>
    <w:p>
      <w:pPr>
        <w:pStyle w:val="Heading2"/>
      </w:pPr>
      <w:r>
        <w:t>3.1 Current Driver Situation</w:t>
      </w:r>
    </w:p>
    <w:p>
      <w:r>
        <w:rPr>
          <w:b w:val="0"/>
        </w:rPr>
        <w:t>A driver owns an EV and needs to charge. The driver opens a charging app or a map. A station appears nearby. The station is operated by one CPO. The driver may have another CPO's app installed, but not this one. The driver downloads the relevant app, creates or verifies an account, adds money or a payment method, identifies the connector, and starts charging.</w:t>
      </w:r>
    </w:p>
    <w:p>
      <w:r>
        <w:rPr>
          <w:b w:val="0"/>
        </w:rPr>
        <w:t>At the next station, the process can repeat with another CPO.</w:t>
      </w:r>
    </w:p>
    <w:p>
      <w:pPr>
        <w:pStyle w:val="Heading2"/>
      </w:pPr>
      <w:r>
        <w:t>3.2 The Real Friction</w:t>
      </w:r>
    </w:p>
    <w:p>
      <w:pPr>
        <w:pStyle w:val="ListBullet"/>
      </w:pPr>
      <w:r>
        <w:t>Too many apps.</w:t>
      </w:r>
    </w:p>
    <w:p>
      <w:pPr>
        <w:pStyle w:val="ListBullet"/>
      </w:pPr>
      <w:r>
        <w:t>Too many accounts.</w:t>
      </w:r>
    </w:p>
    <w:p>
      <w:pPr>
        <w:pStyle w:val="ListBullet"/>
      </w:pPr>
      <w:r>
        <w:t>Too many payment methods or balances.</w:t>
      </w:r>
    </w:p>
    <w:p>
      <w:pPr>
        <w:pStyle w:val="ListBullet"/>
      </w:pPr>
      <w:r>
        <w:t>Different charging-start procedures.</w:t>
      </w:r>
    </w:p>
    <w:p>
      <w:pPr>
        <w:pStyle w:val="ListBullet"/>
      </w:pPr>
      <w:r>
        <w:t>Different station information quality.</w:t>
      </w:r>
    </w:p>
    <w:p>
      <w:pPr>
        <w:pStyle w:val="ListBullet"/>
      </w:pPr>
      <w:r>
        <w:t>Different meanings of 'available'.</w:t>
      </w:r>
    </w:p>
    <w:p>
      <w:pPr>
        <w:pStyle w:val="ListBullet"/>
      </w:pPr>
      <w:r>
        <w:t>Unknown or stale live status.</w:t>
      </w:r>
    </w:p>
    <w:p>
      <w:pPr>
        <w:pStyle w:val="ListBullet"/>
      </w:pPr>
      <w:r>
        <w:t>Separate charging histories.</w:t>
      </w:r>
    </w:p>
    <w:p>
      <w:pPr>
        <w:pStyle w:val="ListBullet"/>
      </w:pPr>
      <w:r>
        <w:t>Difficult comparison of tariff versus charging speed.</w:t>
      </w:r>
    </w:p>
    <w:p>
      <w:pPr>
        <w:pStyle w:val="ListBullet"/>
      </w:pPr>
      <w:r>
        <w:t>Uncertainty about whether the connector will work with the vehicle.</w:t>
      </w:r>
    </w:p>
    <w:p>
      <w:pPr>
        <w:pStyle w:val="Heading2"/>
      </w:pPr>
      <w:r>
        <w:t>3.3 The User's Mental Model</w:t>
      </w:r>
    </w:p>
    <w:p>
      <w:r>
        <w:rPr>
          <w:b w:val="0"/>
        </w:rPr>
        <w:t>The user does not think: 'I need an ElectriVa charger.' The user thinks: 'I need a charger for my EV within 5 km, preferably fast, available now and reasonably priced.'</w:t>
      </w:r>
    </w:p>
    <w:p>
      <w:r>
        <w:rPr>
          <w:b w:val="0"/>
        </w:rPr>
        <w:t>ChargeMesh should design the product around that mental model.</w:t>
      </w:r>
    </w:p>
    <w:p>
      <w:pPr>
        <w:pStyle w:val="Heading1"/>
      </w:pPr>
      <w:r>
        <w:t>4. Problem Statement</w:t>
      </w:r>
    </w:p>
    <w:p>
      <w:r>
        <w:rPr>
          <w:b w:val="0"/>
        </w:rPr>
        <w:t>The EV charging ecosystem is fragmented across CPO networks. Drivers may need multiple applications and payment experiences to access charging infrastructure, while charger availability, connector status, tariff and operational reliability can be inconsistent or difficult to interpret. As a result, finding a charger does not always mean finding a charger that is compatible, available, affordable and likely to start successfully.</w:t>
      </w:r>
    </w:p>
    <w:p>
      <w:r>
        <w:rPr>
          <w:b w:val="0"/>
        </w:rPr>
        <w:t>ChargeMesh addresses this fragmentation by creating a unified driver-facing layer over participating CPO networks.</w:t>
      </w:r>
    </w:p>
    <w:p>
      <w:pPr>
        <w:pStyle w:val="Heading1"/>
      </w:pPr>
      <w:r>
        <w:t>5. Ten Core Problems — Detailed</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7"/>
              </w:rPr>
              <w:t>Problem</w:t>
            </w:r>
          </w:p>
        </w:tc>
        <w:tc>
          <w:tcPr>
            <w:tcW w:type="dxa" w:w="2556"/>
            <w:vAlign w:val="center"/>
            <w:shd w:fill="DDEBF7"/>
          </w:tcPr>
          <w:p>
            <w:r/>
            <w:r>
              <w:rPr>
                <w:b/>
                <w:sz w:val="17"/>
              </w:rPr>
              <w:t>Why It Happens</w:t>
            </w:r>
          </w:p>
        </w:tc>
        <w:tc>
          <w:tcPr>
            <w:tcW w:type="dxa" w:w="2556"/>
            <w:vAlign w:val="center"/>
            <w:shd w:fill="DDEBF7"/>
          </w:tcPr>
          <w:p>
            <w:r/>
            <w:r>
              <w:rPr>
                <w:b/>
                <w:sz w:val="17"/>
              </w:rPr>
              <w:t>Example</w:t>
            </w:r>
          </w:p>
        </w:tc>
        <w:tc>
          <w:tcPr>
            <w:tcW w:type="dxa" w:w="2556"/>
            <w:vAlign w:val="center"/>
            <w:shd w:fill="DDEBF7"/>
          </w:tcPr>
          <w:p>
            <w:r/>
            <w:r>
              <w:rPr>
                <w:b/>
                <w:sz w:val="17"/>
              </w:rPr>
              <w:t>ChargeMesh Response</w:t>
            </w:r>
          </w:p>
        </w:tc>
      </w:tr>
      <w:tr>
        <w:tc>
          <w:tcPr>
            <w:tcW w:type="dxa" w:w="2556"/>
            <w:vAlign w:val="center"/>
          </w:tcPr>
          <w:p>
            <w:r/>
            <w:r>
              <w:rPr>
                <w:b w:val="0"/>
                <w:sz w:val="17"/>
              </w:rPr>
              <w:t>Multiple Charging Apps</w:t>
            </w:r>
          </w:p>
        </w:tc>
        <w:tc>
          <w:tcPr>
            <w:tcW w:type="dxa" w:w="2556"/>
            <w:vAlign w:val="center"/>
          </w:tcPr>
          <w:p>
            <w:r/>
            <w:r>
              <w:rPr>
                <w:b w:val="0"/>
                <w:sz w:val="17"/>
              </w:rPr>
              <w:t>A driver may need a different app for each CPO.</w:t>
            </w:r>
          </w:p>
        </w:tc>
        <w:tc>
          <w:tcPr>
            <w:tcW w:type="dxa" w:w="2556"/>
            <w:vAlign w:val="center"/>
          </w:tcPr>
          <w:p>
            <w:r/>
            <w:r>
              <w:rPr>
                <w:b w:val="0"/>
                <w:sz w:val="17"/>
              </w:rPr>
              <w:t>A driver reaches a Tata Power station but only has another CPO app. The charging task is interrupted by an app-download and account-setup problem.</w:t>
            </w:r>
          </w:p>
        </w:tc>
        <w:tc>
          <w:tcPr>
            <w:tcW w:type="dxa" w:w="2556"/>
            <w:vAlign w:val="center"/>
          </w:tcPr>
          <w:p>
            <w:r/>
            <w:r>
              <w:rPr>
                <w:b w:val="0"/>
                <w:sz w:val="17"/>
              </w:rPr>
              <w:t>One ChargeMesh app discovers and accesses participating networks.</w:t>
            </w:r>
          </w:p>
        </w:tc>
      </w:tr>
      <w:tr>
        <w:tc>
          <w:tcPr>
            <w:tcW w:type="dxa" w:w="2556"/>
            <w:vAlign w:val="center"/>
          </w:tcPr>
          <w:p>
            <w:r/>
            <w:r>
              <w:rPr>
                <w:b w:val="0"/>
                <w:sz w:val="17"/>
              </w:rPr>
              <w:t>Separate Payment Experiences</w:t>
            </w:r>
          </w:p>
        </w:tc>
        <w:tc>
          <w:tcPr>
            <w:tcW w:type="dxa" w:w="2556"/>
            <w:vAlign w:val="center"/>
          </w:tcPr>
          <w:p>
            <w:r/>
            <w:r>
              <w:rPr>
                <w:b w:val="0"/>
                <w:sz w:val="17"/>
              </w:rPr>
              <w:t>Money/payment methods can be fragmented across apps.</w:t>
            </w:r>
          </w:p>
        </w:tc>
        <w:tc>
          <w:tcPr>
            <w:tcW w:type="dxa" w:w="2556"/>
            <w:vAlign w:val="center"/>
          </w:tcPr>
          <w:p>
            <w:r/>
            <w:r>
              <w:rPr>
                <w:b w:val="0"/>
                <w:sz w:val="17"/>
              </w:rPr>
              <w:t>A driver has funds in one charging app but reaches another CPO station.</w:t>
            </w:r>
          </w:p>
        </w:tc>
        <w:tc>
          <w:tcPr>
            <w:tcW w:type="dxa" w:w="2556"/>
            <w:vAlign w:val="center"/>
          </w:tcPr>
          <w:p>
            <w:r/>
            <w:r>
              <w:rPr>
                <w:b w:val="0"/>
                <w:sz w:val="17"/>
              </w:rPr>
              <w:t>One consistent payment experience; wallet architecture subject to regulatory/payment-partner design.</w:t>
            </w:r>
          </w:p>
        </w:tc>
      </w:tr>
      <w:tr>
        <w:tc>
          <w:tcPr>
            <w:tcW w:type="dxa" w:w="2556"/>
            <w:vAlign w:val="center"/>
          </w:tcPr>
          <w:p>
            <w:r/>
            <w:r>
              <w:rPr>
                <w:b w:val="0"/>
                <w:sz w:val="17"/>
              </w:rPr>
              <w:t>Station Available ≠ Connector Available</w:t>
            </w:r>
          </w:p>
        </w:tc>
        <w:tc>
          <w:tcPr>
            <w:tcW w:type="dxa" w:w="2556"/>
            <w:vAlign w:val="center"/>
          </w:tcPr>
          <w:p>
            <w:r/>
            <w:r>
              <w:rPr>
                <w:b w:val="0"/>
                <w:sz w:val="17"/>
              </w:rPr>
              <w:t>A station can exist and still have no usable connector.</w:t>
            </w:r>
          </w:p>
        </w:tc>
        <w:tc>
          <w:tcPr>
            <w:tcW w:type="dxa" w:w="2556"/>
            <w:vAlign w:val="center"/>
          </w:tcPr>
          <w:p>
            <w:r/>
            <w:r>
              <w:rPr>
                <w:b w:val="0"/>
                <w:sz w:val="17"/>
              </w:rPr>
              <w:t>A six-connector station can have 2 available, 2 in use, 1 offline and 1 unknown.</w:t>
            </w:r>
          </w:p>
        </w:tc>
        <w:tc>
          <w:tcPr>
            <w:tcW w:type="dxa" w:w="2556"/>
            <w:vAlign w:val="center"/>
          </w:tcPr>
          <w:p>
            <w:r/>
            <w:r>
              <w:rPr>
                <w:b w:val="0"/>
                <w:sz w:val="17"/>
              </w:rPr>
              <w:t>Show connector-level availability.</w:t>
            </w:r>
          </w:p>
        </w:tc>
      </w:tr>
      <w:tr>
        <w:tc>
          <w:tcPr>
            <w:tcW w:type="dxa" w:w="2556"/>
            <w:vAlign w:val="center"/>
          </w:tcPr>
          <w:p>
            <w:r/>
            <w:r>
              <w:rPr>
                <w:b w:val="0"/>
                <w:sz w:val="17"/>
              </w:rPr>
              <w:t>Status Can Be Unknown or Stale</w:t>
            </w:r>
          </w:p>
        </w:tc>
        <w:tc>
          <w:tcPr>
            <w:tcW w:type="dxa" w:w="2556"/>
            <w:vAlign w:val="center"/>
          </w:tcPr>
          <w:p>
            <w:r/>
            <w:r>
              <w:rPr>
                <w:b w:val="0"/>
                <w:sz w:val="17"/>
              </w:rPr>
              <w:t>Third-party data may not be live or complete.</w:t>
            </w:r>
          </w:p>
        </w:tc>
        <w:tc>
          <w:tcPr>
            <w:tcW w:type="dxa" w:w="2556"/>
            <w:vAlign w:val="center"/>
          </w:tcPr>
          <w:p>
            <w:r/>
            <w:r>
              <w:rPr>
                <w:b w:val="0"/>
                <w:sz w:val="17"/>
              </w:rPr>
              <w:t>The app shows 'Unknown' because the CPO did not provide a current state.</w:t>
            </w:r>
          </w:p>
        </w:tc>
        <w:tc>
          <w:tcPr>
            <w:tcW w:type="dxa" w:w="2556"/>
            <w:vAlign w:val="center"/>
          </w:tcPr>
          <w:p>
            <w:r/>
            <w:r>
              <w:rPr>
                <w:b w:val="0"/>
                <w:sz w:val="17"/>
              </w:rPr>
              <w:t>Never convert Unknown or stale data into Available.</w:t>
            </w:r>
          </w:p>
        </w:tc>
      </w:tr>
      <w:tr>
        <w:tc>
          <w:tcPr>
            <w:tcW w:type="dxa" w:w="2556"/>
            <w:vAlign w:val="center"/>
          </w:tcPr>
          <w:p>
            <w:r/>
            <w:r>
              <w:rPr>
                <w:b w:val="0"/>
                <w:sz w:val="17"/>
              </w:rPr>
              <w:t>Price Is Not Enough</w:t>
            </w:r>
          </w:p>
        </w:tc>
        <w:tc>
          <w:tcPr>
            <w:tcW w:type="dxa" w:w="2556"/>
            <w:vAlign w:val="center"/>
          </w:tcPr>
          <w:p>
            <w:r/>
            <w:r>
              <w:rPr>
                <w:b w:val="0"/>
                <w:sz w:val="17"/>
              </w:rPr>
              <w:t>Users need price + speed + distance.</w:t>
            </w:r>
          </w:p>
        </w:tc>
        <w:tc>
          <w:tcPr>
            <w:tcW w:type="dxa" w:w="2556"/>
            <w:vAlign w:val="center"/>
          </w:tcPr>
          <w:p>
            <w:r/>
            <w:r>
              <w:rPr>
                <w:b w:val="0"/>
                <w:sz w:val="17"/>
              </w:rPr>
              <w:t>₹14/kWh at 3.3 kW may not be preferable to ₹18/kWh at 60 kW when time matters.</w:t>
            </w:r>
          </w:p>
        </w:tc>
        <w:tc>
          <w:tcPr>
            <w:tcW w:type="dxa" w:w="2556"/>
            <w:vAlign w:val="center"/>
          </w:tcPr>
          <w:p>
            <w:r/>
            <w:r>
              <w:rPr>
                <w:b w:val="0"/>
                <w:sz w:val="17"/>
              </w:rPr>
              <w:t>Compare tariff, power, distance and estimated cost.</w:t>
            </w:r>
          </w:p>
        </w:tc>
      </w:tr>
      <w:tr>
        <w:tc>
          <w:tcPr>
            <w:tcW w:type="dxa" w:w="2556"/>
            <w:vAlign w:val="center"/>
          </w:tcPr>
          <w:p>
            <w:r/>
            <w:r>
              <w:rPr>
                <w:b w:val="0"/>
                <w:sz w:val="17"/>
              </w:rPr>
              <w:t>Vehicle Compatibility Is Not Obvious</w:t>
            </w:r>
          </w:p>
        </w:tc>
        <w:tc>
          <w:tcPr>
            <w:tcW w:type="dxa" w:w="2556"/>
            <w:vAlign w:val="center"/>
          </w:tcPr>
          <w:p>
            <w:r/>
            <w:r>
              <w:rPr>
                <w:b w:val="0"/>
                <w:sz w:val="17"/>
              </w:rPr>
              <w:t>Different EVs support different connectors and charging capabilities.</w:t>
            </w:r>
          </w:p>
        </w:tc>
        <w:tc>
          <w:tcPr>
            <w:tcW w:type="dxa" w:w="2556"/>
            <w:vAlign w:val="center"/>
          </w:tcPr>
          <w:p>
            <w:r/>
            <w:r>
              <w:rPr>
                <w:b w:val="0"/>
                <w:sz w:val="17"/>
              </w:rPr>
              <w:t>A nearby AC Type 2 point may be unsuitable for a driver seeking CCS2 DC fast charging.</w:t>
            </w:r>
          </w:p>
        </w:tc>
        <w:tc>
          <w:tcPr>
            <w:tcW w:type="dxa" w:w="2556"/>
            <w:vAlign w:val="center"/>
          </w:tcPr>
          <w:p>
            <w:r/>
            <w:r>
              <w:rPr>
                <w:b w:val="0"/>
                <w:sz w:val="17"/>
              </w:rPr>
              <w:t>Store vehicle capability and filter/rank compatible chargers.</w:t>
            </w:r>
          </w:p>
        </w:tc>
      </w:tr>
      <w:tr>
        <w:tc>
          <w:tcPr>
            <w:tcW w:type="dxa" w:w="2556"/>
            <w:vAlign w:val="center"/>
          </w:tcPr>
          <w:p>
            <w:r/>
            <w:r>
              <w:rPr>
                <w:b w:val="0"/>
                <w:sz w:val="17"/>
              </w:rPr>
              <w:t>Charger Reliability Is Unknown</w:t>
            </w:r>
          </w:p>
        </w:tc>
        <w:tc>
          <w:tcPr>
            <w:tcW w:type="dxa" w:w="2556"/>
            <w:vAlign w:val="center"/>
          </w:tcPr>
          <w:p>
            <w:r/>
            <w:r>
              <w:rPr>
                <w:b w:val="0"/>
                <w:sz w:val="17"/>
              </w:rPr>
              <w:t>A charger can be technically listed but operationally unreliable.</w:t>
            </w:r>
          </w:p>
        </w:tc>
        <w:tc>
          <w:tcPr>
            <w:tcW w:type="dxa" w:w="2556"/>
            <w:vAlign w:val="center"/>
          </w:tcPr>
          <w:p>
            <w:r/>
            <w:r>
              <w:rPr>
                <w:b w:val="0"/>
                <w:sz w:val="17"/>
              </w:rPr>
              <w:t>A station has repeated failed starts despite appearing on a map.</w:t>
            </w:r>
          </w:p>
        </w:tc>
        <w:tc>
          <w:tcPr>
            <w:tcW w:type="dxa" w:w="2556"/>
            <w:vAlign w:val="center"/>
          </w:tcPr>
          <w:p>
            <w:r/>
            <w:r>
              <w:rPr>
                <w:b w:val="0"/>
                <w:sz w:val="17"/>
              </w:rPr>
              <w:t>Build a reliability/confidence layer from operational and user data.</w:t>
            </w:r>
          </w:p>
        </w:tc>
      </w:tr>
      <w:tr>
        <w:tc>
          <w:tcPr>
            <w:tcW w:type="dxa" w:w="2556"/>
            <w:vAlign w:val="center"/>
          </w:tcPr>
          <w:p>
            <w:r/>
            <w:r>
              <w:rPr>
                <w:b w:val="0"/>
                <w:sz w:val="17"/>
              </w:rPr>
              <w:t>Starting Charging Is Inconsistent</w:t>
            </w:r>
          </w:p>
        </w:tc>
        <w:tc>
          <w:tcPr>
            <w:tcW w:type="dxa" w:w="2556"/>
            <w:vAlign w:val="center"/>
          </w:tcPr>
          <w:p>
            <w:r/>
            <w:r>
              <w:rPr>
                <w:b w:val="0"/>
                <w:sz w:val="17"/>
              </w:rPr>
              <w:t>CPOs may use app start, QR, charger ID or other flows.</w:t>
            </w:r>
          </w:p>
        </w:tc>
        <w:tc>
          <w:tcPr>
            <w:tcW w:type="dxa" w:w="2556"/>
            <w:vAlign w:val="center"/>
          </w:tcPr>
          <w:p>
            <w:r/>
            <w:r>
              <w:rPr>
                <w:b w:val="0"/>
                <w:sz w:val="17"/>
              </w:rPr>
              <w:t>The user reaches the charger and does not know which process to use.</w:t>
            </w:r>
          </w:p>
        </w:tc>
        <w:tc>
          <w:tcPr>
            <w:tcW w:type="dxa" w:w="2556"/>
            <w:vAlign w:val="center"/>
          </w:tcPr>
          <w:p>
            <w:r/>
            <w:r>
              <w:rPr>
                <w:b w:val="0"/>
                <w:sz w:val="17"/>
              </w:rPr>
              <w:t>Provide consistent Find &amp; Charge and Scan &amp; Charge journeys.</w:t>
            </w:r>
          </w:p>
        </w:tc>
      </w:tr>
      <w:tr>
        <w:tc>
          <w:tcPr>
            <w:tcW w:type="dxa" w:w="2556"/>
            <w:vAlign w:val="center"/>
          </w:tcPr>
          <w:p>
            <w:r/>
            <w:r>
              <w:rPr>
                <w:b w:val="0"/>
                <w:sz w:val="17"/>
              </w:rPr>
              <w:t>Charging Targets Differ</w:t>
            </w:r>
          </w:p>
        </w:tc>
        <w:tc>
          <w:tcPr>
            <w:tcW w:type="dxa" w:w="2556"/>
            <w:vAlign w:val="center"/>
          </w:tcPr>
          <w:p>
            <w:r/>
            <w:r>
              <w:rPr>
                <w:b w:val="0"/>
                <w:sz w:val="17"/>
              </w:rPr>
              <w:t>Users may want to control spend, time or energy.</w:t>
            </w:r>
          </w:p>
        </w:tc>
        <w:tc>
          <w:tcPr>
            <w:tcW w:type="dxa" w:w="2556"/>
            <w:vAlign w:val="center"/>
          </w:tcPr>
          <w:p>
            <w:r/>
            <w:r>
              <w:rPr>
                <w:b w:val="0"/>
                <w:sz w:val="17"/>
              </w:rPr>
              <w:t>One driver wants ₹500; another wants 30 minutes; another wants 20 kWh.</w:t>
            </w:r>
          </w:p>
        </w:tc>
        <w:tc>
          <w:tcPr>
            <w:tcW w:type="dxa" w:w="2556"/>
            <w:vAlign w:val="center"/>
          </w:tcPr>
          <w:p>
            <w:r/>
            <w:r>
              <w:rPr>
                <w:b w:val="0"/>
                <w:sz w:val="17"/>
              </w:rPr>
              <w:t>Support Amount, Time and kWh where the CPO/payment model supports it.</w:t>
            </w:r>
          </w:p>
        </w:tc>
      </w:tr>
      <w:tr>
        <w:tc>
          <w:tcPr>
            <w:tcW w:type="dxa" w:w="2556"/>
            <w:vAlign w:val="center"/>
          </w:tcPr>
          <w:p>
            <w:r/>
            <w:r>
              <w:rPr>
                <w:b w:val="0"/>
                <w:sz w:val="17"/>
              </w:rPr>
              <w:t>History Is Fragmented</w:t>
            </w:r>
          </w:p>
        </w:tc>
        <w:tc>
          <w:tcPr>
            <w:tcW w:type="dxa" w:w="2556"/>
            <w:vAlign w:val="center"/>
          </w:tcPr>
          <w:p>
            <w:r/>
            <w:r>
              <w:rPr>
                <w:b w:val="0"/>
                <w:sz w:val="17"/>
              </w:rPr>
              <w:t>Payments and charging records live in different apps.</w:t>
            </w:r>
          </w:p>
        </w:tc>
        <w:tc>
          <w:tcPr>
            <w:tcW w:type="dxa" w:w="2556"/>
            <w:vAlign w:val="center"/>
          </w:tcPr>
          <w:p>
            <w:r/>
            <w:r>
              <w:rPr>
                <w:b w:val="0"/>
                <w:sz w:val="17"/>
              </w:rPr>
              <w:t>A user charges on four networks and needs four apps to understand monthly spend.</w:t>
            </w:r>
          </w:p>
        </w:tc>
        <w:tc>
          <w:tcPr>
            <w:tcW w:type="dxa" w:w="2556"/>
            <w:vAlign w:val="center"/>
          </w:tcPr>
          <w:p>
            <w:r/>
            <w:r>
              <w:rPr>
                <w:b w:val="0"/>
                <w:sz w:val="17"/>
              </w:rPr>
              <w:t>Unified ChargeMesh charging history and transaction view.</w:t>
            </w:r>
          </w:p>
        </w:tc>
      </w:tr>
    </w:tbl>
    <w:p>
      <w:pPr>
        <w:pStyle w:val="Heading1"/>
      </w:pPr>
      <w:r>
        <w:t>6. Solution Overview</w:t>
      </w:r>
    </w:p>
    <w:p>
      <w:r>
        <w:rPr>
          <w:b w:val="0"/>
        </w:rPr>
        <w:t>ChargeMesh creates a single digital layer between EV drivers and participating charging networks. The platform normalizes charger data, status, tariff and session information, while keeping CPO-specific complexity inside backend integration adapters.</w:t>
      </w:r>
    </w:p>
    <w:p>
      <w:pPr>
        <w:pStyle w:val="Heading2"/>
      </w:pPr>
      <w:r>
        <w:t>6.1 Consumer Solution</w:t>
      </w:r>
    </w:p>
    <w:p>
      <w:pPr>
        <w:pStyle w:val="ListBullet"/>
      </w:pPr>
      <w:r>
        <w:t>One Android + iOS app.</w:t>
      </w:r>
    </w:p>
    <w:p>
      <w:pPr>
        <w:pStyle w:val="ListBullet"/>
      </w:pPr>
      <w:r>
        <w:t>One user identity.</w:t>
      </w:r>
    </w:p>
    <w:p>
      <w:pPr>
        <w:pStyle w:val="ListBullet"/>
      </w:pPr>
      <w:r>
        <w:t>One vehicle profile.</w:t>
      </w:r>
    </w:p>
    <w:p>
      <w:pPr>
        <w:pStyle w:val="ListBullet"/>
      </w:pPr>
      <w:r>
        <w:t>One charger discovery experience.</w:t>
      </w:r>
    </w:p>
    <w:p>
      <w:pPr>
        <w:pStyle w:val="ListBullet"/>
      </w:pPr>
      <w:r>
        <w:t>One map and filter system.</w:t>
      </w:r>
    </w:p>
    <w:p>
      <w:pPr>
        <w:pStyle w:val="ListBullet"/>
      </w:pPr>
      <w:r>
        <w:t>One connector-level availability model.</w:t>
      </w:r>
    </w:p>
    <w:p>
      <w:pPr>
        <w:pStyle w:val="ListBullet"/>
      </w:pPr>
      <w:r>
        <w:t>One charging session interface.</w:t>
      </w:r>
    </w:p>
    <w:p>
      <w:pPr>
        <w:pStyle w:val="ListBullet"/>
      </w:pPr>
      <w:r>
        <w:t>One charging history.</w:t>
      </w:r>
    </w:p>
    <w:p>
      <w:pPr>
        <w:pStyle w:val="ListBullet"/>
      </w:pPr>
      <w:r>
        <w:t>One support entry point.</w:t>
      </w:r>
    </w:p>
    <w:p>
      <w:pPr>
        <w:pStyle w:val="ListBullet"/>
      </w:pPr>
      <w:r>
        <w:t>One consistent payment experience.</w:t>
      </w:r>
    </w:p>
    <w:p>
      <w:pPr>
        <w:pStyle w:val="Heading2"/>
      </w:pPr>
      <w:r>
        <w:t>6.2 Partner Solution</w:t>
      </w:r>
    </w:p>
    <w:p>
      <w:pPr>
        <w:pStyle w:val="ListBullet"/>
      </w:pPr>
      <w:r>
        <w:t>CPO gets incremental customer reach.</w:t>
      </w:r>
    </w:p>
    <w:p>
      <w:pPr>
        <w:pStyle w:val="ListBullet"/>
      </w:pPr>
      <w:r>
        <w:t>CPO infrastructure can be discovered by additional drivers.</w:t>
      </w:r>
    </w:p>
    <w:p>
      <w:pPr>
        <w:pStyle w:val="ListBullet"/>
      </w:pPr>
      <w:r>
        <w:t>CPO retains operational control of its chargers.</w:t>
      </w:r>
    </w:p>
    <w:p>
      <w:pPr>
        <w:pStyle w:val="ListBullet"/>
      </w:pPr>
      <w:r>
        <w:t>ChargeMesh handles aggregation, normalization and customer-facing experience.</w:t>
      </w:r>
    </w:p>
    <w:p>
      <w:pPr>
        <w:pStyle w:val="ListBullet"/>
      </w:pPr>
      <w:r>
        <w:t>Settlement remains auditable through sessions/CDRs/payment references.</w:t>
      </w:r>
    </w:p>
    <w:p>
      <w:pPr>
        <w:pStyle w:val="Heading1"/>
      </w:pPr>
      <w:r>
        <w:t>7. What ChargeMesh Is — and Is Not</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7"/>
              </w:rPr>
              <w:t>ChargeMesh Is</w:t>
            </w:r>
          </w:p>
        </w:tc>
        <w:tc>
          <w:tcPr>
            <w:tcW w:type="dxa" w:w="5112"/>
            <w:vAlign w:val="center"/>
            <w:shd w:fill="DDEBF7"/>
          </w:tcPr>
          <w:p>
            <w:r/>
            <w:r>
              <w:rPr>
                <w:b/>
                <w:sz w:val="17"/>
              </w:rPr>
              <w:t>ChargeMesh Is Not</w:t>
            </w:r>
          </w:p>
        </w:tc>
      </w:tr>
      <w:tr>
        <w:tc>
          <w:tcPr>
            <w:tcW w:type="dxa" w:w="5112"/>
            <w:vAlign w:val="center"/>
          </w:tcPr>
          <w:p>
            <w:r/>
            <w:r>
              <w:rPr>
                <w:b w:val="0"/>
                <w:sz w:val="17"/>
              </w:rPr>
              <w:t>An interoperability layer</w:t>
            </w:r>
          </w:p>
        </w:tc>
        <w:tc>
          <w:tcPr>
            <w:tcW w:type="dxa" w:w="5112"/>
            <w:vAlign w:val="center"/>
          </w:tcPr>
          <w:p>
            <w:r/>
            <w:r>
              <w:rPr>
                <w:b w:val="0"/>
                <w:sz w:val="17"/>
              </w:rPr>
              <w:t>A replacement for a CPO's CSMS</w:t>
            </w:r>
          </w:p>
        </w:tc>
      </w:tr>
      <w:tr>
        <w:tc>
          <w:tcPr>
            <w:tcW w:type="dxa" w:w="5112"/>
            <w:vAlign w:val="center"/>
          </w:tcPr>
          <w:p>
            <w:r/>
            <w:r>
              <w:rPr>
                <w:b w:val="0"/>
                <w:sz w:val="17"/>
              </w:rPr>
              <w:t>A driver-facing charging experience</w:t>
            </w:r>
          </w:p>
        </w:tc>
        <w:tc>
          <w:tcPr>
            <w:tcW w:type="dxa" w:w="5112"/>
            <w:vAlign w:val="center"/>
          </w:tcPr>
          <w:p>
            <w:r/>
            <w:r>
              <w:rPr>
                <w:b w:val="0"/>
                <w:sz w:val="17"/>
              </w:rPr>
              <w:t>The owner of every physical charger</w:t>
            </w:r>
          </w:p>
        </w:tc>
      </w:tr>
      <w:tr>
        <w:tc>
          <w:tcPr>
            <w:tcW w:type="dxa" w:w="5112"/>
            <w:vAlign w:val="center"/>
          </w:tcPr>
          <w:p>
            <w:r/>
            <w:r>
              <w:rPr>
                <w:b w:val="0"/>
                <w:sz w:val="17"/>
              </w:rPr>
              <w:t>A multi-network discovery platform</w:t>
            </w:r>
          </w:p>
        </w:tc>
        <w:tc>
          <w:tcPr>
            <w:tcW w:type="dxa" w:w="5112"/>
            <w:vAlign w:val="center"/>
          </w:tcPr>
          <w:p>
            <w:r/>
            <w:r>
              <w:rPr>
                <w:b w:val="0"/>
                <w:sz w:val="17"/>
              </w:rPr>
              <w:t>A guarantee that every CPO can be integrated</w:t>
            </w:r>
          </w:p>
        </w:tc>
      </w:tr>
      <w:tr>
        <w:tc>
          <w:tcPr>
            <w:tcW w:type="dxa" w:w="5112"/>
            <w:vAlign w:val="center"/>
          </w:tcPr>
          <w:p>
            <w:r/>
            <w:r>
              <w:rPr>
                <w:b w:val="0"/>
                <w:sz w:val="17"/>
              </w:rPr>
              <w:t>A payment orchestration layer</w:t>
            </w:r>
          </w:p>
        </w:tc>
        <w:tc>
          <w:tcPr>
            <w:tcW w:type="dxa" w:w="5112"/>
            <w:vAlign w:val="center"/>
          </w:tcPr>
          <w:p>
            <w:r/>
            <w:r>
              <w:rPr>
                <w:b w:val="0"/>
                <w:sz w:val="17"/>
              </w:rPr>
              <w:t>Automatically a regulated wallet issuer</w:t>
            </w:r>
          </w:p>
        </w:tc>
      </w:tr>
      <w:tr>
        <w:tc>
          <w:tcPr>
            <w:tcW w:type="dxa" w:w="5112"/>
            <w:vAlign w:val="center"/>
          </w:tcPr>
          <w:p>
            <w:r/>
            <w:r>
              <w:rPr>
                <w:b w:val="0"/>
                <w:sz w:val="17"/>
              </w:rPr>
              <w:t>A session and reconciliation platform</w:t>
            </w:r>
          </w:p>
        </w:tc>
        <w:tc>
          <w:tcPr>
            <w:tcW w:type="dxa" w:w="5112"/>
            <w:vAlign w:val="center"/>
          </w:tcPr>
          <w:p>
            <w:r/>
            <w:r>
              <w:rPr>
                <w:b w:val="0"/>
                <w:sz w:val="17"/>
              </w:rPr>
              <w:t>A substitute for electricity-grid regulation</w:t>
            </w:r>
          </w:p>
        </w:tc>
      </w:tr>
      <w:tr>
        <w:tc>
          <w:tcPr>
            <w:tcW w:type="dxa" w:w="5112"/>
            <w:vAlign w:val="center"/>
          </w:tcPr>
          <w:p>
            <w:r/>
            <w:r>
              <w:rPr>
                <w:b w:val="0"/>
                <w:sz w:val="17"/>
              </w:rPr>
              <w:t>A data-confidence and decision layer</w:t>
            </w:r>
          </w:p>
        </w:tc>
        <w:tc>
          <w:tcPr>
            <w:tcW w:type="dxa" w:w="5112"/>
            <w:vAlign w:val="center"/>
          </w:tcPr>
          <w:p>
            <w:r/>
            <w:r>
              <w:rPr>
                <w:b w:val="0"/>
                <w:sz w:val="17"/>
              </w:rPr>
              <w:t>A promise that live data is always perfect</w:t>
            </w:r>
          </w:p>
        </w:tc>
      </w:tr>
    </w:tbl>
    <w:p>
      <w:pPr>
        <w:pStyle w:val="Heading1"/>
      </w:pPr>
      <w:r>
        <w:t>8. Product Architecture at Concept Level</w:t>
      </w:r>
    </w:p>
    <w:p>
      <w:r>
        <w:rPr>
          <w:b w:val="0"/>
        </w:rPr>
        <w:t>The conceptual relationship is:</w:t>
      </w:r>
    </w:p>
    <w:p>
      <w:pPr>
        <w:jc w:val="center"/>
      </w:pPr>
      <w:r>
        <w:rPr>
          <w:b/>
        </w:rPr>
        <w:t>CPO → Location → EVSE → Connector → ChargeMesh Canonical Model → Consumer App</w:t>
      </w:r>
    </w:p>
    <w:p>
      <w:pPr>
        <w:pStyle w:val="Heading2"/>
      </w:pPr>
      <w:r>
        <w:t>8.1 Location</w:t>
      </w:r>
    </w:p>
    <w:p>
      <w:r>
        <w:rPr>
          <w:b w:val="0"/>
        </w:rPr>
        <w:t>The physical site, for example a petrol pump, mall, office, parking facility or highway station.</w:t>
      </w:r>
    </w:p>
    <w:p>
      <w:pPr>
        <w:pStyle w:val="Heading2"/>
      </w:pPr>
      <w:r>
        <w:t>8.2 EVSE</w:t>
      </w:r>
    </w:p>
    <w:p>
      <w:r>
        <w:rPr>
          <w:b w:val="0"/>
        </w:rPr>
        <w:t>The charge point/equipment endpoint associated with a charging service.</w:t>
      </w:r>
    </w:p>
    <w:p>
      <w:pPr>
        <w:pStyle w:val="Heading2"/>
      </w:pPr>
      <w:r>
        <w:t>8.3 Connector</w:t>
      </w:r>
    </w:p>
    <w:p>
      <w:r>
        <w:rPr>
          <w:b w:val="0"/>
        </w:rPr>
        <w:t>The actionable charging interface the driver selects. This is the most important level for availability and compatibility.</w:t>
      </w:r>
    </w:p>
    <w:p>
      <w:pPr>
        <w:pStyle w:val="Heading2"/>
      </w:pPr>
      <w:r>
        <w:t>8.4 Why Connector-First Matters</w:t>
      </w:r>
    </w:p>
    <w:p>
      <w:r>
        <w:rPr>
          <w:b w:val="0"/>
        </w:rPr>
        <w:t>A station-level green pin can be misleading. ChargeMesh should answer the actual question: 'Can I plug into a compatible connector right now?'</w:t>
      </w:r>
    </w:p>
    <w:p>
      <w:pPr>
        <w:pStyle w:val="Heading1"/>
      </w:pPr>
      <w:r>
        <w:t>9. Charger Status Model</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7"/>
              </w:rPr>
              <w:t>Status</w:t>
            </w:r>
          </w:p>
        </w:tc>
        <w:tc>
          <w:tcPr>
            <w:tcW w:type="dxa" w:w="2556"/>
            <w:vAlign w:val="center"/>
            <w:shd w:fill="DDEBF7"/>
          </w:tcPr>
          <w:p>
            <w:r/>
            <w:r>
              <w:rPr>
                <w:b/>
                <w:sz w:val="17"/>
              </w:rPr>
              <w:t>Meaning</w:t>
            </w:r>
          </w:p>
        </w:tc>
        <w:tc>
          <w:tcPr>
            <w:tcW w:type="dxa" w:w="2556"/>
            <w:vAlign w:val="center"/>
            <w:shd w:fill="DDEBF7"/>
          </w:tcPr>
          <w:p>
            <w:r/>
            <w:r>
              <w:rPr>
                <w:b/>
                <w:sz w:val="17"/>
              </w:rPr>
              <w:t>User Message</w:t>
            </w:r>
          </w:p>
        </w:tc>
        <w:tc>
          <w:tcPr>
            <w:tcW w:type="dxa" w:w="2556"/>
            <w:vAlign w:val="center"/>
            <w:shd w:fill="DDEBF7"/>
          </w:tcPr>
          <w:p>
            <w:r/>
            <w:r>
              <w:rPr>
                <w:b/>
                <w:sz w:val="17"/>
              </w:rPr>
              <w:t>Charging Action</w:t>
            </w:r>
          </w:p>
        </w:tc>
      </w:tr>
      <w:tr>
        <w:tc>
          <w:tcPr>
            <w:tcW w:type="dxa" w:w="2556"/>
            <w:vAlign w:val="center"/>
          </w:tcPr>
          <w:p>
            <w:r/>
            <w:r>
              <w:rPr>
                <w:b w:val="0"/>
                <w:sz w:val="17"/>
              </w:rPr>
              <w:t>AVAILABLE</w:t>
            </w:r>
          </w:p>
        </w:tc>
        <w:tc>
          <w:tcPr>
            <w:tcW w:type="dxa" w:w="2556"/>
            <w:vAlign w:val="center"/>
          </w:tcPr>
          <w:p>
            <w:r/>
            <w:r>
              <w:rPr>
                <w:b w:val="0"/>
                <w:sz w:val="17"/>
              </w:rPr>
              <w:t>Source indicates connector can be used</w:t>
            </w:r>
          </w:p>
        </w:tc>
        <w:tc>
          <w:tcPr>
            <w:tcW w:type="dxa" w:w="2556"/>
            <w:vAlign w:val="center"/>
          </w:tcPr>
          <w:p>
            <w:r/>
            <w:r>
              <w:rPr>
                <w:b w:val="0"/>
                <w:sz w:val="17"/>
              </w:rPr>
              <w:t>Available</w:t>
            </w:r>
          </w:p>
        </w:tc>
        <w:tc>
          <w:tcPr>
            <w:tcW w:type="dxa" w:w="2556"/>
            <w:vAlign w:val="center"/>
          </w:tcPr>
          <w:p>
            <w:r/>
            <w:r>
              <w:rPr>
                <w:b w:val="0"/>
                <w:sz w:val="17"/>
              </w:rPr>
              <w:t>Allow</w:t>
            </w:r>
          </w:p>
        </w:tc>
      </w:tr>
      <w:tr>
        <w:tc>
          <w:tcPr>
            <w:tcW w:type="dxa" w:w="2556"/>
            <w:vAlign w:val="center"/>
          </w:tcPr>
          <w:p>
            <w:r/>
            <w:r>
              <w:rPr>
                <w:b w:val="0"/>
                <w:sz w:val="17"/>
              </w:rPr>
              <w:t>IN_USE</w:t>
            </w:r>
          </w:p>
        </w:tc>
        <w:tc>
          <w:tcPr>
            <w:tcW w:type="dxa" w:w="2556"/>
            <w:vAlign w:val="center"/>
          </w:tcPr>
          <w:p>
            <w:r/>
            <w:r>
              <w:rPr>
                <w:b w:val="0"/>
                <w:sz w:val="17"/>
              </w:rPr>
              <w:t>Connector currently occupied</w:t>
            </w:r>
          </w:p>
        </w:tc>
        <w:tc>
          <w:tcPr>
            <w:tcW w:type="dxa" w:w="2556"/>
            <w:vAlign w:val="center"/>
          </w:tcPr>
          <w:p>
            <w:r/>
            <w:r>
              <w:rPr>
                <w:b w:val="0"/>
                <w:sz w:val="17"/>
              </w:rPr>
              <w:t>In use</w:t>
            </w:r>
          </w:p>
        </w:tc>
        <w:tc>
          <w:tcPr>
            <w:tcW w:type="dxa" w:w="2556"/>
            <w:vAlign w:val="center"/>
          </w:tcPr>
          <w:p>
            <w:r/>
            <w:r>
              <w:rPr>
                <w:b w:val="0"/>
                <w:sz w:val="17"/>
              </w:rPr>
              <w:t>Block</w:t>
            </w:r>
          </w:p>
        </w:tc>
      </w:tr>
      <w:tr>
        <w:tc>
          <w:tcPr>
            <w:tcW w:type="dxa" w:w="2556"/>
            <w:vAlign w:val="center"/>
          </w:tcPr>
          <w:p>
            <w:r/>
            <w:r>
              <w:rPr>
                <w:b w:val="0"/>
                <w:sz w:val="17"/>
              </w:rPr>
              <w:t>UNAVAILABLE</w:t>
            </w:r>
          </w:p>
        </w:tc>
        <w:tc>
          <w:tcPr>
            <w:tcW w:type="dxa" w:w="2556"/>
            <w:vAlign w:val="center"/>
          </w:tcPr>
          <w:p>
            <w:r/>
            <w:r>
              <w:rPr>
                <w:b w:val="0"/>
                <w:sz w:val="17"/>
              </w:rPr>
              <w:t>Connector cannot be used</w:t>
            </w:r>
          </w:p>
        </w:tc>
        <w:tc>
          <w:tcPr>
            <w:tcW w:type="dxa" w:w="2556"/>
            <w:vAlign w:val="center"/>
          </w:tcPr>
          <w:p>
            <w:r/>
            <w:r>
              <w:rPr>
                <w:b w:val="0"/>
                <w:sz w:val="17"/>
              </w:rPr>
              <w:t>Unavailable</w:t>
            </w:r>
          </w:p>
        </w:tc>
        <w:tc>
          <w:tcPr>
            <w:tcW w:type="dxa" w:w="2556"/>
            <w:vAlign w:val="center"/>
          </w:tcPr>
          <w:p>
            <w:r/>
            <w:r>
              <w:rPr>
                <w:b w:val="0"/>
                <w:sz w:val="17"/>
              </w:rPr>
              <w:t>Block</w:t>
            </w:r>
          </w:p>
        </w:tc>
      </w:tr>
      <w:tr>
        <w:tc>
          <w:tcPr>
            <w:tcW w:type="dxa" w:w="2556"/>
            <w:vAlign w:val="center"/>
          </w:tcPr>
          <w:p>
            <w:r/>
            <w:r>
              <w:rPr>
                <w:b w:val="0"/>
                <w:sz w:val="17"/>
              </w:rPr>
              <w:t>RESERVED</w:t>
            </w:r>
          </w:p>
        </w:tc>
        <w:tc>
          <w:tcPr>
            <w:tcW w:type="dxa" w:w="2556"/>
            <w:vAlign w:val="center"/>
          </w:tcPr>
          <w:p>
            <w:r/>
            <w:r>
              <w:rPr>
                <w:b w:val="0"/>
                <w:sz w:val="17"/>
              </w:rPr>
              <w:t>Connector reserved</w:t>
            </w:r>
          </w:p>
        </w:tc>
        <w:tc>
          <w:tcPr>
            <w:tcW w:type="dxa" w:w="2556"/>
            <w:vAlign w:val="center"/>
          </w:tcPr>
          <w:p>
            <w:r/>
            <w:r>
              <w:rPr>
                <w:b w:val="0"/>
                <w:sz w:val="17"/>
              </w:rPr>
              <w:t>Reserved</w:t>
            </w:r>
          </w:p>
        </w:tc>
        <w:tc>
          <w:tcPr>
            <w:tcW w:type="dxa" w:w="2556"/>
            <w:vAlign w:val="center"/>
          </w:tcPr>
          <w:p>
            <w:r/>
            <w:r>
              <w:rPr>
                <w:b w:val="0"/>
                <w:sz w:val="17"/>
              </w:rPr>
              <w:t>Block/conditional</w:t>
            </w:r>
          </w:p>
        </w:tc>
      </w:tr>
      <w:tr>
        <w:tc>
          <w:tcPr>
            <w:tcW w:type="dxa" w:w="2556"/>
            <w:vAlign w:val="center"/>
          </w:tcPr>
          <w:p>
            <w:r/>
            <w:r>
              <w:rPr>
                <w:b w:val="0"/>
                <w:sz w:val="17"/>
              </w:rPr>
              <w:t>OFFLINE</w:t>
            </w:r>
          </w:p>
        </w:tc>
        <w:tc>
          <w:tcPr>
            <w:tcW w:type="dxa" w:w="2556"/>
            <w:vAlign w:val="center"/>
          </w:tcPr>
          <w:p>
            <w:r/>
            <w:r>
              <w:rPr>
                <w:b w:val="0"/>
                <w:sz w:val="17"/>
              </w:rPr>
              <w:t>Source says equipment/network offline</w:t>
            </w:r>
          </w:p>
        </w:tc>
        <w:tc>
          <w:tcPr>
            <w:tcW w:type="dxa" w:w="2556"/>
            <w:vAlign w:val="center"/>
          </w:tcPr>
          <w:p>
            <w:r/>
            <w:r>
              <w:rPr>
                <w:b w:val="0"/>
                <w:sz w:val="17"/>
              </w:rPr>
              <w:t>Offline</w:t>
            </w:r>
          </w:p>
        </w:tc>
        <w:tc>
          <w:tcPr>
            <w:tcW w:type="dxa" w:w="2556"/>
            <w:vAlign w:val="center"/>
          </w:tcPr>
          <w:p>
            <w:r/>
            <w:r>
              <w:rPr>
                <w:b w:val="0"/>
                <w:sz w:val="17"/>
              </w:rPr>
              <w:t>Block</w:t>
            </w:r>
          </w:p>
        </w:tc>
      </w:tr>
      <w:tr>
        <w:tc>
          <w:tcPr>
            <w:tcW w:type="dxa" w:w="2556"/>
            <w:vAlign w:val="center"/>
          </w:tcPr>
          <w:p>
            <w:r/>
            <w:r>
              <w:rPr>
                <w:b w:val="0"/>
                <w:sz w:val="17"/>
              </w:rPr>
              <w:t>UNKNOWN</w:t>
            </w:r>
          </w:p>
        </w:tc>
        <w:tc>
          <w:tcPr>
            <w:tcW w:type="dxa" w:w="2556"/>
            <w:vAlign w:val="center"/>
          </w:tcPr>
          <w:p>
            <w:r/>
            <w:r>
              <w:rPr>
                <w:b w:val="0"/>
                <w:sz w:val="17"/>
              </w:rPr>
              <w:t>Current state cannot be confirmed</w:t>
            </w:r>
          </w:p>
        </w:tc>
        <w:tc>
          <w:tcPr>
            <w:tcW w:type="dxa" w:w="2556"/>
            <w:vAlign w:val="center"/>
          </w:tcPr>
          <w:p>
            <w:r/>
            <w:r>
              <w:rPr>
                <w:b w:val="0"/>
                <w:sz w:val="17"/>
              </w:rPr>
              <w:t>Status unknown</w:t>
            </w:r>
          </w:p>
        </w:tc>
        <w:tc>
          <w:tcPr>
            <w:tcW w:type="dxa" w:w="2556"/>
            <w:vAlign w:val="center"/>
          </w:tcPr>
          <w:p>
            <w:r/>
            <w:r>
              <w:rPr>
                <w:b w:val="0"/>
                <w:sz w:val="17"/>
              </w:rPr>
              <w:t>Policy-controlled warning</w:t>
            </w:r>
          </w:p>
        </w:tc>
      </w:tr>
      <w:tr>
        <w:tc>
          <w:tcPr>
            <w:tcW w:type="dxa" w:w="2556"/>
            <w:vAlign w:val="center"/>
          </w:tcPr>
          <w:p>
            <w:r/>
            <w:r>
              <w:rPr>
                <w:b w:val="0"/>
                <w:sz w:val="17"/>
              </w:rPr>
              <w:t>STALE</w:t>
            </w:r>
          </w:p>
        </w:tc>
        <w:tc>
          <w:tcPr>
            <w:tcW w:type="dxa" w:w="2556"/>
            <w:vAlign w:val="center"/>
          </w:tcPr>
          <w:p>
            <w:r/>
            <w:r>
              <w:rPr>
                <w:b w:val="0"/>
                <w:sz w:val="17"/>
              </w:rPr>
              <w:t>Data exists but exceeds freshness threshold</w:t>
            </w:r>
          </w:p>
        </w:tc>
        <w:tc>
          <w:tcPr>
            <w:tcW w:type="dxa" w:w="2556"/>
            <w:vAlign w:val="center"/>
          </w:tcPr>
          <w:p>
            <w:r/>
            <w:r>
              <w:rPr>
                <w:b w:val="0"/>
                <w:sz w:val="17"/>
              </w:rPr>
              <w:t>Data delayed</w:t>
            </w:r>
          </w:p>
        </w:tc>
        <w:tc>
          <w:tcPr>
            <w:tcW w:type="dxa" w:w="2556"/>
            <w:vAlign w:val="center"/>
          </w:tcPr>
          <w:p>
            <w:r/>
            <w:r>
              <w:rPr>
                <w:b w:val="0"/>
                <w:sz w:val="17"/>
              </w:rPr>
              <w:t>Policy-controlled warning</w:t>
            </w:r>
          </w:p>
        </w:tc>
      </w:tr>
    </w:tbl>
    <w:p>
      <w:pPr>
        <w:pStyle w:val="Heading2"/>
      </w:pPr>
      <w:r>
        <w:t>9.1 Golden Rule</w:t>
      </w:r>
    </w:p>
    <w:p>
      <w:pPr>
        <w:jc w:val="center"/>
      </w:pPr>
      <w:r>
        <w:rPr>
          <w:b/>
        </w:rPr>
        <w:t>UNKNOWN ≠ AVAILABLE. STALE ≠ LIVE.</w:t>
      </w:r>
    </w:p>
    <w:p>
      <w:pPr>
        <w:pStyle w:val="Heading2"/>
      </w:pPr>
      <w:r>
        <w:t>9.2 Why This Is a Trust Feature</w:t>
      </w:r>
    </w:p>
    <w:p>
      <w:r>
        <w:rPr>
          <w:b w:val="0"/>
        </w:rPr>
        <w:t>If ChargeMesh sends a driver to a charger based on stale data and the charger is unavailable, the product loses trust even if the map technically contained the correct station. Transparency about uncertainty is therefore a core product feature.</w:t>
      </w:r>
    </w:p>
    <w:p>
      <w:pPr>
        <w:pStyle w:val="Heading1"/>
      </w:pPr>
      <w:r>
        <w:t>10. Data Freshness Model</w:t>
      </w:r>
    </w:p>
    <w:p>
      <w:r>
        <w:rPr>
          <w:b w:val="0"/>
        </w:rPr>
        <w:t>Every operational status should carry at least two timestamps: the source timestamp supplied by the CPO and the time ChargeMesh ingested the data.</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7"/>
              </w:rPr>
              <w:t>Field</w:t>
            </w:r>
          </w:p>
        </w:tc>
        <w:tc>
          <w:tcPr>
            <w:tcW w:type="dxa" w:w="5112"/>
            <w:vAlign w:val="center"/>
            <w:shd w:fill="DDEBF7"/>
          </w:tcPr>
          <w:p>
            <w:r/>
            <w:r>
              <w:rPr>
                <w:b/>
                <w:sz w:val="17"/>
              </w:rPr>
              <w:t>Purpose</w:t>
            </w:r>
          </w:p>
        </w:tc>
      </w:tr>
      <w:tr>
        <w:tc>
          <w:tcPr>
            <w:tcW w:type="dxa" w:w="5112"/>
            <w:vAlign w:val="center"/>
          </w:tcPr>
          <w:p>
            <w:r/>
            <w:r>
              <w:rPr>
                <w:b w:val="0"/>
                <w:sz w:val="17"/>
              </w:rPr>
              <w:t>source_status_timestamp</w:t>
            </w:r>
          </w:p>
        </w:tc>
        <w:tc>
          <w:tcPr>
            <w:tcW w:type="dxa" w:w="5112"/>
            <w:vAlign w:val="center"/>
          </w:tcPr>
          <w:p>
            <w:r/>
            <w:r>
              <w:rPr>
                <w:b w:val="0"/>
                <w:sz w:val="17"/>
              </w:rPr>
              <w:t>When the CPO says the status was observed</w:t>
            </w:r>
          </w:p>
        </w:tc>
      </w:tr>
      <w:tr>
        <w:tc>
          <w:tcPr>
            <w:tcW w:type="dxa" w:w="5112"/>
            <w:vAlign w:val="center"/>
          </w:tcPr>
          <w:p>
            <w:r/>
            <w:r>
              <w:rPr>
                <w:b w:val="0"/>
                <w:sz w:val="17"/>
              </w:rPr>
              <w:t>ingested_timestamp</w:t>
            </w:r>
          </w:p>
        </w:tc>
        <w:tc>
          <w:tcPr>
            <w:tcW w:type="dxa" w:w="5112"/>
            <w:vAlign w:val="center"/>
          </w:tcPr>
          <w:p>
            <w:r/>
            <w:r>
              <w:rPr>
                <w:b w:val="0"/>
                <w:sz w:val="17"/>
              </w:rPr>
              <w:t>When ChargeMesh received the record</w:t>
            </w:r>
          </w:p>
        </w:tc>
      </w:tr>
      <w:tr>
        <w:tc>
          <w:tcPr>
            <w:tcW w:type="dxa" w:w="5112"/>
            <w:vAlign w:val="center"/>
          </w:tcPr>
          <w:p>
            <w:r/>
            <w:r>
              <w:rPr>
                <w:b w:val="0"/>
                <w:sz w:val="17"/>
              </w:rPr>
              <w:t>last_successful_sync</w:t>
            </w:r>
          </w:p>
        </w:tc>
        <w:tc>
          <w:tcPr>
            <w:tcW w:type="dxa" w:w="5112"/>
            <w:vAlign w:val="center"/>
          </w:tcPr>
          <w:p>
            <w:r/>
            <w:r>
              <w:rPr>
                <w:b w:val="0"/>
                <w:sz w:val="17"/>
              </w:rPr>
              <w:t>When the integration last communicated successfully</w:t>
            </w:r>
          </w:p>
        </w:tc>
      </w:tr>
      <w:tr>
        <w:tc>
          <w:tcPr>
            <w:tcW w:type="dxa" w:w="5112"/>
            <w:vAlign w:val="center"/>
          </w:tcPr>
          <w:p>
            <w:r/>
            <w:r>
              <w:rPr>
                <w:b w:val="0"/>
                <w:sz w:val="17"/>
              </w:rPr>
              <w:t>data_age_seconds</w:t>
            </w:r>
          </w:p>
        </w:tc>
        <w:tc>
          <w:tcPr>
            <w:tcW w:type="dxa" w:w="5112"/>
            <w:vAlign w:val="center"/>
          </w:tcPr>
          <w:p>
            <w:r/>
            <w:r>
              <w:rPr>
                <w:b w:val="0"/>
                <w:sz w:val="17"/>
              </w:rPr>
              <w:t>Calculated freshness value</w:t>
            </w:r>
          </w:p>
        </w:tc>
      </w:tr>
      <w:tr>
        <w:tc>
          <w:tcPr>
            <w:tcW w:type="dxa" w:w="5112"/>
            <w:vAlign w:val="center"/>
          </w:tcPr>
          <w:p>
            <w:r/>
            <w:r>
              <w:rPr>
                <w:b w:val="0"/>
                <w:sz w:val="17"/>
              </w:rPr>
              <w:t>freshness_state</w:t>
            </w:r>
          </w:p>
        </w:tc>
        <w:tc>
          <w:tcPr>
            <w:tcW w:type="dxa" w:w="5112"/>
            <w:vAlign w:val="center"/>
          </w:tcPr>
          <w:p>
            <w:r/>
            <w:r>
              <w:rPr>
                <w:b w:val="0"/>
                <w:sz w:val="17"/>
              </w:rPr>
              <w:t>LIVE / DELAYED / UNKNOWN</w:t>
            </w:r>
          </w:p>
        </w:tc>
      </w:tr>
    </w:tbl>
    <w:p>
      <w:pPr>
        <w:pStyle w:val="Heading2"/>
      </w:pPr>
      <w:r>
        <w:t>10.1 Suggested Consumer Language</w:t>
      </w:r>
    </w:p>
    <w:p>
      <w:pPr>
        <w:pStyle w:val="ListBullet"/>
      </w:pPr>
      <w:r>
        <w:t>Live — updated 20 sec ago</w:t>
      </w:r>
    </w:p>
    <w:p>
      <w:pPr>
        <w:pStyle w:val="ListBullet"/>
      </w:pPr>
      <w:r>
        <w:t>Updated 2 min ago</w:t>
      </w:r>
    </w:p>
    <w:p>
      <w:pPr>
        <w:pStyle w:val="ListBullet"/>
      </w:pPr>
      <w:r>
        <w:t>Data delayed — updated 14 min ago</w:t>
      </w:r>
    </w:p>
    <w:p>
      <w:pPr>
        <w:pStyle w:val="ListBullet"/>
      </w:pPr>
      <w:r>
        <w:t>Status unknown — live availability could not be confirmed</w:t>
      </w:r>
    </w:p>
    <w:p>
      <w:r>
        <w:rPr>
          <w:b w:val="0"/>
        </w:rPr>
        <w:t>Exact thresholds should be configured per CPO, protocol capability and product policy rather than hard-coded globally.</w:t>
      </w:r>
    </w:p>
    <w:p>
      <w:pPr>
        <w:pStyle w:val="Heading1"/>
      </w:pPr>
      <w:r>
        <w:t>11. Charger Reliability Concept</w:t>
      </w:r>
    </w:p>
    <w:p>
      <w:r>
        <w:rPr>
          <w:b w:val="0"/>
        </w:rPr>
        <w:t>Live availability and historical reliability are different concepts. A charger may currently report AVAILABLE but have a poor recent start-success record. Another charger may have excellent historical reliability but stale live data.</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7"/>
              </w:rPr>
              <w:t>Signal</w:t>
            </w:r>
          </w:p>
        </w:tc>
        <w:tc>
          <w:tcPr>
            <w:tcW w:type="dxa" w:w="5112"/>
            <w:vAlign w:val="center"/>
            <w:shd w:fill="DDEBF7"/>
          </w:tcPr>
          <w:p>
            <w:r/>
            <w:r>
              <w:rPr>
                <w:b/>
                <w:sz w:val="17"/>
              </w:rPr>
              <w:t>What It Tells the User</w:t>
            </w:r>
          </w:p>
        </w:tc>
      </w:tr>
      <w:tr>
        <w:tc>
          <w:tcPr>
            <w:tcW w:type="dxa" w:w="5112"/>
            <w:vAlign w:val="center"/>
          </w:tcPr>
          <w:p>
            <w:r/>
            <w:r>
              <w:rPr>
                <w:b w:val="0"/>
                <w:sz w:val="17"/>
              </w:rPr>
              <w:t>Live status</w:t>
            </w:r>
          </w:p>
        </w:tc>
        <w:tc>
          <w:tcPr>
            <w:tcW w:type="dxa" w:w="5112"/>
            <w:vAlign w:val="center"/>
          </w:tcPr>
          <w:p>
            <w:r/>
            <w:r>
              <w:rPr>
                <w:b w:val="0"/>
                <w:sz w:val="17"/>
              </w:rPr>
              <w:t>Can the connector be used according to current source data?</w:t>
            </w:r>
          </w:p>
        </w:tc>
      </w:tr>
      <w:tr>
        <w:tc>
          <w:tcPr>
            <w:tcW w:type="dxa" w:w="5112"/>
            <w:vAlign w:val="center"/>
          </w:tcPr>
          <w:p>
            <w:r/>
            <w:r>
              <w:rPr>
                <w:b w:val="0"/>
                <w:sz w:val="17"/>
              </w:rPr>
              <w:t>Freshness</w:t>
            </w:r>
          </w:p>
        </w:tc>
        <w:tc>
          <w:tcPr>
            <w:tcW w:type="dxa" w:w="5112"/>
            <w:vAlign w:val="center"/>
          </w:tcPr>
          <w:p>
            <w:r/>
            <w:r>
              <w:rPr>
                <w:b w:val="0"/>
                <w:sz w:val="17"/>
              </w:rPr>
              <w:t>How recently was the state observed?</w:t>
            </w:r>
          </w:p>
        </w:tc>
      </w:tr>
      <w:tr>
        <w:tc>
          <w:tcPr>
            <w:tcW w:type="dxa" w:w="5112"/>
            <w:vAlign w:val="center"/>
          </w:tcPr>
          <w:p>
            <w:r/>
            <w:r>
              <w:rPr>
                <w:b w:val="0"/>
                <w:sz w:val="17"/>
              </w:rPr>
              <w:t>Start success</w:t>
            </w:r>
          </w:p>
        </w:tc>
        <w:tc>
          <w:tcPr>
            <w:tcW w:type="dxa" w:w="5112"/>
            <w:vAlign w:val="center"/>
          </w:tcPr>
          <w:p>
            <w:r/>
            <w:r>
              <w:rPr>
                <w:b w:val="0"/>
                <w:sz w:val="17"/>
              </w:rPr>
              <w:t>How often does charging successfully begin?</w:t>
            </w:r>
          </w:p>
        </w:tc>
      </w:tr>
      <w:tr>
        <w:tc>
          <w:tcPr>
            <w:tcW w:type="dxa" w:w="5112"/>
            <w:vAlign w:val="center"/>
          </w:tcPr>
          <w:p>
            <w:r/>
            <w:r>
              <w:rPr>
                <w:b w:val="0"/>
                <w:sz w:val="17"/>
              </w:rPr>
              <w:t>Completion</w:t>
            </w:r>
          </w:p>
        </w:tc>
        <w:tc>
          <w:tcPr>
            <w:tcW w:type="dxa" w:w="5112"/>
            <w:vAlign w:val="center"/>
          </w:tcPr>
          <w:p>
            <w:r/>
            <w:r>
              <w:rPr>
                <w:b w:val="0"/>
                <w:sz w:val="17"/>
              </w:rPr>
              <w:t>How often do sessions complete normally?</w:t>
            </w:r>
          </w:p>
        </w:tc>
      </w:tr>
      <w:tr>
        <w:tc>
          <w:tcPr>
            <w:tcW w:type="dxa" w:w="5112"/>
            <w:vAlign w:val="center"/>
          </w:tcPr>
          <w:p>
            <w:r/>
            <w:r>
              <w:rPr>
                <w:b w:val="0"/>
                <w:sz w:val="17"/>
              </w:rPr>
              <w:t>Recent faults</w:t>
            </w:r>
          </w:p>
        </w:tc>
        <w:tc>
          <w:tcPr>
            <w:tcW w:type="dxa" w:w="5112"/>
            <w:vAlign w:val="center"/>
          </w:tcPr>
          <w:p>
            <w:r/>
            <w:r>
              <w:rPr>
                <w:b w:val="0"/>
                <w:sz w:val="17"/>
              </w:rPr>
              <w:t>Has the charger recently failed?</w:t>
            </w:r>
          </w:p>
        </w:tc>
      </w:tr>
      <w:tr>
        <w:tc>
          <w:tcPr>
            <w:tcW w:type="dxa" w:w="5112"/>
            <w:vAlign w:val="center"/>
          </w:tcPr>
          <w:p>
            <w:r/>
            <w:r>
              <w:rPr>
                <w:b w:val="0"/>
                <w:sz w:val="17"/>
              </w:rPr>
              <w:t>User reports</w:t>
            </w:r>
          </w:p>
        </w:tc>
        <w:tc>
          <w:tcPr>
            <w:tcW w:type="dxa" w:w="5112"/>
            <w:vAlign w:val="center"/>
          </w:tcPr>
          <w:p>
            <w:r/>
            <w:r>
              <w:rPr>
                <w:b w:val="0"/>
                <w:sz w:val="17"/>
              </w:rPr>
              <w:t>Are drivers reporting problems?</w:t>
            </w:r>
          </w:p>
        </w:tc>
      </w:tr>
      <w:tr>
        <w:tc>
          <w:tcPr>
            <w:tcW w:type="dxa" w:w="5112"/>
            <w:vAlign w:val="center"/>
          </w:tcPr>
          <w:p>
            <w:r/>
            <w:r>
              <w:rPr>
                <w:b w:val="0"/>
                <w:sz w:val="17"/>
              </w:rPr>
              <w:t>Reliability score</w:t>
            </w:r>
          </w:p>
        </w:tc>
        <w:tc>
          <w:tcPr>
            <w:tcW w:type="dxa" w:w="5112"/>
            <w:vAlign w:val="center"/>
          </w:tcPr>
          <w:p>
            <w:r/>
            <w:r>
              <w:rPr>
                <w:b w:val="0"/>
                <w:sz w:val="17"/>
              </w:rPr>
              <w:t>Combined decision-support signal</w:t>
            </w:r>
          </w:p>
        </w:tc>
      </w:tr>
    </w:tbl>
    <w:p>
      <w:r>
        <w:rPr>
          <w:b w:val="0"/>
        </w:rPr>
        <w:t>The score must be labelled as an estimate and must not be presented as a guarantee.</w:t>
      </w:r>
    </w:p>
    <w:p>
      <w:pPr>
        <w:pStyle w:val="Heading1"/>
      </w:pPr>
      <w:r>
        <w:t>12. Vehicle Compatibility</w:t>
      </w:r>
    </w:p>
    <w:p>
      <w:r>
        <w:rPr>
          <w:b w:val="0"/>
        </w:rPr>
        <w:t>The user should not be expected to understand every connector standard. ChargeMesh should store a vehicle profile and translate technical charger attributes into a simple recommendation.</w:t>
      </w:r>
    </w:p>
    <w:p>
      <w:pPr>
        <w:pStyle w:val="Heading2"/>
      </w:pPr>
      <w:r>
        <w:t>12.1 Vehicle Profile</w:t>
      </w:r>
    </w:p>
    <w:p>
      <w:pPr>
        <w:pStyle w:val="ListBullet"/>
      </w:pPr>
      <w:r>
        <w:t>Make</w:t>
      </w:r>
    </w:p>
    <w:p>
      <w:pPr>
        <w:pStyle w:val="ListBullet"/>
      </w:pPr>
      <w:r>
        <w:t>Model</w:t>
      </w:r>
    </w:p>
    <w:p>
      <w:pPr>
        <w:pStyle w:val="ListBullet"/>
      </w:pPr>
      <w:r>
        <w:t>Variant where relevant</w:t>
      </w:r>
    </w:p>
    <w:p>
      <w:pPr>
        <w:pStyle w:val="ListBullet"/>
      </w:pPr>
      <w:r>
        <w:t>Connector type(s)</w:t>
      </w:r>
    </w:p>
    <w:p>
      <w:pPr>
        <w:pStyle w:val="ListBullet"/>
      </w:pPr>
      <w:r>
        <w:t>AC charging capability where known</w:t>
      </w:r>
    </w:p>
    <w:p>
      <w:pPr>
        <w:pStyle w:val="ListBullet"/>
      </w:pPr>
      <w:r>
        <w:t>DC charging capability where known</w:t>
      </w:r>
    </w:p>
    <w:p>
      <w:pPr>
        <w:pStyle w:val="ListBullet"/>
      </w:pPr>
      <w:r>
        <w:t>Maximum supported charging power where known</w:t>
      </w:r>
    </w:p>
    <w:p>
      <w:pPr>
        <w:pStyle w:val="Heading2"/>
      </w:pPr>
      <w:r>
        <w:t>12.2 User Experience</w:t>
      </w:r>
    </w:p>
    <w:p>
      <w:r>
        <w:rPr>
          <w:b w:val="0"/>
        </w:rPr>
        <w:t>Instead of simply showing 'CCS2, 60 kW', ChargeMesh can show 'Compatible with your Tata Nexon EV • DC fast • up to 60 kW charger' when the data supports that conclusion.</w:t>
      </w:r>
    </w:p>
    <w:p>
      <w:pPr>
        <w:pStyle w:val="Heading1"/>
      </w:pPr>
      <w:r>
        <w:t>13. Pricing &amp; Charging Targets</w:t>
      </w:r>
    </w:p>
    <w:p>
      <w:r>
        <w:rPr>
          <w:b w:val="0"/>
        </w:rPr>
        <w:t>The platform should make the charging cost understandable before the user commits.</w:t>
      </w:r>
    </w:p>
    <w:p>
      <w:pPr>
        <w:pStyle w:val="Heading2"/>
      </w:pPr>
      <w:r>
        <w:t>13.1 Charging Target Options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7"/>
              </w:rPr>
              <w:t>Target</w:t>
            </w:r>
          </w:p>
        </w:tc>
        <w:tc>
          <w:tcPr>
            <w:tcW w:type="dxa" w:w="3408"/>
            <w:vAlign w:val="center"/>
            <w:shd w:fill="DDEBF7"/>
          </w:tcPr>
          <w:p>
            <w:r/>
            <w:r>
              <w:rPr>
                <w:b/>
                <w:sz w:val="17"/>
              </w:rPr>
              <w:t>Use Case</w:t>
            </w:r>
          </w:p>
        </w:tc>
        <w:tc>
          <w:tcPr>
            <w:tcW w:type="dxa" w:w="3408"/>
            <w:vAlign w:val="center"/>
            <w:shd w:fill="DDEBF7"/>
          </w:tcPr>
          <w:p>
            <w:r/>
            <w:r>
              <w:rPr>
                <w:b/>
                <w:sz w:val="17"/>
              </w:rPr>
              <w:t>Requirement</w:t>
            </w:r>
          </w:p>
        </w:tc>
      </w:tr>
      <w:tr>
        <w:tc>
          <w:tcPr>
            <w:tcW w:type="dxa" w:w="3408"/>
            <w:vAlign w:val="center"/>
          </w:tcPr>
          <w:p>
            <w:r/>
            <w:r>
              <w:rPr>
                <w:b w:val="0"/>
                <w:sz w:val="17"/>
              </w:rPr>
              <w:t>Amount</w:t>
            </w:r>
          </w:p>
        </w:tc>
        <w:tc>
          <w:tcPr>
            <w:tcW w:type="dxa" w:w="3408"/>
            <w:vAlign w:val="center"/>
          </w:tcPr>
          <w:p>
            <w:r/>
            <w:r>
              <w:rPr>
                <w:b w:val="0"/>
                <w:sz w:val="17"/>
              </w:rPr>
              <w:t>Spend a fixed amount</w:t>
            </w:r>
          </w:p>
        </w:tc>
        <w:tc>
          <w:tcPr>
            <w:tcW w:type="dxa" w:w="3408"/>
            <w:vAlign w:val="center"/>
          </w:tcPr>
          <w:p>
            <w:r/>
            <w:r>
              <w:rPr>
                <w:b w:val="0"/>
                <w:sz w:val="17"/>
              </w:rPr>
              <w:t>Supported where payment/CPO model allows</w:t>
            </w:r>
          </w:p>
        </w:tc>
      </w:tr>
      <w:tr>
        <w:tc>
          <w:tcPr>
            <w:tcW w:type="dxa" w:w="3408"/>
            <w:vAlign w:val="center"/>
          </w:tcPr>
          <w:p>
            <w:r/>
            <w:r>
              <w:rPr>
                <w:b w:val="0"/>
                <w:sz w:val="17"/>
              </w:rPr>
              <w:t>Time</w:t>
            </w:r>
          </w:p>
        </w:tc>
        <w:tc>
          <w:tcPr>
            <w:tcW w:type="dxa" w:w="3408"/>
            <w:vAlign w:val="center"/>
          </w:tcPr>
          <w:p>
            <w:r/>
            <w:r>
              <w:rPr>
                <w:b w:val="0"/>
                <w:sz w:val="17"/>
              </w:rPr>
              <w:t>Charge for a chosen duration</w:t>
            </w:r>
          </w:p>
        </w:tc>
        <w:tc>
          <w:tcPr>
            <w:tcW w:type="dxa" w:w="3408"/>
            <w:vAlign w:val="center"/>
          </w:tcPr>
          <w:p>
            <w:r/>
            <w:r>
              <w:rPr>
                <w:b w:val="0"/>
                <w:sz w:val="17"/>
              </w:rPr>
              <w:t>Supported where CPO/session control allows</w:t>
            </w:r>
          </w:p>
        </w:tc>
      </w:tr>
      <w:tr>
        <w:tc>
          <w:tcPr>
            <w:tcW w:type="dxa" w:w="3408"/>
            <w:vAlign w:val="center"/>
          </w:tcPr>
          <w:p>
            <w:r/>
            <w:r>
              <w:rPr>
                <w:b w:val="0"/>
                <w:sz w:val="17"/>
              </w:rPr>
              <w:t>Energy (kWh)</w:t>
            </w:r>
          </w:p>
        </w:tc>
        <w:tc>
          <w:tcPr>
            <w:tcW w:type="dxa" w:w="3408"/>
            <w:vAlign w:val="center"/>
          </w:tcPr>
          <w:p>
            <w:r/>
            <w:r>
              <w:rPr>
                <w:b w:val="0"/>
                <w:sz w:val="17"/>
              </w:rPr>
              <w:t>Receive a chosen amount of energy</w:t>
            </w:r>
          </w:p>
        </w:tc>
        <w:tc>
          <w:tcPr>
            <w:tcW w:type="dxa" w:w="3408"/>
            <w:vAlign w:val="center"/>
          </w:tcPr>
          <w:p>
            <w:r/>
            <w:r>
              <w:rPr>
                <w:b w:val="0"/>
                <w:sz w:val="17"/>
              </w:rPr>
              <w:t>Supported where CPO exposes appropriate control</w:t>
            </w:r>
          </w:p>
        </w:tc>
      </w:tr>
      <w:tr>
        <w:tc>
          <w:tcPr>
            <w:tcW w:type="dxa" w:w="3408"/>
            <w:vAlign w:val="center"/>
          </w:tcPr>
          <w:p>
            <w:r/>
            <w:r>
              <w:rPr>
                <w:b w:val="0"/>
                <w:sz w:val="17"/>
              </w:rPr>
              <w:t>Battery %</w:t>
            </w:r>
          </w:p>
        </w:tc>
        <w:tc>
          <w:tcPr>
            <w:tcW w:type="dxa" w:w="3408"/>
            <w:vAlign w:val="center"/>
          </w:tcPr>
          <w:p>
            <w:r/>
            <w:r>
              <w:rPr>
                <w:b w:val="0"/>
                <w:sz w:val="17"/>
              </w:rPr>
              <w:t>Reach a target SOC</w:t>
            </w:r>
          </w:p>
        </w:tc>
        <w:tc>
          <w:tcPr>
            <w:tcW w:type="dxa" w:w="3408"/>
            <w:vAlign w:val="center"/>
          </w:tcPr>
          <w:p>
            <w:r/>
            <w:r>
              <w:rPr>
                <w:b w:val="0"/>
                <w:sz w:val="17"/>
              </w:rPr>
              <w:t>Only where reliable vehicle/charger integration exists</w:t>
            </w:r>
          </w:p>
        </w:tc>
      </w:tr>
    </w:tbl>
    <w:p>
      <w:pPr>
        <w:pStyle w:val="Heading2"/>
      </w:pPr>
      <w:r>
        <w:t>13.2 Voltage</w:t>
      </w:r>
    </w:p>
    <w:p>
      <w:r>
        <w:rPr>
          <w:b w:val="0"/>
        </w:rPr>
        <w:t>Voltage should not normally be offered as a consumer payment target. Voltage is an electrical parameter describing the charging system. It is useful technical information, but 'pay by voltage' is not a natural billing unit. ChargeMesh should show voltage where relevant while keeping billing based on the applicable tariff/session model.</w:t>
      </w:r>
    </w:p>
    <w:p>
      <w:pPr>
        <w:pStyle w:val="Heading2"/>
      </w:pPr>
      <w:r>
        <w:t>13.3 Example</w:t>
      </w:r>
    </w:p>
    <w:p>
      <w:r>
        <w:rPr>
          <w:b w:val="0"/>
        </w:rPr>
        <w:t>Station A: DC • 60 kW • ₹18/kWh • 2.5 km • Available. Station B: DC • 30 kW • ₹14/kWh • 1.8 km • Available. ChargeMesh can let the user choose based on time, price and distance instead of presenting price alone.</w:t>
      </w:r>
    </w:p>
    <w:p>
      <w:pPr>
        <w:pStyle w:val="Heading1"/>
      </w:pPr>
      <w:r>
        <w:t>14. Charging Journey A — Find &amp; Charge</w:t>
      </w:r>
    </w:p>
    <w:p>
      <w:pPr>
        <w:pStyle w:val="ListNumber"/>
      </w:pPr>
      <w:r>
        <w:t>Open ChargeMesh.</w:t>
      </w:r>
    </w:p>
    <w:p>
      <w:pPr>
        <w:pStyle w:val="ListNumber"/>
      </w:pPr>
      <w:r>
        <w:t>Location is detected or user enters a destination.</w:t>
      </w:r>
    </w:p>
    <w:p>
      <w:pPr>
        <w:pStyle w:val="ListNumber"/>
      </w:pPr>
      <w:r>
        <w:t>Compatible chargers appear.</w:t>
      </w:r>
    </w:p>
    <w:p>
      <w:pPr>
        <w:pStyle w:val="ListNumber"/>
      </w:pPr>
      <w:r>
        <w:t>User filters Available + Fast + compatible connector.</w:t>
      </w:r>
    </w:p>
    <w:p>
      <w:pPr>
        <w:pStyle w:val="ListNumber"/>
      </w:pPr>
      <w:r>
        <w:t>User opens a station.</w:t>
      </w:r>
    </w:p>
    <w:p>
      <w:pPr>
        <w:pStyle w:val="ListNumber"/>
      </w:pPr>
      <w:r>
        <w:t>ChargeMesh shows station, CPO, connector availability, freshness, tariff, power and reliability.</w:t>
      </w:r>
    </w:p>
    <w:p>
      <w:pPr>
        <w:pStyle w:val="ListNumber"/>
      </w:pPr>
      <w:r>
        <w:t>User selects a connector.</w:t>
      </w:r>
    </w:p>
    <w:p>
      <w:pPr>
        <w:pStyle w:val="ListNumber"/>
      </w:pPr>
      <w:r>
        <w:t>User selects charging target if supported.</w:t>
      </w:r>
    </w:p>
    <w:p>
      <w:pPr>
        <w:pStyle w:val="ListNumber"/>
      </w:pPr>
      <w:r>
        <w:t>Payment is authorized.</w:t>
      </w:r>
    </w:p>
    <w:p>
      <w:pPr>
        <w:pStyle w:val="ListNumber"/>
      </w:pPr>
      <w:r>
        <w:t>ChargeMesh requests authorization/start from the CPO.</w:t>
      </w:r>
    </w:p>
    <w:p>
      <w:pPr>
        <w:pStyle w:val="ListNumber"/>
      </w:pPr>
      <w:r>
        <w:t>ChargeMesh confirms the actual session state.</w:t>
      </w:r>
    </w:p>
    <w:p>
      <w:pPr>
        <w:pStyle w:val="ListNumber"/>
      </w:pPr>
      <w:r>
        <w:t>UI changes to Charging.</w:t>
      </w:r>
    </w:p>
    <w:p>
      <w:pPr>
        <w:pStyle w:val="ListNumber"/>
      </w:pPr>
      <w:r>
        <w:t>Live session metrics appear.</w:t>
      </w:r>
    </w:p>
    <w:p>
      <w:pPr>
        <w:pStyle w:val="ListNumber"/>
      </w:pPr>
      <w:r>
        <w:t>User stops or session completes.</w:t>
      </w:r>
    </w:p>
    <w:p>
      <w:pPr>
        <w:pStyle w:val="ListNumber"/>
      </w:pPr>
      <w:r>
        <w:t>Final session/CDR and payment are reconciled.</w:t>
      </w:r>
    </w:p>
    <w:p>
      <w:pPr>
        <w:pStyle w:val="ListNumber"/>
      </w:pPr>
      <w:r>
        <w:t>Invoice/history is generated.</w:t>
      </w:r>
    </w:p>
    <w:p>
      <w:pPr>
        <w:pStyle w:val="Heading1"/>
      </w:pPr>
      <w:r>
        <w:t>15. Charging Journey B — Scan &amp; Charge</w:t>
      </w:r>
    </w:p>
    <w:p>
      <w:pPr>
        <w:pStyle w:val="ListNumber"/>
      </w:pPr>
      <w:r>
        <w:t>User arrives physically at a station.</w:t>
      </w:r>
    </w:p>
    <w:p>
      <w:pPr>
        <w:pStyle w:val="ListNumber"/>
      </w:pPr>
      <w:r>
        <w:t>User taps Scan QR.</w:t>
      </w:r>
    </w:p>
    <w:p>
      <w:pPr>
        <w:pStyle w:val="ListNumber"/>
      </w:pPr>
      <w:r>
        <w:t>ChargeMesh resolves station/CPO/EVSE/connector.</w:t>
      </w:r>
    </w:p>
    <w:p>
      <w:pPr>
        <w:pStyle w:val="ListNumber"/>
      </w:pPr>
      <w:r>
        <w:t>User confirms the connector.</w:t>
      </w:r>
    </w:p>
    <w:p>
      <w:pPr>
        <w:pStyle w:val="ListNumber"/>
      </w:pPr>
      <w:r>
        <w:t>ChargeMesh displays applicable tariff and expected payment handling.</w:t>
      </w:r>
    </w:p>
    <w:p>
      <w:pPr>
        <w:pStyle w:val="ListNumber"/>
      </w:pPr>
      <w:r>
        <w:t>Payment authorization is completed.</w:t>
      </w:r>
    </w:p>
    <w:p>
      <w:pPr>
        <w:pStyle w:val="ListNumber"/>
      </w:pPr>
      <w:r>
        <w:t>Start command is sent where supported.</w:t>
      </w:r>
    </w:p>
    <w:p>
      <w:pPr>
        <w:pStyle w:val="ListNumber"/>
      </w:pPr>
      <w:r>
        <w:t>Actual session state is confirmed.</w:t>
      </w:r>
    </w:p>
    <w:p>
      <w:pPr>
        <w:pStyle w:val="ListNumber"/>
      </w:pPr>
      <w:r>
        <w:t>Charging screen opens.</w:t>
      </w:r>
    </w:p>
    <w:p>
      <w:pPr>
        <w:pStyle w:val="ListNumber"/>
      </w:pPr>
      <w:r>
        <w:t>Session is completed and recorded.</w:t>
      </w:r>
    </w:p>
    <w:p>
      <w:pPr>
        <w:pStyle w:val="Heading2"/>
      </w:pPr>
      <w:r>
        <w:t>15.1 Why Two Journeys?</w:t>
      </w:r>
    </w:p>
    <w:p>
      <w:r>
        <w:rPr>
          <w:b w:val="0"/>
        </w:rPr>
        <w:t>Map discovery solves 'Where should I go?' QR scanning solves 'I am already here; let me charge.' Both are required for a practical product.</w:t>
      </w:r>
    </w:p>
    <w:p>
      <w:pPr>
        <w:pStyle w:val="Heading1"/>
      </w:pPr>
      <w:r>
        <w:t>16. Unified Payment Concept</w:t>
      </w:r>
    </w:p>
    <w:p>
      <w:r>
        <w:rPr>
          <w:b w:val="0"/>
        </w:rPr>
        <w:t>The original ChargeMesh idea includes one wallet or one payment option. The product vision remains a unified payment experience, but the implementation should be split into two possible models.</w:t>
      </w:r>
    </w:p>
    <w:p>
      <w:pPr>
        <w:pStyle w:val="Heading2"/>
      </w:pPr>
      <w:r>
        <w:t>16.1 Model A — Payment Orchestration MVP</w:t>
      </w:r>
    </w:p>
    <w:p>
      <w:pPr>
        <w:pStyle w:val="ListBullet"/>
      </w:pPr>
      <w:r>
        <w:t>User adds a preferred payment method.</w:t>
      </w:r>
    </w:p>
    <w:p>
      <w:pPr>
        <w:pStyle w:val="ListBullet"/>
      </w:pPr>
      <w:r>
        <w:t>ChargeMesh creates payment authorization for a session.</w:t>
      </w:r>
    </w:p>
    <w:p>
      <w:pPr>
        <w:pStyle w:val="ListBullet"/>
      </w:pPr>
      <w:r>
        <w:t>Payment is processed by a regulated payment provider/partner.</w:t>
      </w:r>
    </w:p>
    <w:p>
      <w:pPr>
        <w:pStyle w:val="ListBullet"/>
      </w:pPr>
      <w:r>
        <w:t>ChargeMesh records payment and session references.</w:t>
      </w:r>
    </w:p>
    <w:p>
      <w:pPr>
        <w:pStyle w:val="ListBullet"/>
      </w:pPr>
      <w:r>
        <w:t>Final amount is reconciled after the CDR/session is received.</w:t>
      </w:r>
    </w:p>
    <w:p>
      <w:pPr>
        <w:pStyle w:val="Heading2"/>
      </w:pPr>
      <w:r>
        <w:t>16.2 Model B — Stored-Value ChargeMesh Wallet</w:t>
      </w:r>
    </w:p>
    <w:p>
      <w:r>
        <w:rPr>
          <w:b w:val="0"/>
        </w:rPr>
        <w:t>A true stored-value wallet can provide a very smooth experience, but it is a separate regulatory and operational product. RBI's PPI directions apply to prepaid payment instruments and their issuers/system participants. Therefore, ChargeMesh should not launch a proprietary stored-value wallet merely as a UI feature without the applicable authorization/partner structure. citeturn0search2turn0search7</w:t>
      </w:r>
    </w:p>
    <w:p>
      <w:pPr>
        <w:pStyle w:val="Heading2"/>
      </w:pPr>
      <w:r>
        <w:t>16.3 Recommended Strategy</w:t>
      </w:r>
    </w:p>
    <w:p>
      <w:r>
        <w:rPr>
          <w:b w:val="0"/>
        </w:rPr>
        <w:t>Use Model A for MVP unless a licensed/appropriate partner structure is established for Model B. The user experience can still feel like 'one wallet' even when the underlying regulated payment instrument is provided by a partner.</w:t>
      </w:r>
    </w:p>
    <w:p>
      <w:pPr>
        <w:pStyle w:val="Heading1"/>
      </w:pPr>
      <w:r>
        <w:t>17. Payment States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7"/>
              </w:rPr>
              <w:t>State</w:t>
            </w:r>
          </w:p>
        </w:tc>
        <w:tc>
          <w:tcPr>
            <w:tcW w:type="dxa" w:w="5112"/>
            <w:vAlign w:val="center"/>
            <w:shd w:fill="DDEBF7"/>
          </w:tcPr>
          <w:p>
            <w:r/>
            <w:r>
              <w:rPr>
                <w:b/>
                <w:sz w:val="17"/>
              </w:rPr>
              <w:t>Meaning</w:t>
            </w:r>
          </w:p>
        </w:tc>
      </w:tr>
      <w:tr>
        <w:tc>
          <w:tcPr>
            <w:tcW w:type="dxa" w:w="5112"/>
            <w:vAlign w:val="center"/>
          </w:tcPr>
          <w:p>
            <w:r/>
            <w:r>
              <w:rPr>
                <w:b w:val="0"/>
                <w:sz w:val="17"/>
              </w:rPr>
              <w:t>PAYMENT_PENDING</w:t>
            </w:r>
          </w:p>
        </w:tc>
        <w:tc>
          <w:tcPr>
            <w:tcW w:type="dxa" w:w="5112"/>
            <w:vAlign w:val="center"/>
          </w:tcPr>
          <w:p>
            <w:r/>
            <w:r>
              <w:rPr>
                <w:b w:val="0"/>
                <w:sz w:val="17"/>
              </w:rPr>
              <w:t>Payment request created but not confirmed</w:t>
            </w:r>
          </w:p>
        </w:tc>
      </w:tr>
      <w:tr>
        <w:tc>
          <w:tcPr>
            <w:tcW w:type="dxa" w:w="5112"/>
            <w:vAlign w:val="center"/>
          </w:tcPr>
          <w:p>
            <w:r/>
            <w:r>
              <w:rPr>
                <w:b w:val="0"/>
                <w:sz w:val="17"/>
              </w:rPr>
              <w:t>AUTHORIZED</w:t>
            </w:r>
          </w:p>
        </w:tc>
        <w:tc>
          <w:tcPr>
            <w:tcW w:type="dxa" w:w="5112"/>
            <w:vAlign w:val="center"/>
          </w:tcPr>
          <w:p>
            <w:r/>
            <w:r>
              <w:rPr>
                <w:b w:val="0"/>
                <w:sz w:val="17"/>
              </w:rPr>
              <w:t>Payment hold/authorization successful</w:t>
            </w:r>
          </w:p>
        </w:tc>
      </w:tr>
      <w:tr>
        <w:tc>
          <w:tcPr>
            <w:tcW w:type="dxa" w:w="5112"/>
            <w:vAlign w:val="center"/>
          </w:tcPr>
          <w:p>
            <w:r/>
            <w:r>
              <w:rPr>
                <w:b w:val="0"/>
                <w:sz w:val="17"/>
              </w:rPr>
              <w:t>PAYMENT_FAILED</w:t>
            </w:r>
          </w:p>
        </w:tc>
        <w:tc>
          <w:tcPr>
            <w:tcW w:type="dxa" w:w="5112"/>
            <w:vAlign w:val="center"/>
          </w:tcPr>
          <w:p>
            <w:r/>
            <w:r>
              <w:rPr>
                <w:b w:val="0"/>
                <w:sz w:val="17"/>
              </w:rPr>
              <w:t>Authorization failed</w:t>
            </w:r>
          </w:p>
        </w:tc>
      </w:tr>
      <w:tr>
        <w:tc>
          <w:tcPr>
            <w:tcW w:type="dxa" w:w="5112"/>
            <w:vAlign w:val="center"/>
          </w:tcPr>
          <w:p>
            <w:r/>
            <w:r>
              <w:rPr>
                <w:b w:val="0"/>
                <w:sz w:val="17"/>
              </w:rPr>
              <w:t>CHARGING</w:t>
            </w:r>
          </w:p>
        </w:tc>
        <w:tc>
          <w:tcPr>
            <w:tcW w:type="dxa" w:w="5112"/>
            <w:vAlign w:val="center"/>
          </w:tcPr>
          <w:p>
            <w:r/>
            <w:r>
              <w:rPr>
                <w:b w:val="0"/>
                <w:sz w:val="17"/>
              </w:rPr>
              <w:t>Charging session confirmed</w:t>
            </w:r>
          </w:p>
        </w:tc>
      </w:tr>
      <w:tr>
        <w:tc>
          <w:tcPr>
            <w:tcW w:type="dxa" w:w="5112"/>
            <w:vAlign w:val="center"/>
          </w:tcPr>
          <w:p>
            <w:r/>
            <w:r>
              <w:rPr>
                <w:b w:val="0"/>
                <w:sz w:val="17"/>
              </w:rPr>
              <w:t>COMPLETED</w:t>
            </w:r>
          </w:p>
        </w:tc>
        <w:tc>
          <w:tcPr>
            <w:tcW w:type="dxa" w:w="5112"/>
            <w:vAlign w:val="center"/>
          </w:tcPr>
          <w:p>
            <w:r/>
            <w:r>
              <w:rPr>
                <w:b w:val="0"/>
                <w:sz w:val="17"/>
              </w:rPr>
              <w:t>Session completed</w:t>
            </w:r>
          </w:p>
        </w:tc>
      </w:tr>
      <w:tr>
        <w:tc>
          <w:tcPr>
            <w:tcW w:type="dxa" w:w="5112"/>
            <w:vAlign w:val="center"/>
          </w:tcPr>
          <w:p>
            <w:r/>
            <w:r>
              <w:rPr>
                <w:b w:val="0"/>
                <w:sz w:val="17"/>
              </w:rPr>
              <w:t>FINALIZING</w:t>
            </w:r>
          </w:p>
        </w:tc>
        <w:tc>
          <w:tcPr>
            <w:tcW w:type="dxa" w:w="5112"/>
            <w:vAlign w:val="center"/>
          </w:tcPr>
          <w:p>
            <w:r/>
            <w:r>
              <w:rPr>
                <w:b w:val="0"/>
                <w:sz w:val="17"/>
              </w:rPr>
              <w:t>Final amount being calculated/reconciled</w:t>
            </w:r>
          </w:p>
        </w:tc>
      </w:tr>
      <w:tr>
        <w:tc>
          <w:tcPr>
            <w:tcW w:type="dxa" w:w="5112"/>
            <w:vAlign w:val="center"/>
          </w:tcPr>
          <w:p>
            <w:r/>
            <w:r>
              <w:rPr>
                <w:b w:val="0"/>
                <w:sz w:val="17"/>
              </w:rPr>
              <w:t>CAPTURED</w:t>
            </w:r>
          </w:p>
        </w:tc>
        <w:tc>
          <w:tcPr>
            <w:tcW w:type="dxa" w:w="5112"/>
            <w:vAlign w:val="center"/>
          </w:tcPr>
          <w:p>
            <w:r/>
            <w:r>
              <w:rPr>
                <w:b w:val="0"/>
                <w:sz w:val="17"/>
              </w:rPr>
              <w:t>Final payment completed</w:t>
            </w:r>
          </w:p>
        </w:tc>
      </w:tr>
      <w:tr>
        <w:tc>
          <w:tcPr>
            <w:tcW w:type="dxa" w:w="5112"/>
            <w:vAlign w:val="center"/>
          </w:tcPr>
          <w:p>
            <w:r/>
            <w:r>
              <w:rPr>
                <w:b w:val="0"/>
                <w:sz w:val="17"/>
              </w:rPr>
              <w:t>REFUND_PENDING</w:t>
            </w:r>
          </w:p>
        </w:tc>
        <w:tc>
          <w:tcPr>
            <w:tcW w:type="dxa" w:w="5112"/>
            <w:vAlign w:val="center"/>
          </w:tcPr>
          <w:p>
            <w:r/>
            <w:r>
              <w:rPr>
                <w:b w:val="0"/>
                <w:sz w:val="17"/>
              </w:rPr>
              <w:t>Refund/reversal initiated</w:t>
            </w:r>
          </w:p>
        </w:tc>
      </w:tr>
      <w:tr>
        <w:tc>
          <w:tcPr>
            <w:tcW w:type="dxa" w:w="5112"/>
            <w:vAlign w:val="center"/>
          </w:tcPr>
          <w:p>
            <w:r/>
            <w:r>
              <w:rPr>
                <w:b w:val="0"/>
                <w:sz w:val="17"/>
              </w:rPr>
              <w:t>REFUNDED</w:t>
            </w:r>
          </w:p>
        </w:tc>
        <w:tc>
          <w:tcPr>
            <w:tcW w:type="dxa" w:w="5112"/>
            <w:vAlign w:val="center"/>
          </w:tcPr>
          <w:p>
            <w:r/>
            <w:r>
              <w:rPr>
                <w:b w:val="0"/>
                <w:sz w:val="17"/>
              </w:rPr>
              <w:t>Refund completed</w:t>
            </w:r>
          </w:p>
        </w:tc>
      </w:tr>
      <w:tr>
        <w:tc>
          <w:tcPr>
            <w:tcW w:type="dxa" w:w="5112"/>
            <w:vAlign w:val="center"/>
          </w:tcPr>
          <w:p>
            <w:r/>
            <w:r>
              <w:rPr>
                <w:b w:val="0"/>
                <w:sz w:val="17"/>
              </w:rPr>
              <w:t>MANUAL_REVIEW</w:t>
            </w:r>
          </w:p>
        </w:tc>
        <w:tc>
          <w:tcPr>
            <w:tcW w:type="dxa" w:w="5112"/>
            <w:vAlign w:val="center"/>
          </w:tcPr>
          <w:p>
            <w:r/>
            <w:r>
              <w:rPr>
                <w:b w:val="0"/>
                <w:sz w:val="17"/>
              </w:rPr>
              <w:t>Automated reconciliation failed</w:t>
            </w:r>
          </w:p>
        </w:tc>
      </w:tr>
    </w:tbl>
    <w:p>
      <w:pPr>
        <w:pStyle w:val="Heading1"/>
      </w:pPr>
      <w:r>
        <w:t>18. Session &amp; Payment Reconciliation</w:t>
      </w:r>
    </w:p>
    <w:p>
      <w:r>
        <w:rPr>
          <w:b w:val="0"/>
        </w:rPr>
        <w:t>A successful payment does not necessarily mean a successful charging session. ChargeMesh must keep the financial and operational records linked.</w:t>
      </w:r>
    </w:p>
    <w:p>
      <w:r>
        <w:rPr>
          <w:b w:val="0"/>
        </w:rPr>
        <w:t>Recommended chain:</w:t>
      </w:r>
    </w:p>
    <w:p>
      <w:pPr>
        <w:jc w:val="center"/>
      </w:pPr>
      <w:r>
        <w:rPr>
          <w:b/>
        </w:rPr>
        <w:t>Payment Intent → Authorization → Charging Session → CDR → Final Tariff → Capture/Refund → Settlement</w:t>
      </w:r>
    </w:p>
    <w:p>
      <w:pPr>
        <w:pStyle w:val="Heading2"/>
      </w:pPr>
      <w:r>
        <w:t>18.1 Minimum References</w:t>
      </w:r>
    </w:p>
    <w:p>
      <w:pPr>
        <w:pStyle w:val="ListBullet"/>
      </w:pPr>
      <w:r>
        <w:t>ChargeMesh session ID</w:t>
      </w:r>
    </w:p>
    <w:p>
      <w:pPr>
        <w:pStyle w:val="ListBullet"/>
      </w:pPr>
      <w:r>
        <w:t>CPO ID</w:t>
      </w:r>
    </w:p>
    <w:p>
      <w:pPr>
        <w:pStyle w:val="ListBullet"/>
      </w:pPr>
      <w:r>
        <w:t>Location ID</w:t>
      </w:r>
    </w:p>
    <w:p>
      <w:pPr>
        <w:pStyle w:val="ListBullet"/>
      </w:pPr>
      <w:r>
        <w:t>EVSE ID</w:t>
      </w:r>
    </w:p>
    <w:p>
      <w:pPr>
        <w:pStyle w:val="ListBullet"/>
      </w:pPr>
      <w:r>
        <w:t>Connector ID</w:t>
      </w:r>
    </w:p>
    <w:p>
      <w:pPr>
        <w:pStyle w:val="ListBullet"/>
      </w:pPr>
      <w:r>
        <w:t>CPO session ID</w:t>
      </w:r>
    </w:p>
    <w:p>
      <w:pPr>
        <w:pStyle w:val="ListBullet"/>
      </w:pPr>
      <w:r>
        <w:t>CDR ID where available</w:t>
      </w:r>
    </w:p>
    <w:p>
      <w:pPr>
        <w:pStyle w:val="ListBullet"/>
      </w:pPr>
      <w:r>
        <w:t>Payment provider transaction ID</w:t>
      </w:r>
    </w:p>
    <w:p>
      <w:pPr>
        <w:pStyle w:val="ListBullet"/>
      </w:pPr>
      <w:r>
        <w:t>Idempotency key</w:t>
      </w:r>
    </w:p>
    <w:p>
      <w:pPr>
        <w:pStyle w:val="ListBullet"/>
      </w:pPr>
      <w:r>
        <w:t>Refund reference where applicable</w:t>
      </w:r>
    </w:p>
    <w:p>
      <w:pPr>
        <w:pStyle w:val="Heading1"/>
      </w:pPr>
      <w:r>
        <w:t>19. CPO Interoperability Strategy</w:t>
      </w:r>
    </w:p>
    <w:p>
      <w:r>
        <w:rPr>
          <w:b w:val="0"/>
        </w:rPr>
        <w:t>ChargeMesh should prefer open standards rather than building a separate consumer architecture for each CPO. OCPI is designed for communication between eMobility Service Providers and CPOs. The EVRoaming Foundation identifies 2.3.0 as the current version and lists modules covering core roaming functions plus direct payment and optional booking functionality. citeturn0search8turn0search3</w:t>
      </w:r>
    </w:p>
    <w:p>
      <w:pPr>
        <w:pStyle w:val="Heading2"/>
      </w:pPr>
      <w:r>
        <w:t>19.1 Preferred</w:t>
      </w:r>
    </w:p>
    <w:p>
      <w:r>
        <w:rPr>
          <w:b w:val="0"/>
        </w:rPr>
        <w:t>OCPI 2.3.0 integration.</w:t>
      </w:r>
    </w:p>
    <w:p>
      <w:pPr>
        <w:pStyle w:val="Heading2"/>
      </w:pPr>
      <w:r>
        <w:t>19.2 Alternative</w:t>
      </w:r>
    </w:p>
    <w:p>
      <w:r>
        <w:rPr>
          <w:b w:val="0"/>
        </w:rPr>
        <w:t>Proprietary CPO API adapter.</w:t>
      </w:r>
    </w:p>
    <w:p>
      <w:pPr>
        <w:pStyle w:val="Heading2"/>
      </w:pPr>
      <w:r>
        <w:t>19.3 Never Do</w:t>
      </w:r>
    </w:p>
    <w:p>
      <w:r>
        <w:rPr>
          <w:b w:val="0"/>
        </w:rPr>
        <w:t>Do not put CPO-specific API logic inside the mobile application. CPO complexity belongs in the backend integration layer.</w:t>
      </w:r>
    </w:p>
    <w:p>
      <w:pPr>
        <w:pStyle w:val="Heading1"/>
      </w:pPr>
      <w:r>
        <w:t>20. CPO Capability Matrix</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7"/>
              </w:rPr>
              <w:t>Capability</w:t>
            </w:r>
          </w:p>
        </w:tc>
        <w:tc>
          <w:tcPr>
            <w:tcW w:type="dxa" w:w="3408"/>
            <w:vAlign w:val="center"/>
            <w:shd w:fill="DDEBF7"/>
          </w:tcPr>
          <w:p>
            <w:r/>
            <w:r>
              <w:rPr>
                <w:b/>
                <w:sz w:val="17"/>
              </w:rPr>
              <w:t>Needed for MVP?</w:t>
            </w:r>
          </w:p>
        </w:tc>
        <w:tc>
          <w:tcPr>
            <w:tcW w:type="dxa" w:w="3408"/>
            <w:vAlign w:val="center"/>
            <w:shd w:fill="DDEBF7"/>
          </w:tcPr>
          <w:p>
            <w:r/>
            <w:r>
              <w:rPr>
                <w:b/>
                <w:sz w:val="17"/>
              </w:rPr>
              <w:t>Why</w:t>
            </w:r>
          </w:p>
        </w:tc>
      </w:tr>
      <w:tr>
        <w:tc>
          <w:tcPr>
            <w:tcW w:type="dxa" w:w="3408"/>
            <w:vAlign w:val="center"/>
          </w:tcPr>
          <w:p>
            <w:r/>
            <w:r>
              <w:rPr>
                <w:b w:val="0"/>
                <w:sz w:val="17"/>
              </w:rPr>
              <w:t>Location data</w:t>
            </w:r>
          </w:p>
        </w:tc>
        <w:tc>
          <w:tcPr>
            <w:tcW w:type="dxa" w:w="3408"/>
            <w:vAlign w:val="center"/>
          </w:tcPr>
          <w:p>
            <w:r/>
            <w:r>
              <w:rPr>
                <w:b w:val="0"/>
                <w:sz w:val="17"/>
              </w:rPr>
              <w:t>Yes</w:t>
            </w:r>
          </w:p>
        </w:tc>
        <w:tc>
          <w:tcPr>
            <w:tcW w:type="dxa" w:w="3408"/>
            <w:vAlign w:val="center"/>
          </w:tcPr>
          <w:p>
            <w:r/>
            <w:r>
              <w:rPr>
                <w:b w:val="0"/>
                <w:sz w:val="17"/>
              </w:rPr>
              <w:t>Discovery</w:t>
            </w:r>
          </w:p>
        </w:tc>
      </w:tr>
      <w:tr>
        <w:tc>
          <w:tcPr>
            <w:tcW w:type="dxa" w:w="3408"/>
            <w:vAlign w:val="center"/>
          </w:tcPr>
          <w:p>
            <w:r/>
            <w:r>
              <w:rPr>
                <w:b w:val="0"/>
                <w:sz w:val="17"/>
              </w:rPr>
              <w:t>EVSE/connector data</w:t>
            </w:r>
          </w:p>
        </w:tc>
        <w:tc>
          <w:tcPr>
            <w:tcW w:type="dxa" w:w="3408"/>
            <w:vAlign w:val="center"/>
          </w:tcPr>
          <w:p>
            <w:r/>
            <w:r>
              <w:rPr>
                <w:b w:val="0"/>
                <w:sz w:val="17"/>
              </w:rPr>
              <w:t>Yes</w:t>
            </w:r>
          </w:p>
        </w:tc>
        <w:tc>
          <w:tcPr>
            <w:tcW w:type="dxa" w:w="3408"/>
            <w:vAlign w:val="center"/>
          </w:tcPr>
          <w:p>
            <w:r/>
            <w:r>
              <w:rPr>
                <w:b w:val="0"/>
                <w:sz w:val="17"/>
              </w:rPr>
              <w:t>Connector-level UI</w:t>
            </w:r>
          </w:p>
        </w:tc>
      </w:tr>
      <w:tr>
        <w:tc>
          <w:tcPr>
            <w:tcW w:type="dxa" w:w="3408"/>
            <w:vAlign w:val="center"/>
          </w:tcPr>
          <w:p>
            <w:r/>
            <w:r>
              <w:rPr>
                <w:b w:val="0"/>
                <w:sz w:val="17"/>
              </w:rPr>
              <w:t>Availability</w:t>
            </w:r>
          </w:p>
        </w:tc>
        <w:tc>
          <w:tcPr>
            <w:tcW w:type="dxa" w:w="3408"/>
            <w:vAlign w:val="center"/>
          </w:tcPr>
          <w:p>
            <w:r/>
            <w:r>
              <w:rPr>
                <w:b w:val="0"/>
                <w:sz w:val="17"/>
              </w:rPr>
              <w:t>Yes</w:t>
            </w:r>
          </w:p>
        </w:tc>
        <w:tc>
          <w:tcPr>
            <w:tcW w:type="dxa" w:w="3408"/>
            <w:vAlign w:val="center"/>
          </w:tcPr>
          <w:p>
            <w:r/>
            <w:r>
              <w:rPr>
                <w:b w:val="0"/>
                <w:sz w:val="17"/>
              </w:rPr>
              <w:t>Decision making</w:t>
            </w:r>
          </w:p>
        </w:tc>
      </w:tr>
      <w:tr>
        <w:tc>
          <w:tcPr>
            <w:tcW w:type="dxa" w:w="3408"/>
            <w:vAlign w:val="center"/>
          </w:tcPr>
          <w:p>
            <w:r/>
            <w:r>
              <w:rPr>
                <w:b w:val="0"/>
                <w:sz w:val="17"/>
              </w:rPr>
              <w:t>Tariff</w:t>
            </w:r>
          </w:p>
        </w:tc>
        <w:tc>
          <w:tcPr>
            <w:tcW w:type="dxa" w:w="3408"/>
            <w:vAlign w:val="center"/>
          </w:tcPr>
          <w:p>
            <w:r/>
            <w:r>
              <w:rPr>
                <w:b w:val="0"/>
                <w:sz w:val="17"/>
              </w:rPr>
              <w:t>Yes</w:t>
            </w:r>
          </w:p>
        </w:tc>
        <w:tc>
          <w:tcPr>
            <w:tcW w:type="dxa" w:w="3408"/>
            <w:vAlign w:val="center"/>
          </w:tcPr>
          <w:p>
            <w:r/>
            <w:r>
              <w:rPr>
                <w:b w:val="0"/>
                <w:sz w:val="17"/>
              </w:rPr>
              <w:t>Price transparency</w:t>
            </w:r>
          </w:p>
        </w:tc>
      </w:tr>
      <w:tr>
        <w:tc>
          <w:tcPr>
            <w:tcW w:type="dxa" w:w="3408"/>
            <w:vAlign w:val="center"/>
          </w:tcPr>
          <w:p>
            <w:r/>
            <w:r>
              <w:rPr>
                <w:b w:val="0"/>
                <w:sz w:val="17"/>
              </w:rPr>
              <w:t>Authorization</w:t>
            </w:r>
          </w:p>
        </w:tc>
        <w:tc>
          <w:tcPr>
            <w:tcW w:type="dxa" w:w="3408"/>
            <w:vAlign w:val="center"/>
          </w:tcPr>
          <w:p>
            <w:r/>
            <w:r>
              <w:rPr>
                <w:b w:val="0"/>
                <w:sz w:val="17"/>
              </w:rPr>
              <w:t>Yes for remote charging</w:t>
            </w:r>
          </w:p>
        </w:tc>
        <w:tc>
          <w:tcPr>
            <w:tcW w:type="dxa" w:w="3408"/>
            <w:vAlign w:val="center"/>
          </w:tcPr>
          <w:p>
            <w:r/>
            <w:r>
              <w:rPr>
                <w:b w:val="0"/>
                <w:sz w:val="17"/>
              </w:rPr>
              <w:t>User access</w:t>
            </w:r>
          </w:p>
        </w:tc>
      </w:tr>
      <w:tr>
        <w:tc>
          <w:tcPr>
            <w:tcW w:type="dxa" w:w="3408"/>
            <w:vAlign w:val="center"/>
          </w:tcPr>
          <w:p>
            <w:r/>
            <w:r>
              <w:rPr>
                <w:b w:val="0"/>
                <w:sz w:val="17"/>
              </w:rPr>
              <w:t>Sessions</w:t>
            </w:r>
          </w:p>
        </w:tc>
        <w:tc>
          <w:tcPr>
            <w:tcW w:type="dxa" w:w="3408"/>
            <w:vAlign w:val="center"/>
          </w:tcPr>
          <w:p>
            <w:r/>
            <w:r>
              <w:rPr>
                <w:b w:val="0"/>
                <w:sz w:val="17"/>
              </w:rPr>
              <w:t>Yes</w:t>
            </w:r>
          </w:p>
        </w:tc>
        <w:tc>
          <w:tcPr>
            <w:tcW w:type="dxa" w:w="3408"/>
            <w:vAlign w:val="center"/>
          </w:tcPr>
          <w:p>
            <w:r/>
            <w:r>
              <w:rPr>
                <w:b w:val="0"/>
                <w:sz w:val="17"/>
              </w:rPr>
              <w:t>Live state</w:t>
            </w:r>
          </w:p>
        </w:tc>
      </w:tr>
      <w:tr>
        <w:tc>
          <w:tcPr>
            <w:tcW w:type="dxa" w:w="3408"/>
            <w:vAlign w:val="center"/>
          </w:tcPr>
          <w:p>
            <w:r/>
            <w:r>
              <w:rPr>
                <w:b w:val="0"/>
                <w:sz w:val="17"/>
              </w:rPr>
              <w:t>CDRs</w:t>
            </w:r>
          </w:p>
        </w:tc>
        <w:tc>
          <w:tcPr>
            <w:tcW w:type="dxa" w:w="3408"/>
            <w:vAlign w:val="center"/>
          </w:tcPr>
          <w:p>
            <w:r/>
            <w:r>
              <w:rPr>
                <w:b w:val="0"/>
                <w:sz w:val="17"/>
              </w:rPr>
              <w:t>Yes</w:t>
            </w:r>
          </w:p>
        </w:tc>
        <w:tc>
          <w:tcPr>
            <w:tcW w:type="dxa" w:w="3408"/>
            <w:vAlign w:val="center"/>
          </w:tcPr>
          <w:p>
            <w:r/>
            <w:r>
              <w:rPr>
                <w:b w:val="0"/>
                <w:sz w:val="17"/>
              </w:rPr>
              <w:t>Final billing/reconciliation</w:t>
            </w:r>
          </w:p>
        </w:tc>
      </w:tr>
      <w:tr>
        <w:tc>
          <w:tcPr>
            <w:tcW w:type="dxa" w:w="3408"/>
            <w:vAlign w:val="center"/>
          </w:tcPr>
          <w:p>
            <w:r/>
            <w:r>
              <w:rPr>
                <w:b w:val="0"/>
                <w:sz w:val="17"/>
              </w:rPr>
              <w:t>Start/Stop</w:t>
            </w:r>
          </w:p>
        </w:tc>
        <w:tc>
          <w:tcPr>
            <w:tcW w:type="dxa" w:w="3408"/>
            <w:vAlign w:val="center"/>
          </w:tcPr>
          <w:p>
            <w:r/>
            <w:r>
              <w:rPr>
                <w:b w:val="0"/>
                <w:sz w:val="17"/>
              </w:rPr>
              <w:t>Yes where supported</w:t>
            </w:r>
          </w:p>
        </w:tc>
        <w:tc>
          <w:tcPr>
            <w:tcW w:type="dxa" w:w="3408"/>
            <w:vAlign w:val="center"/>
          </w:tcPr>
          <w:p>
            <w:r/>
            <w:r>
              <w:rPr>
                <w:b w:val="0"/>
                <w:sz w:val="17"/>
              </w:rPr>
              <w:t>Charging control</w:t>
            </w:r>
          </w:p>
        </w:tc>
      </w:tr>
      <w:tr>
        <w:tc>
          <w:tcPr>
            <w:tcW w:type="dxa" w:w="3408"/>
            <w:vAlign w:val="center"/>
          </w:tcPr>
          <w:p>
            <w:r/>
            <w:r>
              <w:rPr>
                <w:b w:val="0"/>
                <w:sz w:val="17"/>
              </w:rPr>
              <w:t>Booking</w:t>
            </w:r>
          </w:p>
        </w:tc>
        <w:tc>
          <w:tcPr>
            <w:tcW w:type="dxa" w:w="3408"/>
            <w:vAlign w:val="center"/>
          </w:tcPr>
          <w:p>
            <w:r/>
            <w:r>
              <w:rPr>
                <w:b w:val="0"/>
                <w:sz w:val="17"/>
              </w:rPr>
              <w:t>No / later</w:t>
            </w:r>
          </w:p>
        </w:tc>
        <w:tc>
          <w:tcPr>
            <w:tcW w:type="dxa" w:w="3408"/>
            <w:vAlign w:val="center"/>
          </w:tcPr>
          <w:p>
            <w:r/>
            <w:r>
              <w:rPr>
                <w:b w:val="0"/>
                <w:sz w:val="17"/>
              </w:rPr>
              <w:t>Reservation feature</w:t>
            </w:r>
          </w:p>
        </w:tc>
      </w:tr>
      <w:tr>
        <w:tc>
          <w:tcPr>
            <w:tcW w:type="dxa" w:w="3408"/>
            <w:vAlign w:val="center"/>
          </w:tcPr>
          <w:p>
            <w:r/>
            <w:r>
              <w:rPr>
                <w:b w:val="0"/>
                <w:sz w:val="17"/>
              </w:rPr>
              <w:t>Direct Payment</w:t>
            </w:r>
          </w:p>
        </w:tc>
        <w:tc>
          <w:tcPr>
            <w:tcW w:type="dxa" w:w="3408"/>
            <w:vAlign w:val="center"/>
          </w:tcPr>
          <w:p>
            <w:r/>
            <w:r>
              <w:rPr>
                <w:b w:val="0"/>
                <w:sz w:val="17"/>
              </w:rPr>
              <w:t>Optional</w:t>
            </w:r>
          </w:p>
        </w:tc>
        <w:tc>
          <w:tcPr>
            <w:tcW w:type="dxa" w:w="3408"/>
            <w:vAlign w:val="center"/>
          </w:tcPr>
          <w:p>
            <w:r/>
            <w:r>
              <w:rPr>
                <w:b w:val="0"/>
                <w:sz w:val="17"/>
              </w:rPr>
              <w:t>Depends on CPO/payment architecture</w:t>
            </w:r>
          </w:p>
        </w:tc>
      </w:tr>
      <w:tr>
        <w:tc>
          <w:tcPr>
            <w:tcW w:type="dxa" w:w="3408"/>
            <w:vAlign w:val="center"/>
          </w:tcPr>
          <w:p>
            <w:r/>
            <w:r>
              <w:rPr>
                <w:b w:val="0"/>
                <w:sz w:val="17"/>
              </w:rPr>
              <w:t>Smart charging</w:t>
            </w:r>
          </w:p>
        </w:tc>
        <w:tc>
          <w:tcPr>
            <w:tcW w:type="dxa" w:w="3408"/>
            <w:vAlign w:val="center"/>
          </w:tcPr>
          <w:p>
            <w:r/>
            <w:r>
              <w:rPr>
                <w:b w:val="0"/>
                <w:sz w:val="17"/>
              </w:rPr>
              <w:t>Later</w:t>
            </w:r>
          </w:p>
        </w:tc>
        <w:tc>
          <w:tcPr>
            <w:tcW w:type="dxa" w:w="3408"/>
            <w:vAlign w:val="center"/>
          </w:tcPr>
          <w:p>
            <w:r/>
            <w:r>
              <w:rPr>
                <w:b w:val="0"/>
                <w:sz w:val="17"/>
              </w:rPr>
              <w:t>Advanced capability</w:t>
            </w:r>
          </w:p>
        </w:tc>
      </w:tr>
    </w:tbl>
    <w:p>
      <w:pPr>
        <w:pStyle w:val="Heading1"/>
      </w:pPr>
      <w:r>
        <w:t>21. CPO Onboarding Concept</w:t>
      </w:r>
    </w:p>
    <w:p>
      <w:pPr>
        <w:pStyle w:val="ListNumber"/>
      </w:pPr>
      <w:r>
        <w:t>Commercial introduction.</w:t>
      </w:r>
    </w:p>
    <w:p>
      <w:pPr>
        <w:pStyle w:val="ListNumber"/>
      </w:pPr>
      <w:r>
        <w:t>CPO technical questionnaire.</w:t>
      </w:r>
    </w:p>
    <w:p>
      <w:pPr>
        <w:pStyle w:val="ListNumber"/>
      </w:pPr>
      <w:r>
        <w:t>Confirm protocol and capabilities.</w:t>
      </w:r>
    </w:p>
    <w:p>
      <w:pPr>
        <w:pStyle w:val="ListNumber"/>
      </w:pPr>
      <w:r>
        <w:t>Commercial agreement.</w:t>
      </w:r>
    </w:p>
    <w:p>
      <w:pPr>
        <w:pStyle w:val="ListNumber"/>
      </w:pPr>
      <w:r>
        <w:t>Technical annex.</w:t>
      </w:r>
    </w:p>
    <w:p>
      <w:pPr>
        <w:pStyle w:val="ListNumber"/>
      </w:pPr>
      <w:r>
        <w:t>Sandbox credentials.</w:t>
      </w:r>
    </w:p>
    <w:p>
      <w:pPr>
        <w:pStyle w:val="ListNumber"/>
      </w:pPr>
      <w:r>
        <w:t>Location/EVSE/connector mapping.</w:t>
      </w:r>
    </w:p>
    <w:p>
      <w:pPr>
        <w:pStyle w:val="ListNumber"/>
      </w:pPr>
      <w:r>
        <w:t>Tariff validation.</w:t>
      </w:r>
    </w:p>
    <w:p>
      <w:pPr>
        <w:pStyle w:val="ListNumber"/>
      </w:pPr>
      <w:r>
        <w:t>Availability validation.</w:t>
      </w:r>
    </w:p>
    <w:p>
      <w:pPr>
        <w:pStyle w:val="ListNumber"/>
      </w:pPr>
      <w:r>
        <w:t>Authorization test.</w:t>
      </w:r>
    </w:p>
    <w:p>
      <w:pPr>
        <w:pStyle w:val="ListNumber"/>
      </w:pPr>
      <w:r>
        <w:t>Start/stop test.</w:t>
      </w:r>
    </w:p>
    <w:p>
      <w:pPr>
        <w:pStyle w:val="ListNumber"/>
      </w:pPr>
      <w:r>
        <w:t>Session test.</w:t>
      </w:r>
    </w:p>
    <w:p>
      <w:pPr>
        <w:pStyle w:val="ListNumber"/>
      </w:pPr>
      <w:r>
        <w:t>CDR test.</w:t>
      </w:r>
    </w:p>
    <w:p>
      <w:pPr>
        <w:pStyle w:val="ListNumber"/>
      </w:pPr>
      <w:r>
        <w:t>Payment/refund/reconciliation test.</w:t>
      </w:r>
    </w:p>
    <w:p>
      <w:pPr>
        <w:pStyle w:val="ListNumber"/>
      </w:pPr>
      <w:r>
        <w:t>Security review.</w:t>
      </w:r>
    </w:p>
    <w:p>
      <w:pPr>
        <w:pStyle w:val="ListNumber"/>
      </w:pPr>
      <w:r>
        <w:t>Pilot certification.</w:t>
      </w:r>
    </w:p>
    <w:p>
      <w:pPr>
        <w:pStyle w:val="ListNumber"/>
      </w:pPr>
      <w:r>
        <w:t>Production go-live.</w:t>
      </w:r>
    </w:p>
    <w:p>
      <w:pPr>
        <w:pStyle w:val="Heading1"/>
      </w:pPr>
      <w:r>
        <w:t>22. Consumer Information Hierarchy</w:t>
      </w:r>
    </w:p>
    <w:p>
      <w:r>
        <w:rPr>
          <w:b w:val="0"/>
        </w:rPr>
        <w:t>The user should see information in this order:</w:t>
      </w:r>
    </w:p>
    <w:p>
      <w:pPr>
        <w:pStyle w:val="ListNumber"/>
      </w:pPr>
      <w:r>
        <w:t>Can I charge here?</w:t>
      </w:r>
    </w:p>
    <w:p>
      <w:pPr>
        <w:pStyle w:val="ListNumber"/>
      </w:pPr>
      <w:r>
        <w:t>Is the exact connector available?</w:t>
      </w:r>
    </w:p>
    <w:p>
      <w:pPr>
        <w:pStyle w:val="ListNumber"/>
      </w:pPr>
      <w:r>
        <w:t>Is it compatible with my vehicle?</w:t>
      </w:r>
    </w:p>
    <w:p>
      <w:pPr>
        <w:pStyle w:val="ListNumber"/>
      </w:pPr>
      <w:r>
        <w:t>How far away is it?</w:t>
      </w:r>
    </w:p>
    <w:p>
      <w:pPr>
        <w:pStyle w:val="ListNumber"/>
      </w:pPr>
      <w:r>
        <w:t>How fast is it?</w:t>
      </w:r>
    </w:p>
    <w:p>
      <w:pPr>
        <w:pStyle w:val="ListNumber"/>
      </w:pPr>
      <w:r>
        <w:t>How much does it cost?</w:t>
      </w:r>
    </w:p>
    <w:p>
      <w:pPr>
        <w:pStyle w:val="ListNumber"/>
      </w:pPr>
      <w:r>
        <w:t>How fresh is the status?</w:t>
      </w:r>
    </w:p>
    <w:p>
      <w:pPr>
        <w:pStyle w:val="ListNumber"/>
      </w:pPr>
      <w:r>
        <w:t>How reliable is it?</w:t>
      </w:r>
    </w:p>
    <w:p>
      <w:pPr>
        <w:pStyle w:val="ListNumber"/>
      </w:pPr>
      <w:r>
        <w:t>How do I start?</w:t>
      </w:r>
    </w:p>
    <w:p>
      <w:r>
        <w:rPr>
          <w:b w:val="0"/>
        </w:rPr>
        <w:t>CPO branding remains visible, but should not dominate the decision hierarchy.</w:t>
      </w:r>
    </w:p>
    <w:p>
      <w:pPr>
        <w:pStyle w:val="Heading1"/>
      </w:pPr>
      <w:r>
        <w:t>23. Map Experience</w:t>
      </w:r>
    </w:p>
    <w:p>
      <w:pPr>
        <w:pStyle w:val="ListBullet"/>
      </w:pPr>
      <w:r>
        <w:t>Show charger clusters at low zoom.</w:t>
      </w:r>
    </w:p>
    <w:p>
      <w:pPr>
        <w:pStyle w:val="ListBullet"/>
      </w:pPr>
      <w:r>
        <w:t>Show individual chargers at high zoom.</w:t>
      </w:r>
    </w:p>
    <w:p>
      <w:pPr>
        <w:pStyle w:val="ListBullet"/>
      </w:pPr>
      <w:r>
        <w:t>Use status-aware markers.</w:t>
      </w:r>
    </w:p>
    <w:p>
      <w:pPr>
        <w:pStyle w:val="ListBullet"/>
      </w:pPr>
      <w:r>
        <w:t>Allow availability and connector filters.</w:t>
      </w:r>
    </w:p>
    <w:p>
      <w:pPr>
        <w:pStyle w:val="ListBullet"/>
      </w:pPr>
      <w:r>
        <w:t>Allow fast charger filter.</w:t>
      </w:r>
    </w:p>
    <w:p>
      <w:pPr>
        <w:pStyle w:val="ListBullet"/>
      </w:pPr>
      <w:r>
        <w:t>Allow price range filter.</w:t>
      </w:r>
    </w:p>
    <w:p>
      <w:pPr>
        <w:pStyle w:val="ListBullet"/>
      </w:pPr>
      <w:r>
        <w:t>Allow CPO filter.</w:t>
      </w:r>
    </w:p>
    <w:p>
      <w:pPr>
        <w:pStyle w:val="ListBullet"/>
      </w:pPr>
      <w:r>
        <w:t>Allow 'compatible with my EV' filter.</w:t>
      </w:r>
    </w:p>
    <w:p>
      <w:pPr>
        <w:pStyle w:val="ListBullet"/>
      </w:pPr>
      <w:r>
        <w:t>Allow list view for accessibility and comparison.</w:t>
      </w:r>
    </w:p>
    <w:p>
      <w:pPr>
        <w:pStyle w:val="Heading2"/>
      </w:pPr>
      <w:r>
        <w:t>23.1 Map Card Example</w:t>
      </w:r>
    </w:p>
    <w:p>
      <w:r>
        <w:rPr>
          <w:b w:val="0"/>
        </w:rPr>
        <w:t>HPCL Usha Speedway • 2 km • DC • 30 kW • 2/2 available • ₹15.05/kWh • Updated 25 sec ago • Reliability 92%</w:t>
      </w:r>
    </w:p>
    <w:p>
      <w:pPr>
        <w:pStyle w:val="Heading1"/>
      </w:pPr>
      <w:r>
        <w:t>24. Station Detail Experience</w:t>
      </w:r>
    </w:p>
    <w:p>
      <w:r>
        <w:rPr>
          <w:b w:val="0"/>
        </w:rPr>
        <w:t>Station detail should contain:</w:t>
      </w:r>
    </w:p>
    <w:p>
      <w:pPr>
        <w:pStyle w:val="ListBullet"/>
      </w:pPr>
      <w:r>
        <w:t>CPO/operator.</w:t>
      </w:r>
    </w:p>
    <w:p>
      <w:pPr>
        <w:pStyle w:val="ListBullet"/>
      </w:pPr>
      <w:r>
        <w:t>Station name.</w:t>
      </w:r>
    </w:p>
    <w:p>
      <w:pPr>
        <w:pStyle w:val="ListBullet"/>
      </w:pPr>
      <w:r>
        <w:t>Address.</w:t>
      </w:r>
    </w:p>
    <w:p>
      <w:pPr>
        <w:pStyle w:val="ListBullet"/>
      </w:pPr>
      <w:r>
        <w:t>Distance.</w:t>
      </w:r>
    </w:p>
    <w:p>
      <w:pPr>
        <w:pStyle w:val="ListBullet"/>
      </w:pPr>
      <w:r>
        <w:t>Open/closed state where available.</w:t>
      </w:r>
    </w:p>
    <w:p>
      <w:pPr>
        <w:pStyle w:val="ListBullet"/>
      </w:pPr>
      <w:r>
        <w:t>Public/private access where available.</w:t>
      </w:r>
    </w:p>
    <w:p>
      <w:pPr>
        <w:pStyle w:val="ListBullet"/>
      </w:pPr>
      <w:r>
        <w:t>Rating/reviews where supported.</w:t>
      </w:r>
    </w:p>
    <w:p>
      <w:pPr>
        <w:pStyle w:val="ListBullet"/>
      </w:pPr>
      <w:r>
        <w:t>Reliability.</w:t>
      </w:r>
    </w:p>
    <w:p>
      <w:pPr>
        <w:pStyle w:val="ListBullet"/>
      </w:pPr>
      <w:r>
        <w:t>Last data update.</w:t>
      </w:r>
    </w:p>
    <w:p>
      <w:pPr>
        <w:pStyle w:val="ListBullet"/>
      </w:pPr>
      <w:r>
        <w:t>Connector list.</w:t>
      </w:r>
    </w:p>
    <w:p>
      <w:pPr>
        <w:pStyle w:val="ListBullet"/>
      </w:pPr>
      <w:r>
        <w:t>Tariff.</w:t>
      </w:r>
    </w:p>
    <w:p>
      <w:pPr>
        <w:pStyle w:val="ListBullet"/>
      </w:pPr>
      <w:r>
        <w:t>Power.</w:t>
      </w:r>
    </w:p>
    <w:p>
      <w:pPr>
        <w:pStyle w:val="ListBullet"/>
      </w:pPr>
      <w:r>
        <w:t>Connector type.</w:t>
      </w:r>
    </w:p>
    <w:p>
      <w:pPr>
        <w:pStyle w:val="ListBullet"/>
      </w:pPr>
      <w:r>
        <w:t>Availability.</w:t>
      </w:r>
    </w:p>
    <w:p>
      <w:pPr>
        <w:pStyle w:val="ListBullet"/>
      </w:pPr>
      <w:r>
        <w:t>Navigation.</w:t>
      </w:r>
    </w:p>
    <w:p>
      <w:pPr>
        <w:pStyle w:val="ListBullet"/>
      </w:pPr>
      <w:r>
        <w:t>Share.</w:t>
      </w:r>
    </w:p>
    <w:p>
      <w:pPr>
        <w:pStyle w:val="ListBullet"/>
      </w:pPr>
      <w:r>
        <w:t>Save.</w:t>
      </w:r>
    </w:p>
    <w:p>
      <w:pPr>
        <w:pStyle w:val="ListBullet"/>
      </w:pPr>
      <w:r>
        <w:t>Support.</w:t>
      </w:r>
    </w:p>
    <w:p>
      <w:pPr>
        <w:pStyle w:val="Heading1"/>
      </w:pPr>
      <w:r>
        <w:t>25. Unknown &amp; Failure Experience</w:t>
      </w:r>
    </w:p>
    <w:p>
      <w:pPr>
        <w:pStyle w:val="Heading2"/>
      </w:pPr>
      <w:r>
        <w:t>25.1 Unknown</w:t>
      </w:r>
    </w:p>
    <w:p>
      <w:r>
        <w:rPr>
          <w:b w:val="0"/>
        </w:rPr>
        <w:t>⚠️ Status Unknown — ChargeMesh could not confirm current connector availability. Last update: 14 min ago.</w:t>
      </w:r>
    </w:p>
    <w:p>
      <w:r>
        <w:rPr>
          <w:b w:val="0"/>
        </w:rPr>
        <w:t>Actions: Refresh Status | View Nearby Available Chargers</w:t>
      </w:r>
    </w:p>
    <w:p>
      <w:pPr>
        <w:pStyle w:val="Heading2"/>
      </w:pPr>
      <w:r>
        <w:t>25.2 No Available Connector</w:t>
      </w:r>
    </w:p>
    <w:p>
      <w:r>
        <w:rPr>
          <w:b w:val="0"/>
        </w:rPr>
        <w:t>No compatible connectors available right now. 4 connectors are occupied.</w:t>
      </w:r>
    </w:p>
    <w:p>
      <w:r>
        <w:rPr>
          <w:b w:val="0"/>
        </w:rPr>
        <w:t>Actions: Notify Me | Show Nearby Chargers</w:t>
      </w:r>
    </w:p>
    <w:p>
      <w:pPr>
        <w:pStyle w:val="Heading2"/>
      </w:pPr>
      <w:r>
        <w:t>25.3 Start Failed</w:t>
      </w:r>
    </w:p>
    <w:p>
      <w:r>
        <w:rPr>
          <w:b w:val="0"/>
        </w:rPr>
        <w:t>Charging could not be started. Your payment authorization will be released/reversed according to the payment provider's process.</w:t>
      </w:r>
    </w:p>
    <w:p>
      <w:pPr>
        <w:pStyle w:val="Heading2"/>
      </w:pPr>
      <w:r>
        <w:t>25.4 Payment Success, Session Failed</w:t>
      </w:r>
    </w:p>
    <w:p>
      <w:r>
        <w:rPr>
          <w:b w:val="0"/>
        </w:rPr>
        <w:t>This must enter an automated reversal/refund workflow and should never leave the user guessing whether their money is safe.</w:t>
      </w:r>
    </w:p>
    <w:p>
      <w:pPr>
        <w:pStyle w:val="Heading1"/>
      </w:pPr>
      <w:r>
        <w:t>26. User Account</w:t>
      </w:r>
    </w:p>
    <w:p>
      <w:pPr>
        <w:pStyle w:val="ListBullet"/>
      </w:pPr>
      <w:r>
        <w:t>Mobile number/email authentication as selected.</w:t>
      </w:r>
    </w:p>
    <w:p>
      <w:pPr>
        <w:pStyle w:val="ListBullet"/>
      </w:pPr>
      <w:r>
        <w:t>Profile.</w:t>
      </w:r>
    </w:p>
    <w:p>
      <w:pPr>
        <w:pStyle w:val="ListBullet"/>
      </w:pPr>
      <w:r>
        <w:t>Vehicle(s).</w:t>
      </w:r>
    </w:p>
    <w:p>
      <w:pPr>
        <w:pStyle w:val="ListBullet"/>
      </w:pPr>
      <w:r>
        <w:t>Saved chargers.</w:t>
      </w:r>
    </w:p>
    <w:p>
      <w:pPr>
        <w:pStyle w:val="ListBullet"/>
      </w:pPr>
      <w:r>
        <w:t>Payment methods.</w:t>
      </w:r>
    </w:p>
    <w:p>
      <w:pPr>
        <w:pStyle w:val="ListBullet"/>
      </w:pPr>
      <w:r>
        <w:t>Charging history.</w:t>
      </w:r>
    </w:p>
    <w:p>
      <w:pPr>
        <w:pStyle w:val="ListBullet"/>
      </w:pPr>
      <w:r>
        <w:t>Invoices.</w:t>
      </w:r>
    </w:p>
    <w:p>
      <w:pPr>
        <w:pStyle w:val="ListBullet"/>
      </w:pPr>
      <w:r>
        <w:t>Support tickets.</w:t>
      </w:r>
    </w:p>
    <w:p>
      <w:pPr>
        <w:pStyle w:val="ListBullet"/>
      </w:pPr>
      <w:r>
        <w:t>Notification preferences.</w:t>
      </w:r>
    </w:p>
    <w:p>
      <w:pPr>
        <w:pStyle w:val="ListBullet"/>
      </w:pPr>
      <w:r>
        <w:t>Privacy controls.</w:t>
      </w:r>
    </w:p>
    <w:p>
      <w:pPr>
        <w:pStyle w:val="Heading1"/>
      </w:pPr>
      <w:r>
        <w:t>27. Admin Platform — Web Only</w:t>
      </w:r>
    </w:p>
    <w:p>
      <w:pPr>
        <w:pStyle w:val="Heading2"/>
      </w:pPr>
      <w:r>
        <w:t>27.1 Dashboard</w:t>
      </w:r>
    </w:p>
    <w:p>
      <w:pPr>
        <w:pStyle w:val="ListBullet"/>
      </w:pPr>
      <w:r>
        <w:t>Active users.</w:t>
      </w:r>
    </w:p>
    <w:p>
      <w:pPr>
        <w:pStyle w:val="ListBullet"/>
      </w:pPr>
      <w:r>
        <w:t>Active sessions.</w:t>
      </w:r>
    </w:p>
    <w:p>
      <w:pPr>
        <w:pStyle w:val="ListBullet"/>
      </w:pPr>
      <w:r>
        <w:t>Available chargers.</w:t>
      </w:r>
    </w:p>
    <w:p>
      <w:pPr>
        <w:pStyle w:val="ListBullet"/>
      </w:pPr>
      <w:r>
        <w:t>Unknown/stale chargers.</w:t>
      </w:r>
    </w:p>
    <w:p>
      <w:pPr>
        <w:pStyle w:val="ListBullet"/>
      </w:pPr>
      <w:r>
        <w:t>CPO health.</w:t>
      </w:r>
    </w:p>
    <w:p>
      <w:pPr>
        <w:pStyle w:val="ListBullet"/>
      </w:pPr>
      <w:r>
        <w:t>Payment success rate.</w:t>
      </w:r>
    </w:p>
    <w:p>
      <w:pPr>
        <w:pStyle w:val="ListBullet"/>
      </w:pPr>
      <w:r>
        <w:t>Failed starts.</w:t>
      </w:r>
    </w:p>
    <w:p>
      <w:pPr>
        <w:pStyle w:val="ListBullet"/>
      </w:pPr>
      <w:r>
        <w:t>Reconciliation exceptions.</w:t>
      </w:r>
    </w:p>
    <w:p>
      <w:pPr>
        <w:pStyle w:val="ListBullet"/>
      </w:pPr>
      <w:r>
        <w:t>Support incidents.</w:t>
      </w:r>
    </w:p>
    <w:p>
      <w:pPr>
        <w:pStyle w:val="Heading2"/>
      </w:pPr>
      <w:r>
        <w:t>27.2 CPO Management</w:t>
      </w:r>
    </w:p>
    <w:p>
      <w:pPr>
        <w:pStyle w:val="ListBullet"/>
      </w:pPr>
      <w:r>
        <w:t>CPO profile.</w:t>
      </w:r>
    </w:p>
    <w:p>
      <w:pPr>
        <w:pStyle w:val="ListBullet"/>
      </w:pPr>
      <w:r>
        <w:t>Credentials metadata.</w:t>
      </w:r>
    </w:p>
    <w:p>
      <w:pPr>
        <w:pStyle w:val="ListBullet"/>
      </w:pPr>
      <w:r>
        <w:t>Protocol/version.</w:t>
      </w:r>
    </w:p>
    <w:p>
      <w:pPr>
        <w:pStyle w:val="ListBullet"/>
      </w:pPr>
      <w:r>
        <w:t>Capabilities.</w:t>
      </w:r>
    </w:p>
    <w:p>
      <w:pPr>
        <w:pStyle w:val="ListBullet"/>
      </w:pPr>
      <w:r>
        <w:t>Locations.</w:t>
      </w:r>
    </w:p>
    <w:p>
      <w:pPr>
        <w:pStyle w:val="ListBullet"/>
      </w:pPr>
      <w:r>
        <w:t>EVSEs.</w:t>
      </w:r>
    </w:p>
    <w:p>
      <w:pPr>
        <w:pStyle w:val="ListBullet"/>
      </w:pPr>
      <w:r>
        <w:t>Connectors.</w:t>
      </w:r>
    </w:p>
    <w:p>
      <w:pPr>
        <w:pStyle w:val="ListBullet"/>
      </w:pPr>
      <w:r>
        <w:t>Tariffs.</w:t>
      </w:r>
    </w:p>
    <w:p>
      <w:pPr>
        <w:pStyle w:val="ListBullet"/>
      </w:pPr>
      <w:r>
        <w:t>Integration health.</w:t>
      </w:r>
    </w:p>
    <w:p>
      <w:pPr>
        <w:pStyle w:val="ListBullet"/>
      </w:pPr>
      <w:r>
        <w:t>Sync history.</w:t>
      </w:r>
    </w:p>
    <w:p>
      <w:pPr>
        <w:pStyle w:val="ListBullet"/>
      </w:pPr>
      <w:r>
        <w:t>Errors.</w:t>
      </w:r>
    </w:p>
    <w:p>
      <w:pPr>
        <w:pStyle w:val="Heading2"/>
      </w:pPr>
      <w:r>
        <w:t>27.3 Finance</w:t>
      </w:r>
    </w:p>
    <w:p>
      <w:pPr>
        <w:pStyle w:val="ListBullet"/>
      </w:pPr>
      <w:r>
        <w:t>Payment transactions.</w:t>
      </w:r>
    </w:p>
    <w:p>
      <w:pPr>
        <w:pStyle w:val="ListBullet"/>
      </w:pPr>
      <w:r>
        <w:t>Session-to-payment matching.</w:t>
      </w:r>
    </w:p>
    <w:p>
      <w:pPr>
        <w:pStyle w:val="ListBullet"/>
      </w:pPr>
      <w:r>
        <w:t>CDR matching.</w:t>
      </w:r>
    </w:p>
    <w:p>
      <w:pPr>
        <w:pStyle w:val="ListBullet"/>
      </w:pPr>
      <w:r>
        <w:t>Refunds.</w:t>
      </w:r>
    </w:p>
    <w:p>
      <w:pPr>
        <w:pStyle w:val="ListBullet"/>
      </w:pPr>
      <w:r>
        <w:t>Settlement statements.</w:t>
      </w:r>
    </w:p>
    <w:p>
      <w:pPr>
        <w:pStyle w:val="ListBullet"/>
      </w:pPr>
      <w:r>
        <w:t>Exceptions.</w:t>
      </w:r>
    </w:p>
    <w:p>
      <w:pPr>
        <w:pStyle w:val="ListBullet"/>
      </w:pPr>
      <w:r>
        <w:t>Manual review.</w:t>
      </w:r>
    </w:p>
    <w:p>
      <w:pPr>
        <w:pStyle w:val="Heading1"/>
      </w:pPr>
      <w:r>
        <w:t>28. Data &amp; Privacy</w:t>
      </w:r>
    </w:p>
    <w:p>
      <w:r>
        <w:rPr>
          <w:b w:val="0"/>
        </w:rPr>
        <w:t>ChargeMesh will potentially process account, location, vehicle, charging and payment-related information. Data collection should therefore be purpose-limited and access-controlled.</w:t>
      </w:r>
    </w:p>
    <w:p>
      <w:r>
        <w:rPr>
          <w:b w:val="0"/>
        </w:rPr>
        <w:t>MeitY published the Digital Personal Data Protection Rules, 2025 on 14 November 2025 and also published an enforcement timeline. The rules establish the implementation framework around the DPDP Act. ChargeMesh should design consent, notice, security, retention and user-rights processes against the applicable requirements and commencement dates. citeturn0search0turn0search48</w:t>
      </w:r>
    </w:p>
    <w:p>
      <w:pPr>
        <w:pStyle w:val="Heading2"/>
      </w:pPr>
      <w:r>
        <w:t>28.1 Data Principles</w:t>
      </w:r>
    </w:p>
    <w:p>
      <w:pPr>
        <w:pStyle w:val="ListBullet"/>
      </w:pPr>
      <w:r>
        <w:t>Collect only required data.</w:t>
      </w:r>
    </w:p>
    <w:p>
      <w:pPr>
        <w:pStyle w:val="ListBullet"/>
      </w:pPr>
      <w:r>
        <w:t>Explain why location is needed.</w:t>
      </w:r>
    </w:p>
    <w:p>
      <w:pPr>
        <w:pStyle w:val="ListBullet"/>
      </w:pPr>
      <w:r>
        <w:t>Separate operational data from analytics where practical.</w:t>
      </w:r>
    </w:p>
    <w:p>
      <w:pPr>
        <w:pStyle w:val="ListBullet"/>
      </w:pPr>
      <w:r>
        <w:t>Restrict admin access.</w:t>
      </w:r>
    </w:p>
    <w:p>
      <w:pPr>
        <w:pStyle w:val="ListBullet"/>
      </w:pPr>
      <w:r>
        <w:t>Keep payment credentials with the payment provider/tokenized mechanism where possible.</w:t>
      </w:r>
    </w:p>
    <w:p>
      <w:pPr>
        <w:pStyle w:val="ListBullet"/>
      </w:pPr>
      <w:r>
        <w:t>Define retention periods.</w:t>
      </w:r>
    </w:p>
    <w:p>
      <w:pPr>
        <w:pStyle w:val="ListBullet"/>
      </w:pPr>
      <w:r>
        <w:t>Maintain audit logs.</w:t>
      </w:r>
    </w:p>
    <w:p>
      <w:pPr>
        <w:pStyle w:val="ListBullet"/>
      </w:pPr>
      <w:r>
        <w:t>Support deletion/correction workflows where applicable.</w:t>
      </w:r>
    </w:p>
    <w:p>
      <w:pPr>
        <w:pStyle w:val="Heading1"/>
      </w:pPr>
      <w:r>
        <w:t>29. Security Principles</w:t>
      </w:r>
    </w:p>
    <w:p>
      <w:pPr>
        <w:pStyle w:val="ListBullet"/>
      </w:pPr>
      <w:r>
        <w:t>TLS for all network traffic.</w:t>
      </w:r>
    </w:p>
    <w:p>
      <w:pPr>
        <w:pStyle w:val="ListBullet"/>
      </w:pPr>
      <w:r>
        <w:t>Encrypted storage.</w:t>
      </w:r>
    </w:p>
    <w:p>
      <w:pPr>
        <w:pStyle w:val="ListBullet"/>
      </w:pPr>
      <w:r>
        <w:t>Secure credential management.</w:t>
      </w:r>
    </w:p>
    <w:p>
      <w:pPr>
        <w:pStyle w:val="ListBullet"/>
      </w:pPr>
      <w:r>
        <w:t>Admin MFA.</w:t>
      </w:r>
    </w:p>
    <w:p>
      <w:pPr>
        <w:pStyle w:val="ListBullet"/>
      </w:pPr>
      <w:r>
        <w:t>Role-based access.</w:t>
      </w:r>
    </w:p>
    <w:p>
      <w:pPr>
        <w:pStyle w:val="ListBullet"/>
      </w:pPr>
      <w:r>
        <w:t>Webhook verification.</w:t>
      </w:r>
    </w:p>
    <w:p>
      <w:pPr>
        <w:pStyle w:val="ListBullet"/>
      </w:pPr>
      <w:r>
        <w:t>Idempotent financial operations.</w:t>
      </w:r>
    </w:p>
    <w:p>
      <w:pPr>
        <w:pStyle w:val="ListBullet"/>
      </w:pPr>
      <w:r>
        <w:t>Rate limiting.</w:t>
      </w:r>
    </w:p>
    <w:p>
      <w:pPr>
        <w:pStyle w:val="ListBullet"/>
      </w:pPr>
      <w:r>
        <w:t>Audit trails.</w:t>
      </w:r>
    </w:p>
    <w:p>
      <w:pPr>
        <w:pStyle w:val="ListBullet"/>
      </w:pPr>
      <w:r>
        <w:t>Incident response process.</w:t>
      </w:r>
    </w:p>
    <w:p>
      <w:pPr>
        <w:pStyle w:val="ListBullet"/>
      </w:pPr>
      <w:r>
        <w:t>Regular dependency/security testing.</w:t>
      </w:r>
    </w:p>
    <w:p>
      <w:pPr>
        <w:pStyle w:val="Heading1"/>
      </w:pPr>
      <w:r>
        <w:t>30. Business Model</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7"/>
              </w:rPr>
              <w:t>Model</w:t>
            </w:r>
          </w:p>
        </w:tc>
        <w:tc>
          <w:tcPr>
            <w:tcW w:type="dxa" w:w="3408"/>
            <w:vAlign w:val="center"/>
            <w:shd w:fill="DDEBF7"/>
          </w:tcPr>
          <w:p>
            <w:r/>
            <w:r>
              <w:rPr>
                <w:b/>
                <w:sz w:val="17"/>
              </w:rPr>
              <w:t>Description</w:t>
            </w:r>
          </w:p>
        </w:tc>
        <w:tc>
          <w:tcPr>
            <w:tcW w:type="dxa" w:w="3408"/>
            <w:vAlign w:val="center"/>
            <w:shd w:fill="DDEBF7"/>
          </w:tcPr>
          <w:p>
            <w:r/>
            <w:r>
              <w:rPr>
                <w:b/>
                <w:sz w:val="17"/>
              </w:rPr>
              <w:t>Best Fit</w:t>
            </w:r>
          </w:p>
        </w:tc>
      </w:tr>
      <w:tr>
        <w:tc>
          <w:tcPr>
            <w:tcW w:type="dxa" w:w="3408"/>
            <w:vAlign w:val="center"/>
          </w:tcPr>
          <w:p>
            <w:r/>
            <w:r>
              <w:rPr>
                <w:b w:val="0"/>
                <w:sz w:val="17"/>
              </w:rPr>
              <w:t>Per-session fee</w:t>
            </w:r>
          </w:p>
        </w:tc>
        <w:tc>
          <w:tcPr>
            <w:tcW w:type="dxa" w:w="3408"/>
            <w:vAlign w:val="center"/>
          </w:tcPr>
          <w:p>
            <w:r/>
            <w:r>
              <w:rPr>
                <w:b w:val="0"/>
                <w:sz w:val="17"/>
              </w:rPr>
              <w:t>ChargeMesh earns a fee per completed session</w:t>
            </w:r>
          </w:p>
        </w:tc>
        <w:tc>
          <w:tcPr>
            <w:tcW w:type="dxa" w:w="3408"/>
            <w:vAlign w:val="center"/>
          </w:tcPr>
          <w:p>
            <w:r/>
            <w:r>
              <w:rPr>
                <w:b w:val="0"/>
                <w:sz w:val="17"/>
              </w:rPr>
              <w:t>MVP</w:t>
            </w:r>
          </w:p>
        </w:tc>
      </w:tr>
      <w:tr>
        <w:tc>
          <w:tcPr>
            <w:tcW w:type="dxa" w:w="3408"/>
            <w:vAlign w:val="center"/>
          </w:tcPr>
          <w:p>
            <w:r/>
            <w:r>
              <w:rPr>
                <w:b w:val="0"/>
                <w:sz w:val="17"/>
              </w:rPr>
              <w:t>Revenue share</w:t>
            </w:r>
          </w:p>
        </w:tc>
        <w:tc>
          <w:tcPr>
            <w:tcW w:type="dxa" w:w="3408"/>
            <w:vAlign w:val="center"/>
          </w:tcPr>
          <w:p>
            <w:r/>
            <w:r>
              <w:rPr>
                <w:b w:val="0"/>
                <w:sz w:val="17"/>
              </w:rPr>
              <w:t>Agreed share with CPO</w:t>
            </w:r>
          </w:p>
        </w:tc>
        <w:tc>
          <w:tcPr>
            <w:tcW w:type="dxa" w:w="3408"/>
            <w:vAlign w:val="center"/>
          </w:tcPr>
          <w:p>
            <w:r/>
            <w:r>
              <w:rPr>
                <w:b w:val="0"/>
                <w:sz w:val="17"/>
              </w:rPr>
              <w:t>Strategic CPO partners</w:t>
            </w:r>
          </w:p>
        </w:tc>
      </w:tr>
      <w:tr>
        <w:tc>
          <w:tcPr>
            <w:tcW w:type="dxa" w:w="3408"/>
            <w:vAlign w:val="center"/>
          </w:tcPr>
          <w:p>
            <w:r/>
            <w:r>
              <w:rPr>
                <w:b w:val="0"/>
                <w:sz w:val="17"/>
              </w:rPr>
              <w:t>Wholesale</w:t>
            </w:r>
          </w:p>
        </w:tc>
        <w:tc>
          <w:tcPr>
            <w:tcW w:type="dxa" w:w="3408"/>
            <w:vAlign w:val="center"/>
          </w:tcPr>
          <w:p>
            <w:r/>
            <w:r>
              <w:rPr>
                <w:b w:val="0"/>
                <w:sz w:val="17"/>
              </w:rPr>
              <w:t>Commercial charging rate + ChargeMesh margin</w:t>
            </w:r>
          </w:p>
        </w:tc>
        <w:tc>
          <w:tcPr>
            <w:tcW w:type="dxa" w:w="3408"/>
            <w:vAlign w:val="center"/>
          </w:tcPr>
          <w:p>
            <w:r/>
            <w:r>
              <w:rPr>
                <w:b w:val="0"/>
                <w:sz w:val="17"/>
              </w:rPr>
              <w:t>Large CPO agreements</w:t>
            </w:r>
          </w:p>
        </w:tc>
      </w:tr>
      <w:tr>
        <w:tc>
          <w:tcPr>
            <w:tcW w:type="dxa" w:w="3408"/>
            <w:vAlign w:val="center"/>
          </w:tcPr>
          <w:p>
            <w:r/>
            <w:r>
              <w:rPr>
                <w:b w:val="0"/>
                <w:sz w:val="17"/>
              </w:rPr>
              <w:t>Enterprise/fleet</w:t>
            </w:r>
          </w:p>
        </w:tc>
        <w:tc>
          <w:tcPr>
            <w:tcW w:type="dxa" w:w="3408"/>
            <w:vAlign w:val="center"/>
          </w:tcPr>
          <w:p>
            <w:r/>
            <w:r>
              <w:rPr>
                <w:b w:val="0"/>
                <w:sz w:val="17"/>
              </w:rPr>
              <w:t>Charging management and analytics</w:t>
            </w:r>
          </w:p>
        </w:tc>
        <w:tc>
          <w:tcPr>
            <w:tcW w:type="dxa" w:w="3408"/>
            <w:vAlign w:val="center"/>
          </w:tcPr>
          <w:p>
            <w:r/>
            <w:r>
              <w:rPr>
                <w:b w:val="0"/>
                <w:sz w:val="17"/>
              </w:rPr>
              <w:t>Phase 2/3</w:t>
            </w:r>
          </w:p>
        </w:tc>
      </w:tr>
      <w:tr>
        <w:tc>
          <w:tcPr>
            <w:tcW w:type="dxa" w:w="3408"/>
            <w:vAlign w:val="center"/>
          </w:tcPr>
          <w:p>
            <w:r/>
            <w:r>
              <w:rPr>
                <w:b w:val="0"/>
                <w:sz w:val="17"/>
              </w:rPr>
              <w:t>Premium user</w:t>
            </w:r>
          </w:p>
        </w:tc>
        <w:tc>
          <w:tcPr>
            <w:tcW w:type="dxa" w:w="3408"/>
            <w:vAlign w:val="center"/>
          </w:tcPr>
          <w:p>
            <w:r/>
            <w:r>
              <w:rPr>
                <w:b w:val="0"/>
                <w:sz w:val="17"/>
              </w:rPr>
              <w:t>Advanced features</w:t>
            </w:r>
          </w:p>
        </w:tc>
        <w:tc>
          <w:tcPr>
            <w:tcW w:type="dxa" w:w="3408"/>
            <w:vAlign w:val="center"/>
          </w:tcPr>
          <w:p>
            <w:r/>
            <w:r>
              <w:rPr>
                <w:b w:val="0"/>
                <w:sz w:val="17"/>
              </w:rPr>
              <w:t>Later</w:t>
            </w:r>
          </w:p>
        </w:tc>
      </w:tr>
      <w:tr>
        <w:tc>
          <w:tcPr>
            <w:tcW w:type="dxa" w:w="3408"/>
            <w:vAlign w:val="center"/>
          </w:tcPr>
          <w:p>
            <w:r/>
            <w:r>
              <w:rPr>
                <w:b w:val="0"/>
                <w:sz w:val="17"/>
              </w:rPr>
              <w:t>Integration fee</w:t>
            </w:r>
          </w:p>
        </w:tc>
        <w:tc>
          <w:tcPr>
            <w:tcW w:type="dxa" w:w="3408"/>
            <w:vAlign w:val="center"/>
          </w:tcPr>
          <w:p>
            <w:r/>
            <w:r>
              <w:rPr>
                <w:b w:val="0"/>
                <w:sz w:val="17"/>
              </w:rPr>
              <w:t>Technical onboarding fee</w:t>
            </w:r>
          </w:p>
        </w:tc>
        <w:tc>
          <w:tcPr>
            <w:tcW w:type="dxa" w:w="3408"/>
            <w:vAlign w:val="center"/>
          </w:tcPr>
          <w:p>
            <w:r/>
            <w:r>
              <w:rPr>
                <w:b w:val="0"/>
                <w:sz w:val="17"/>
              </w:rPr>
              <w:t>Enterprise CPOs where appropriate</w:t>
            </w:r>
          </w:p>
        </w:tc>
      </w:tr>
    </w:tbl>
    <w:p>
      <w:r>
        <w:rPr>
          <w:b w:val="0"/>
        </w:rPr>
        <w:t>Commercial contracts must define taxes, refunds, failed sessions, chargebacks, CDR discrepancies, support responsibility and settlement timing.</w:t>
      </w:r>
    </w:p>
    <w:p>
      <w:pPr>
        <w:pStyle w:val="Heading1"/>
      </w:pPr>
      <w:r>
        <w:t>31. Target Customers &amp; Partners</w:t>
      </w:r>
    </w:p>
    <w:p>
      <w:pPr>
        <w:pStyle w:val="Heading2"/>
      </w:pPr>
      <w:r>
        <w:t>31.1 B2C</w:t>
      </w:r>
    </w:p>
    <w:p>
      <w:pPr>
        <w:pStyle w:val="ListBullet"/>
      </w:pPr>
      <w:r>
        <w:t>Private EV owners.</w:t>
      </w:r>
    </w:p>
    <w:p>
      <w:pPr>
        <w:pStyle w:val="ListBullet"/>
      </w:pPr>
      <w:r>
        <w:t>Frequent city EV drivers.</w:t>
      </w:r>
    </w:p>
    <w:p>
      <w:pPr>
        <w:pStyle w:val="ListBullet"/>
      </w:pPr>
      <w:r>
        <w:t>Highway EV travellers.</w:t>
      </w:r>
    </w:p>
    <w:p>
      <w:pPr>
        <w:pStyle w:val="Heading2"/>
      </w:pPr>
      <w:r>
        <w:t>31.2 B2B</w:t>
      </w:r>
    </w:p>
    <w:p>
      <w:pPr>
        <w:pStyle w:val="ListBullet"/>
      </w:pPr>
      <w:r>
        <w:t>Fleet operators.</w:t>
      </w:r>
    </w:p>
    <w:p>
      <w:pPr>
        <w:pStyle w:val="ListBullet"/>
      </w:pPr>
      <w:r>
        <w:t>Corporate mobility programs.</w:t>
      </w:r>
    </w:p>
    <w:p>
      <w:pPr>
        <w:pStyle w:val="ListBullet"/>
      </w:pPr>
      <w:r>
        <w:t>Leasing/rental operators.</w:t>
      </w:r>
    </w:p>
    <w:p>
      <w:pPr>
        <w:pStyle w:val="ListBullet"/>
      </w:pPr>
      <w:r>
        <w:t>EV dealerships and OEM ecosystems.</w:t>
      </w:r>
    </w:p>
    <w:p>
      <w:pPr>
        <w:pStyle w:val="Heading2"/>
      </w:pPr>
      <w:r>
        <w:t>31.3 Infrastructure Partners</w:t>
      </w:r>
    </w:p>
    <w:p>
      <w:pPr>
        <w:pStyle w:val="ListBullet"/>
      </w:pPr>
      <w:r>
        <w:t>CPOs.</w:t>
      </w:r>
    </w:p>
    <w:p>
      <w:pPr>
        <w:pStyle w:val="ListBullet"/>
      </w:pPr>
      <w:r>
        <w:t>Charging hardware operators.</w:t>
      </w:r>
    </w:p>
    <w:p>
      <w:pPr>
        <w:pStyle w:val="ListBullet"/>
      </w:pPr>
      <w:r>
        <w:t>Roaming/integration hubs.</w:t>
      </w:r>
    </w:p>
    <w:p>
      <w:pPr>
        <w:pStyle w:val="ListBullet"/>
      </w:pPr>
      <w:r>
        <w:t>Parking operators.</w:t>
      </w:r>
    </w:p>
    <w:p>
      <w:pPr>
        <w:pStyle w:val="ListBullet"/>
      </w:pPr>
      <w:r>
        <w:t>Retail locations.</w:t>
      </w:r>
    </w:p>
    <w:p>
      <w:pPr>
        <w:pStyle w:val="Heading1"/>
      </w:pPr>
      <w:r>
        <w:t>32. Competitive Positioning</w:t>
      </w:r>
    </w:p>
    <w:p>
      <w:r>
        <w:rPr>
          <w:b w:val="0"/>
        </w:rPr>
        <w:t>ChargeMesh enters a market where EV charging apps and aggregators already provide maps, filters, wallets, station information and charging workflows. The product should therefore avoid a generic 'we show chargers' positioning.</w:t>
      </w:r>
    </w:p>
    <w:p>
      <w:pPr>
        <w:pStyle w:val="Heading2"/>
      </w:pPr>
      <w:r>
        <w:t>32.1 Proposed Differentiation</w:t>
      </w:r>
    </w:p>
    <w:p>
      <w:pPr>
        <w:pStyle w:val="ListBullet"/>
      </w:pPr>
      <w:r>
        <w:t>Connector-first availability.</w:t>
      </w:r>
    </w:p>
    <w:p>
      <w:pPr>
        <w:pStyle w:val="ListBullet"/>
      </w:pPr>
      <w:r>
        <w:t>Explicit Unknown/Stale handling.</w:t>
      </w:r>
    </w:p>
    <w:p>
      <w:pPr>
        <w:pStyle w:val="ListBullet"/>
      </w:pPr>
      <w:r>
        <w:t>Data freshness visibility.</w:t>
      </w:r>
    </w:p>
    <w:p>
      <w:pPr>
        <w:pStyle w:val="ListBullet"/>
      </w:pPr>
      <w:r>
        <w:t>Vehicle-aware ranking.</w:t>
      </w:r>
    </w:p>
    <w:p>
      <w:pPr>
        <w:pStyle w:val="ListBullet"/>
      </w:pPr>
      <w:r>
        <w:t>Reliability/confidence scoring.</w:t>
      </w:r>
    </w:p>
    <w:p>
      <w:pPr>
        <w:pStyle w:val="ListBullet"/>
      </w:pPr>
      <w:r>
        <w:t>Transparent cost + speed comparison.</w:t>
      </w:r>
    </w:p>
    <w:p>
      <w:pPr>
        <w:pStyle w:val="ListBullet"/>
      </w:pPr>
      <w:r>
        <w:t>Consistent cross-CPO charging workflow.</w:t>
      </w:r>
    </w:p>
    <w:p>
      <w:pPr>
        <w:pStyle w:val="ListBullet"/>
      </w:pPr>
      <w:r>
        <w:t>Unified session/payment/history layer.</w:t>
      </w:r>
    </w:p>
    <w:p>
      <w:r>
        <w:rPr>
          <w:b w:val="0"/>
        </w:rPr>
        <w:t>The objective is not to claim that ChargeMesh is the only aggregator. The objective is to make ChargeMesh a more trustworthy decision-and-action layer.</w:t>
      </w:r>
    </w:p>
    <w:p>
      <w:pPr>
        <w:pStyle w:val="Heading1"/>
      </w:pPr>
      <w:r>
        <w:t>33. MVP Definition</w:t>
      </w:r>
    </w:p>
    <w:p>
      <w:pPr>
        <w:pStyle w:val="Heading2"/>
      </w:pPr>
      <w:r>
        <w:t>33.1 Mobile</w:t>
      </w:r>
    </w:p>
    <w:p>
      <w:pPr>
        <w:pStyle w:val="ListBullet"/>
      </w:pPr>
      <w:r>
        <w:t>Login/onboarding.</w:t>
      </w:r>
    </w:p>
    <w:p>
      <w:pPr>
        <w:pStyle w:val="ListBullet"/>
      </w:pPr>
      <w:r>
        <w:t>Vehicle setup.</w:t>
      </w:r>
    </w:p>
    <w:p>
      <w:pPr>
        <w:pStyle w:val="ListBullet"/>
      </w:pPr>
      <w:r>
        <w:t>Map.</w:t>
      </w:r>
    </w:p>
    <w:p>
      <w:pPr>
        <w:pStyle w:val="ListBullet"/>
      </w:pPr>
      <w:r>
        <w:t>Search.</w:t>
      </w:r>
    </w:p>
    <w:p>
      <w:pPr>
        <w:pStyle w:val="ListBullet"/>
      </w:pPr>
      <w:r>
        <w:t>Filters.</w:t>
      </w:r>
    </w:p>
    <w:p>
      <w:pPr>
        <w:pStyle w:val="ListBullet"/>
      </w:pPr>
      <w:r>
        <w:t>Station detail.</w:t>
      </w:r>
    </w:p>
    <w:p>
      <w:pPr>
        <w:pStyle w:val="ListBullet"/>
      </w:pPr>
      <w:r>
        <w:t>Connector detail.</w:t>
      </w:r>
    </w:p>
    <w:p>
      <w:pPr>
        <w:pStyle w:val="ListBullet"/>
      </w:pPr>
      <w:r>
        <w:t>Availability.</w:t>
      </w:r>
    </w:p>
    <w:p>
      <w:pPr>
        <w:pStyle w:val="ListBullet"/>
      </w:pPr>
      <w:r>
        <w:t>Freshness.</w:t>
      </w:r>
    </w:p>
    <w:p>
      <w:pPr>
        <w:pStyle w:val="ListBullet"/>
      </w:pPr>
      <w:r>
        <w:t>Navigation.</w:t>
      </w:r>
    </w:p>
    <w:p>
      <w:pPr>
        <w:pStyle w:val="ListBullet"/>
      </w:pPr>
      <w:r>
        <w:t>QR scan.</w:t>
      </w:r>
    </w:p>
    <w:p>
      <w:pPr>
        <w:pStyle w:val="ListBullet"/>
      </w:pPr>
      <w:r>
        <w:t>Payment.</w:t>
      </w:r>
    </w:p>
    <w:p>
      <w:pPr>
        <w:pStyle w:val="ListBullet"/>
      </w:pPr>
      <w:r>
        <w:t>Start/stop where supported.</w:t>
      </w:r>
    </w:p>
    <w:p>
      <w:pPr>
        <w:pStyle w:val="ListBullet"/>
      </w:pPr>
      <w:r>
        <w:t>Live charging.</w:t>
      </w:r>
    </w:p>
    <w:p>
      <w:pPr>
        <w:pStyle w:val="ListBullet"/>
      </w:pPr>
      <w:r>
        <w:t>History.</w:t>
      </w:r>
    </w:p>
    <w:p>
      <w:pPr>
        <w:pStyle w:val="ListBullet"/>
      </w:pPr>
      <w:r>
        <w:t>Invoice.</w:t>
      </w:r>
    </w:p>
    <w:p>
      <w:pPr>
        <w:pStyle w:val="ListBullet"/>
      </w:pPr>
      <w:r>
        <w:t>Support.</w:t>
      </w:r>
    </w:p>
    <w:p>
      <w:pPr>
        <w:pStyle w:val="Heading2"/>
      </w:pPr>
      <w:r>
        <w:t>33.2 Admin</w:t>
      </w:r>
    </w:p>
    <w:p>
      <w:pPr>
        <w:pStyle w:val="ListBullet"/>
      </w:pPr>
      <w:r>
        <w:t>Dashboard.</w:t>
      </w:r>
    </w:p>
    <w:p>
      <w:pPr>
        <w:pStyle w:val="ListBullet"/>
      </w:pPr>
      <w:r>
        <w:t>CPO management.</w:t>
      </w:r>
    </w:p>
    <w:p>
      <w:pPr>
        <w:pStyle w:val="ListBullet"/>
      </w:pPr>
      <w:r>
        <w:t>Station/EVSE/connector mapping.</w:t>
      </w:r>
    </w:p>
    <w:p>
      <w:pPr>
        <w:pStyle w:val="ListBullet"/>
      </w:pPr>
      <w:r>
        <w:t>Integration health.</w:t>
      </w:r>
    </w:p>
    <w:p>
      <w:pPr>
        <w:pStyle w:val="ListBullet"/>
      </w:pPr>
      <w:r>
        <w:t>Session monitoring.</w:t>
      </w:r>
    </w:p>
    <w:p>
      <w:pPr>
        <w:pStyle w:val="ListBullet"/>
      </w:pPr>
      <w:r>
        <w:t>Payment monitoring.</w:t>
      </w:r>
    </w:p>
    <w:p>
      <w:pPr>
        <w:pStyle w:val="ListBullet"/>
      </w:pPr>
      <w:r>
        <w:t>CDR/reconciliation.</w:t>
      </w:r>
    </w:p>
    <w:p>
      <w:pPr>
        <w:pStyle w:val="ListBullet"/>
      </w:pPr>
      <w:r>
        <w:t>Support.</w:t>
      </w:r>
    </w:p>
    <w:p>
      <w:pPr>
        <w:pStyle w:val="ListBullet"/>
      </w:pPr>
      <w:r>
        <w:t>Audit.</w:t>
      </w:r>
    </w:p>
    <w:p>
      <w:pPr>
        <w:pStyle w:val="Heading1"/>
      </w:pPr>
      <w:r>
        <w:t>34. Explicitly Out of MVP</w:t>
      </w:r>
    </w:p>
    <w:p>
      <w:pPr>
        <w:pStyle w:val="ListBullet"/>
      </w:pPr>
      <w:r>
        <w:t>Operating a proprietary stored-value wallet without the required regulatory/partner structure.</w:t>
      </w:r>
    </w:p>
    <w:p>
      <w:pPr>
        <w:pStyle w:val="ListBullet"/>
      </w:pPr>
      <w:r>
        <w:t>Smart charging optimization.</w:t>
      </w:r>
    </w:p>
    <w:p>
      <w:pPr>
        <w:pStyle w:val="ListBullet"/>
      </w:pPr>
      <w:r>
        <w:t>Vehicle battery telemetry for all OEMs.</w:t>
      </w:r>
    </w:p>
    <w:p>
      <w:pPr>
        <w:pStyle w:val="ListBullet"/>
      </w:pPr>
      <w:r>
        <w:t>Automatic battery percentage control across all EVs.</w:t>
      </w:r>
    </w:p>
    <w:p>
      <w:pPr>
        <w:pStyle w:val="ListBullet"/>
      </w:pPr>
      <w:r>
        <w:t>Universal reservation across all CPOs.</w:t>
      </w:r>
    </w:p>
    <w:p>
      <w:pPr>
        <w:pStyle w:val="ListBullet"/>
      </w:pPr>
      <w:r>
        <w:t>Hardware ownership.</w:t>
      </w:r>
    </w:p>
    <w:p>
      <w:pPr>
        <w:pStyle w:val="ListBullet"/>
      </w:pPr>
      <w:r>
        <w:t>Charging station operation by ChargeMesh.</w:t>
      </w:r>
    </w:p>
    <w:p>
      <w:pPr>
        <w:pStyle w:val="ListBullet"/>
      </w:pPr>
      <w:r>
        <w:t>Guaranteed real-time status for CPOs that cannot provide it.</w:t>
      </w:r>
    </w:p>
    <w:p>
      <w:pPr>
        <w:pStyle w:val="Heading1"/>
      </w:pPr>
      <w:r>
        <w:t>35. Pilot Strategy</w:t>
      </w:r>
    </w:p>
    <w:p>
      <w:r>
        <w:rPr>
          <w:b w:val="0"/>
        </w:rPr>
        <w:t>Recommended pilot: Delhi NCR, limited to 3–5 CPO partners and a controlled station set. The objective is not to maximize the number of map pins. The objective is to prove that cross-network charging can be completed reliably.</w:t>
      </w:r>
    </w:p>
    <w:p>
      <w:pPr>
        <w:pStyle w:val="Heading2"/>
      </w:pPr>
      <w:r>
        <w:t>35.1 Pilot Success Questions</w:t>
      </w:r>
    </w:p>
    <w:p>
      <w:pPr>
        <w:pStyle w:val="ListBullet"/>
      </w:pPr>
      <w:r>
        <w:t>Can a user discover a compatible charger?</w:t>
      </w:r>
    </w:p>
    <w:p>
      <w:pPr>
        <w:pStyle w:val="ListBullet"/>
      </w:pPr>
      <w:r>
        <w:t>Can ChargeMesh accurately identify connector status?</w:t>
      </w:r>
    </w:p>
    <w:p>
      <w:pPr>
        <w:pStyle w:val="ListBullet"/>
      </w:pPr>
      <w:r>
        <w:t>Can the user start a session across multiple CPOs?</w:t>
      </w:r>
    </w:p>
    <w:p>
      <w:pPr>
        <w:pStyle w:val="ListBullet"/>
      </w:pPr>
      <w:r>
        <w:t>Can payment and CDR reconcile?</w:t>
      </w:r>
    </w:p>
    <w:p>
      <w:pPr>
        <w:pStyle w:val="ListBullet"/>
      </w:pPr>
      <w:r>
        <w:t>How often does the user encounter stale/unknown data?</w:t>
      </w:r>
    </w:p>
    <w:p>
      <w:pPr>
        <w:pStyle w:val="ListBullet"/>
      </w:pPr>
      <w:r>
        <w:t>How often does charging fail after the user reaches the station?</w:t>
      </w:r>
    </w:p>
    <w:p>
      <w:pPr>
        <w:pStyle w:val="ListBullet"/>
      </w:pPr>
      <w:r>
        <w:t>Do users prefer one ChargeMesh workflow over multiple CPO apps?</w:t>
      </w:r>
    </w:p>
    <w:p>
      <w:pPr>
        <w:pStyle w:val="Heading1"/>
      </w:pPr>
      <w:r>
        <w:t>36. Key KPIs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7"/>
              </w:rPr>
              <w:t>KPI</w:t>
            </w:r>
          </w:p>
        </w:tc>
        <w:tc>
          <w:tcPr>
            <w:tcW w:type="dxa" w:w="3408"/>
            <w:vAlign w:val="center"/>
            <w:shd w:fill="DDEBF7"/>
          </w:tcPr>
          <w:p>
            <w:r/>
            <w:r>
              <w:rPr>
                <w:b/>
                <w:sz w:val="17"/>
              </w:rPr>
              <w:t>Meaning</w:t>
            </w:r>
          </w:p>
        </w:tc>
        <w:tc>
          <w:tcPr>
            <w:tcW w:type="dxa" w:w="3408"/>
            <w:vAlign w:val="center"/>
            <w:shd w:fill="DDEBF7"/>
          </w:tcPr>
          <w:p>
            <w:r/>
            <w:r>
              <w:rPr>
                <w:b/>
                <w:sz w:val="17"/>
              </w:rPr>
              <w:t>Target Direction</w:t>
            </w:r>
          </w:p>
        </w:tc>
      </w:tr>
      <w:tr>
        <w:tc>
          <w:tcPr>
            <w:tcW w:type="dxa" w:w="3408"/>
            <w:vAlign w:val="center"/>
          </w:tcPr>
          <w:p>
            <w:r/>
            <w:r>
              <w:rPr>
                <w:b w:val="0"/>
                <w:sz w:val="17"/>
              </w:rPr>
              <w:t>Search → station open</w:t>
            </w:r>
          </w:p>
        </w:tc>
        <w:tc>
          <w:tcPr>
            <w:tcW w:type="dxa" w:w="3408"/>
            <w:vAlign w:val="center"/>
          </w:tcPr>
          <w:p>
            <w:r/>
            <w:r>
              <w:rPr>
                <w:b w:val="0"/>
                <w:sz w:val="17"/>
              </w:rPr>
              <w:t>Discovery usefulness</w:t>
            </w:r>
          </w:p>
        </w:tc>
        <w:tc>
          <w:tcPr>
            <w:tcW w:type="dxa" w:w="3408"/>
            <w:vAlign w:val="center"/>
          </w:tcPr>
          <w:p>
            <w:r/>
            <w:r>
              <w:rPr>
                <w:b w:val="0"/>
                <w:sz w:val="17"/>
              </w:rPr>
              <w:t>Increase</w:t>
            </w:r>
          </w:p>
        </w:tc>
      </w:tr>
      <w:tr>
        <w:tc>
          <w:tcPr>
            <w:tcW w:type="dxa" w:w="3408"/>
            <w:vAlign w:val="center"/>
          </w:tcPr>
          <w:p>
            <w:r/>
            <w:r>
              <w:rPr>
                <w:b w:val="0"/>
                <w:sz w:val="17"/>
              </w:rPr>
              <w:t>Station → connector select</w:t>
            </w:r>
          </w:p>
        </w:tc>
        <w:tc>
          <w:tcPr>
            <w:tcW w:type="dxa" w:w="3408"/>
            <w:vAlign w:val="center"/>
          </w:tcPr>
          <w:p>
            <w:r/>
            <w:r>
              <w:rPr>
                <w:b w:val="0"/>
                <w:sz w:val="17"/>
              </w:rPr>
              <w:t>Detail usefulness</w:t>
            </w:r>
          </w:p>
        </w:tc>
        <w:tc>
          <w:tcPr>
            <w:tcW w:type="dxa" w:w="3408"/>
            <w:vAlign w:val="center"/>
          </w:tcPr>
          <w:p>
            <w:r/>
            <w:r>
              <w:rPr>
                <w:b w:val="0"/>
                <w:sz w:val="17"/>
              </w:rPr>
              <w:t>Increase</w:t>
            </w:r>
          </w:p>
        </w:tc>
      </w:tr>
      <w:tr>
        <w:tc>
          <w:tcPr>
            <w:tcW w:type="dxa" w:w="3408"/>
            <w:vAlign w:val="center"/>
          </w:tcPr>
          <w:p>
            <w:r/>
            <w:r>
              <w:rPr>
                <w:b w:val="0"/>
                <w:sz w:val="17"/>
              </w:rPr>
              <w:t>Connector → start attempt</w:t>
            </w:r>
          </w:p>
        </w:tc>
        <w:tc>
          <w:tcPr>
            <w:tcW w:type="dxa" w:w="3408"/>
            <w:vAlign w:val="center"/>
          </w:tcPr>
          <w:p>
            <w:r/>
            <w:r>
              <w:rPr>
                <w:b w:val="0"/>
                <w:sz w:val="17"/>
              </w:rPr>
              <w:t>Action intent</w:t>
            </w:r>
          </w:p>
        </w:tc>
        <w:tc>
          <w:tcPr>
            <w:tcW w:type="dxa" w:w="3408"/>
            <w:vAlign w:val="center"/>
          </w:tcPr>
          <w:p>
            <w:r/>
            <w:r>
              <w:rPr>
                <w:b w:val="0"/>
                <w:sz w:val="17"/>
              </w:rPr>
              <w:t>Increase</w:t>
            </w:r>
          </w:p>
        </w:tc>
      </w:tr>
      <w:tr>
        <w:tc>
          <w:tcPr>
            <w:tcW w:type="dxa" w:w="3408"/>
            <w:vAlign w:val="center"/>
          </w:tcPr>
          <w:p>
            <w:r/>
            <w:r>
              <w:rPr>
                <w:b w:val="0"/>
                <w:sz w:val="17"/>
              </w:rPr>
              <w:t>Start success rate</w:t>
            </w:r>
          </w:p>
        </w:tc>
        <w:tc>
          <w:tcPr>
            <w:tcW w:type="dxa" w:w="3408"/>
            <w:vAlign w:val="center"/>
          </w:tcPr>
          <w:p>
            <w:r/>
            <w:r>
              <w:rPr>
                <w:b w:val="0"/>
                <w:sz w:val="17"/>
              </w:rPr>
              <w:t>Operational success</w:t>
            </w:r>
          </w:p>
        </w:tc>
        <w:tc>
          <w:tcPr>
            <w:tcW w:type="dxa" w:w="3408"/>
            <w:vAlign w:val="center"/>
          </w:tcPr>
          <w:p>
            <w:r/>
            <w:r>
              <w:rPr>
                <w:b w:val="0"/>
                <w:sz w:val="17"/>
              </w:rPr>
              <w:t>Increase</w:t>
            </w:r>
          </w:p>
        </w:tc>
      </w:tr>
      <w:tr>
        <w:tc>
          <w:tcPr>
            <w:tcW w:type="dxa" w:w="3408"/>
            <w:vAlign w:val="center"/>
          </w:tcPr>
          <w:p>
            <w:r/>
            <w:r>
              <w:rPr>
                <w:b w:val="0"/>
                <w:sz w:val="17"/>
              </w:rPr>
              <w:t>Session completion rate</w:t>
            </w:r>
          </w:p>
        </w:tc>
        <w:tc>
          <w:tcPr>
            <w:tcW w:type="dxa" w:w="3408"/>
            <w:vAlign w:val="center"/>
          </w:tcPr>
          <w:p>
            <w:r/>
            <w:r>
              <w:rPr>
                <w:b w:val="0"/>
                <w:sz w:val="17"/>
              </w:rPr>
              <w:t>End-to-end quality</w:t>
            </w:r>
          </w:p>
        </w:tc>
        <w:tc>
          <w:tcPr>
            <w:tcW w:type="dxa" w:w="3408"/>
            <w:vAlign w:val="center"/>
          </w:tcPr>
          <w:p>
            <w:r/>
            <w:r>
              <w:rPr>
                <w:b w:val="0"/>
                <w:sz w:val="17"/>
              </w:rPr>
              <w:t>Increase</w:t>
            </w:r>
          </w:p>
        </w:tc>
      </w:tr>
      <w:tr>
        <w:tc>
          <w:tcPr>
            <w:tcW w:type="dxa" w:w="3408"/>
            <w:vAlign w:val="center"/>
          </w:tcPr>
          <w:p>
            <w:r/>
            <w:r>
              <w:rPr>
                <w:b w:val="0"/>
                <w:sz w:val="17"/>
              </w:rPr>
              <w:t>Payment success rate</w:t>
            </w:r>
          </w:p>
        </w:tc>
        <w:tc>
          <w:tcPr>
            <w:tcW w:type="dxa" w:w="3408"/>
            <w:vAlign w:val="center"/>
          </w:tcPr>
          <w:p>
            <w:r/>
            <w:r>
              <w:rPr>
                <w:b w:val="0"/>
                <w:sz w:val="17"/>
              </w:rPr>
              <w:t>Payment reliability</w:t>
            </w:r>
          </w:p>
        </w:tc>
        <w:tc>
          <w:tcPr>
            <w:tcW w:type="dxa" w:w="3408"/>
            <w:vAlign w:val="center"/>
          </w:tcPr>
          <w:p>
            <w:r/>
            <w:r>
              <w:rPr>
                <w:b w:val="0"/>
                <w:sz w:val="17"/>
              </w:rPr>
              <w:t>Increase</w:t>
            </w:r>
          </w:p>
        </w:tc>
      </w:tr>
      <w:tr>
        <w:tc>
          <w:tcPr>
            <w:tcW w:type="dxa" w:w="3408"/>
            <w:vAlign w:val="center"/>
          </w:tcPr>
          <w:p>
            <w:r/>
            <w:r>
              <w:rPr>
                <w:b w:val="0"/>
                <w:sz w:val="17"/>
              </w:rPr>
              <w:t>Unknown exposure rate</w:t>
            </w:r>
          </w:p>
        </w:tc>
        <w:tc>
          <w:tcPr>
            <w:tcW w:type="dxa" w:w="3408"/>
            <w:vAlign w:val="center"/>
          </w:tcPr>
          <w:p>
            <w:r/>
            <w:r>
              <w:rPr>
                <w:b w:val="0"/>
                <w:sz w:val="17"/>
              </w:rPr>
              <w:t>Data quality problem</w:t>
            </w:r>
          </w:p>
        </w:tc>
        <w:tc>
          <w:tcPr>
            <w:tcW w:type="dxa" w:w="3408"/>
            <w:vAlign w:val="center"/>
          </w:tcPr>
          <w:p>
            <w:r/>
            <w:r>
              <w:rPr>
                <w:b w:val="0"/>
                <w:sz w:val="17"/>
              </w:rPr>
              <w:t>Decrease</w:t>
            </w:r>
          </w:p>
        </w:tc>
      </w:tr>
      <w:tr>
        <w:tc>
          <w:tcPr>
            <w:tcW w:type="dxa" w:w="3408"/>
            <w:vAlign w:val="center"/>
          </w:tcPr>
          <w:p>
            <w:r/>
            <w:r>
              <w:rPr>
                <w:b w:val="0"/>
                <w:sz w:val="17"/>
              </w:rPr>
              <w:t>Stale exposure rate</w:t>
            </w:r>
          </w:p>
        </w:tc>
        <w:tc>
          <w:tcPr>
            <w:tcW w:type="dxa" w:w="3408"/>
            <w:vAlign w:val="center"/>
          </w:tcPr>
          <w:p>
            <w:r/>
            <w:r>
              <w:rPr>
                <w:b w:val="0"/>
                <w:sz w:val="17"/>
              </w:rPr>
              <w:t>Freshness problem</w:t>
            </w:r>
          </w:p>
        </w:tc>
        <w:tc>
          <w:tcPr>
            <w:tcW w:type="dxa" w:w="3408"/>
            <w:vAlign w:val="center"/>
          </w:tcPr>
          <w:p>
            <w:r/>
            <w:r>
              <w:rPr>
                <w:b w:val="0"/>
                <w:sz w:val="17"/>
              </w:rPr>
              <w:t>Decrease</w:t>
            </w:r>
          </w:p>
        </w:tc>
      </w:tr>
      <w:tr>
        <w:tc>
          <w:tcPr>
            <w:tcW w:type="dxa" w:w="3408"/>
            <w:vAlign w:val="center"/>
          </w:tcPr>
          <w:p>
            <w:r/>
            <w:r>
              <w:rPr>
                <w:b w:val="0"/>
                <w:sz w:val="17"/>
              </w:rPr>
              <w:t>Refund rate</w:t>
            </w:r>
          </w:p>
        </w:tc>
        <w:tc>
          <w:tcPr>
            <w:tcW w:type="dxa" w:w="3408"/>
            <w:vAlign w:val="center"/>
          </w:tcPr>
          <w:p>
            <w:r/>
            <w:r>
              <w:rPr>
                <w:b w:val="0"/>
                <w:sz w:val="17"/>
              </w:rPr>
              <w:t>Failure/financial quality</w:t>
            </w:r>
          </w:p>
        </w:tc>
        <w:tc>
          <w:tcPr>
            <w:tcW w:type="dxa" w:w="3408"/>
            <w:vAlign w:val="center"/>
          </w:tcPr>
          <w:p>
            <w:r/>
            <w:r>
              <w:rPr>
                <w:b w:val="0"/>
                <w:sz w:val="17"/>
              </w:rPr>
              <w:t>Decrease</w:t>
            </w:r>
          </w:p>
        </w:tc>
      </w:tr>
      <w:tr>
        <w:tc>
          <w:tcPr>
            <w:tcW w:type="dxa" w:w="3408"/>
            <w:vAlign w:val="center"/>
          </w:tcPr>
          <w:p>
            <w:r/>
            <w:r>
              <w:rPr>
                <w:b w:val="0"/>
                <w:sz w:val="17"/>
              </w:rPr>
              <w:t>Repeat charging rate</w:t>
            </w:r>
          </w:p>
        </w:tc>
        <w:tc>
          <w:tcPr>
            <w:tcW w:type="dxa" w:w="3408"/>
            <w:vAlign w:val="center"/>
          </w:tcPr>
          <w:p>
            <w:r/>
            <w:r>
              <w:rPr>
                <w:b w:val="0"/>
                <w:sz w:val="17"/>
              </w:rPr>
              <w:t>Retention</w:t>
            </w:r>
          </w:p>
        </w:tc>
        <w:tc>
          <w:tcPr>
            <w:tcW w:type="dxa" w:w="3408"/>
            <w:vAlign w:val="center"/>
          </w:tcPr>
          <w:p>
            <w:r/>
            <w:r>
              <w:rPr>
                <w:b w:val="0"/>
                <w:sz w:val="17"/>
              </w:rPr>
              <w:t>Increase</w:t>
            </w:r>
          </w:p>
        </w:tc>
      </w:tr>
      <w:tr>
        <w:tc>
          <w:tcPr>
            <w:tcW w:type="dxa" w:w="3408"/>
            <w:vAlign w:val="center"/>
          </w:tcPr>
          <w:p>
            <w:r/>
            <w:r>
              <w:rPr>
                <w:b w:val="0"/>
                <w:sz w:val="17"/>
              </w:rPr>
              <w:t>Support contacts/session</w:t>
            </w:r>
          </w:p>
        </w:tc>
        <w:tc>
          <w:tcPr>
            <w:tcW w:type="dxa" w:w="3408"/>
            <w:vAlign w:val="center"/>
          </w:tcPr>
          <w:p>
            <w:r/>
            <w:r>
              <w:rPr>
                <w:b w:val="0"/>
                <w:sz w:val="17"/>
              </w:rPr>
              <w:t>Friction</w:t>
            </w:r>
          </w:p>
        </w:tc>
        <w:tc>
          <w:tcPr>
            <w:tcW w:type="dxa" w:w="3408"/>
            <w:vAlign w:val="center"/>
          </w:tcPr>
          <w:p>
            <w:r/>
            <w:r>
              <w:rPr>
                <w:b w:val="0"/>
                <w:sz w:val="17"/>
              </w:rPr>
              <w:t>Decrease</w:t>
            </w:r>
          </w:p>
        </w:tc>
      </w:tr>
      <w:tr>
        <w:tc>
          <w:tcPr>
            <w:tcW w:type="dxa" w:w="3408"/>
            <w:vAlign w:val="center"/>
          </w:tcPr>
          <w:p>
            <w:r/>
            <w:r>
              <w:rPr>
                <w:b w:val="0"/>
                <w:sz w:val="17"/>
              </w:rPr>
              <w:t>CDR reconciliation rate</w:t>
            </w:r>
          </w:p>
        </w:tc>
        <w:tc>
          <w:tcPr>
            <w:tcW w:type="dxa" w:w="3408"/>
            <w:vAlign w:val="center"/>
          </w:tcPr>
          <w:p>
            <w:r/>
            <w:r>
              <w:rPr>
                <w:b w:val="0"/>
                <w:sz w:val="17"/>
              </w:rPr>
              <w:t>Financial integrity</w:t>
            </w:r>
          </w:p>
        </w:tc>
        <w:tc>
          <w:tcPr>
            <w:tcW w:type="dxa" w:w="3408"/>
            <w:vAlign w:val="center"/>
          </w:tcPr>
          <w:p>
            <w:r/>
            <w:r>
              <w:rPr>
                <w:b w:val="0"/>
                <w:sz w:val="17"/>
              </w:rPr>
              <w:t>Increase</w:t>
            </w:r>
          </w:p>
        </w:tc>
      </w:tr>
    </w:tbl>
    <w:p>
      <w:pPr>
        <w:pStyle w:val="Heading1"/>
      </w:pPr>
      <w:r>
        <w:t>37. Operational Model</w:t>
      </w:r>
    </w:p>
    <w:p>
      <w:pPr>
        <w:pStyle w:val="Heading2"/>
      </w:pPr>
      <w:r>
        <w:t>37.1 First Line</w:t>
      </w:r>
    </w:p>
    <w:p>
      <w:r>
        <w:rPr>
          <w:b w:val="0"/>
        </w:rPr>
        <w:t>ChargeMesh support handles app, payment and user journey questions.</w:t>
      </w:r>
    </w:p>
    <w:p>
      <w:pPr>
        <w:pStyle w:val="Heading2"/>
      </w:pPr>
      <w:r>
        <w:t>37.2 CPO Escalation</w:t>
      </w:r>
    </w:p>
    <w:p>
      <w:r>
        <w:rPr>
          <w:b w:val="0"/>
        </w:rPr>
        <w:t>Physical charger faults, electricity/network issues and hardware failures go to the CPO/operator.</w:t>
      </w:r>
    </w:p>
    <w:p>
      <w:pPr>
        <w:pStyle w:val="Heading2"/>
      </w:pPr>
      <w:r>
        <w:t>37.3 Financial Escalation</w:t>
      </w:r>
    </w:p>
    <w:p>
      <w:r>
        <w:rPr>
          <w:b w:val="0"/>
        </w:rPr>
        <w:t>Payment provider + ChargeMesh finance/operations handle payment, refund and settlement exceptions.</w:t>
      </w:r>
    </w:p>
    <w:p>
      <w:pPr>
        <w:pStyle w:val="Heading2"/>
      </w:pPr>
      <w:r>
        <w:t>37.4 Technical Escalation</w:t>
      </w:r>
    </w:p>
    <w:p>
      <w:r>
        <w:rPr>
          <w:b w:val="0"/>
        </w:rPr>
        <w:t>ChargeMesh integration team handles API, OCPI, webhook and data normalization issues.</w:t>
      </w:r>
    </w:p>
    <w:p>
      <w:pPr>
        <w:pStyle w:val="Heading1"/>
      </w:pPr>
      <w:r>
        <w:t>38. Major Risks &amp; Mitigation</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7"/>
              </w:rPr>
              <w:t>Risk</w:t>
            </w:r>
          </w:p>
        </w:tc>
        <w:tc>
          <w:tcPr>
            <w:tcW w:type="dxa" w:w="3408"/>
            <w:vAlign w:val="center"/>
            <w:shd w:fill="DDEBF7"/>
          </w:tcPr>
          <w:p>
            <w:r/>
            <w:r>
              <w:rPr>
                <w:b/>
                <w:sz w:val="17"/>
              </w:rPr>
              <w:t>Impact</w:t>
            </w:r>
          </w:p>
        </w:tc>
        <w:tc>
          <w:tcPr>
            <w:tcW w:type="dxa" w:w="3408"/>
            <w:vAlign w:val="center"/>
            <w:shd w:fill="DDEBF7"/>
          </w:tcPr>
          <w:p>
            <w:r/>
            <w:r>
              <w:rPr>
                <w:b/>
                <w:sz w:val="17"/>
              </w:rPr>
              <w:t>Mitigation</w:t>
            </w:r>
          </w:p>
        </w:tc>
      </w:tr>
      <w:tr>
        <w:tc>
          <w:tcPr>
            <w:tcW w:type="dxa" w:w="3408"/>
            <w:vAlign w:val="center"/>
          </w:tcPr>
          <w:p>
            <w:r/>
            <w:r>
              <w:rPr>
                <w:b w:val="0"/>
                <w:sz w:val="17"/>
              </w:rPr>
              <w:t>CPO integration inconsistency</w:t>
            </w:r>
          </w:p>
        </w:tc>
        <w:tc>
          <w:tcPr>
            <w:tcW w:type="dxa" w:w="3408"/>
            <w:vAlign w:val="center"/>
          </w:tcPr>
          <w:p>
            <w:r/>
            <w:r>
              <w:rPr>
                <w:b w:val="0"/>
                <w:sz w:val="17"/>
              </w:rPr>
              <w:t>High</w:t>
            </w:r>
          </w:p>
        </w:tc>
        <w:tc>
          <w:tcPr>
            <w:tcW w:type="dxa" w:w="3408"/>
            <w:vAlign w:val="center"/>
          </w:tcPr>
          <w:p>
            <w:r/>
            <w:r>
              <w:rPr>
                <w:b w:val="0"/>
                <w:sz w:val="17"/>
              </w:rPr>
              <w:t>OCPI-first + adapter architecture</w:t>
            </w:r>
          </w:p>
        </w:tc>
      </w:tr>
      <w:tr>
        <w:tc>
          <w:tcPr>
            <w:tcW w:type="dxa" w:w="3408"/>
            <w:vAlign w:val="center"/>
          </w:tcPr>
          <w:p>
            <w:r/>
            <w:r>
              <w:rPr>
                <w:b w:val="0"/>
                <w:sz w:val="17"/>
              </w:rPr>
              <w:t>Stale availability</w:t>
            </w:r>
          </w:p>
        </w:tc>
        <w:tc>
          <w:tcPr>
            <w:tcW w:type="dxa" w:w="3408"/>
            <w:vAlign w:val="center"/>
          </w:tcPr>
          <w:p>
            <w:r/>
            <w:r>
              <w:rPr>
                <w:b w:val="0"/>
                <w:sz w:val="17"/>
              </w:rPr>
              <w:t>High</w:t>
            </w:r>
          </w:p>
        </w:tc>
        <w:tc>
          <w:tcPr>
            <w:tcW w:type="dxa" w:w="3408"/>
            <w:vAlign w:val="center"/>
          </w:tcPr>
          <w:p>
            <w:r/>
            <w:r>
              <w:rPr>
                <w:b w:val="0"/>
                <w:sz w:val="17"/>
              </w:rPr>
              <w:t>Freshness engine + Unknown/Stale states</w:t>
            </w:r>
          </w:p>
        </w:tc>
      </w:tr>
      <w:tr>
        <w:tc>
          <w:tcPr>
            <w:tcW w:type="dxa" w:w="3408"/>
            <w:vAlign w:val="center"/>
          </w:tcPr>
          <w:p>
            <w:r/>
            <w:r>
              <w:rPr>
                <w:b w:val="0"/>
                <w:sz w:val="17"/>
              </w:rPr>
              <w:t>Charging start failure</w:t>
            </w:r>
          </w:p>
        </w:tc>
        <w:tc>
          <w:tcPr>
            <w:tcW w:type="dxa" w:w="3408"/>
            <w:vAlign w:val="center"/>
          </w:tcPr>
          <w:p>
            <w:r/>
            <w:r>
              <w:rPr>
                <w:b w:val="0"/>
                <w:sz w:val="17"/>
              </w:rPr>
              <w:t>High</w:t>
            </w:r>
          </w:p>
        </w:tc>
        <w:tc>
          <w:tcPr>
            <w:tcW w:type="dxa" w:w="3408"/>
            <w:vAlign w:val="center"/>
          </w:tcPr>
          <w:p>
            <w:r/>
            <w:r>
              <w:rPr>
                <w:b w:val="0"/>
                <w:sz w:val="17"/>
              </w:rPr>
              <w:t>Confirm actual session state + reconciliation</w:t>
            </w:r>
          </w:p>
        </w:tc>
      </w:tr>
      <w:tr>
        <w:tc>
          <w:tcPr>
            <w:tcW w:type="dxa" w:w="3408"/>
            <w:vAlign w:val="center"/>
          </w:tcPr>
          <w:p>
            <w:r/>
            <w:r>
              <w:rPr>
                <w:b w:val="0"/>
                <w:sz w:val="17"/>
              </w:rPr>
              <w:t>Payment mismatch</w:t>
            </w:r>
          </w:p>
        </w:tc>
        <w:tc>
          <w:tcPr>
            <w:tcW w:type="dxa" w:w="3408"/>
            <w:vAlign w:val="center"/>
          </w:tcPr>
          <w:p>
            <w:r/>
            <w:r>
              <w:rPr>
                <w:b w:val="0"/>
                <w:sz w:val="17"/>
              </w:rPr>
              <w:t>High</w:t>
            </w:r>
          </w:p>
        </w:tc>
        <w:tc>
          <w:tcPr>
            <w:tcW w:type="dxa" w:w="3408"/>
            <w:vAlign w:val="center"/>
          </w:tcPr>
          <w:p>
            <w:r/>
            <w:r>
              <w:rPr>
                <w:b w:val="0"/>
                <w:sz w:val="17"/>
              </w:rPr>
              <w:t>Payment/session/CDR correlation + idempotency</w:t>
            </w:r>
          </w:p>
        </w:tc>
      </w:tr>
      <w:tr>
        <w:tc>
          <w:tcPr>
            <w:tcW w:type="dxa" w:w="3408"/>
            <w:vAlign w:val="center"/>
          </w:tcPr>
          <w:p>
            <w:r/>
            <w:r>
              <w:rPr>
                <w:b w:val="0"/>
                <w:sz w:val="17"/>
              </w:rPr>
              <w:t>Wallet regulation</w:t>
            </w:r>
          </w:p>
        </w:tc>
        <w:tc>
          <w:tcPr>
            <w:tcW w:type="dxa" w:w="3408"/>
            <w:vAlign w:val="center"/>
          </w:tcPr>
          <w:p>
            <w:r/>
            <w:r>
              <w:rPr>
                <w:b w:val="0"/>
                <w:sz w:val="17"/>
              </w:rPr>
              <w:t>High</w:t>
            </w:r>
          </w:p>
        </w:tc>
        <w:tc>
          <w:tcPr>
            <w:tcW w:type="dxa" w:w="3408"/>
            <w:vAlign w:val="center"/>
          </w:tcPr>
          <w:p>
            <w:r/>
            <w:r>
              <w:rPr>
                <w:b w:val="0"/>
                <w:sz w:val="17"/>
              </w:rPr>
              <w:t>PSP-led MVP; regulatory review before stored-value wallet</w:t>
            </w:r>
          </w:p>
        </w:tc>
      </w:tr>
      <w:tr>
        <w:tc>
          <w:tcPr>
            <w:tcW w:type="dxa" w:w="3408"/>
            <w:vAlign w:val="center"/>
          </w:tcPr>
          <w:p>
            <w:r/>
            <w:r>
              <w:rPr>
                <w:b w:val="0"/>
                <w:sz w:val="17"/>
              </w:rPr>
              <w:t>Low CPO participation</w:t>
            </w:r>
          </w:p>
        </w:tc>
        <w:tc>
          <w:tcPr>
            <w:tcW w:type="dxa" w:w="3408"/>
            <w:vAlign w:val="center"/>
          </w:tcPr>
          <w:p>
            <w:r/>
            <w:r>
              <w:rPr>
                <w:b w:val="0"/>
                <w:sz w:val="17"/>
              </w:rPr>
              <w:t>High</w:t>
            </w:r>
          </w:p>
        </w:tc>
        <w:tc>
          <w:tcPr>
            <w:tcW w:type="dxa" w:w="3408"/>
            <w:vAlign w:val="center"/>
          </w:tcPr>
          <w:p>
            <w:r/>
            <w:r>
              <w:rPr>
                <w:b w:val="0"/>
                <w:sz w:val="17"/>
              </w:rPr>
              <w:t>Strong partner value proposition + pilot</w:t>
            </w:r>
          </w:p>
        </w:tc>
      </w:tr>
      <w:tr>
        <w:tc>
          <w:tcPr>
            <w:tcW w:type="dxa" w:w="3408"/>
            <w:vAlign w:val="center"/>
          </w:tcPr>
          <w:p>
            <w:r/>
            <w:r>
              <w:rPr>
                <w:b w:val="0"/>
                <w:sz w:val="17"/>
              </w:rPr>
              <w:t>Low user adoption</w:t>
            </w:r>
          </w:p>
        </w:tc>
        <w:tc>
          <w:tcPr>
            <w:tcW w:type="dxa" w:w="3408"/>
            <w:vAlign w:val="center"/>
          </w:tcPr>
          <w:p>
            <w:r/>
            <w:r>
              <w:rPr>
                <w:b w:val="0"/>
                <w:sz w:val="17"/>
              </w:rPr>
              <w:t>High</w:t>
            </w:r>
          </w:p>
        </w:tc>
        <w:tc>
          <w:tcPr>
            <w:tcW w:type="dxa" w:w="3408"/>
            <w:vAlign w:val="center"/>
          </w:tcPr>
          <w:p>
            <w:r/>
            <w:r>
              <w:rPr>
                <w:b w:val="0"/>
                <w:sz w:val="17"/>
              </w:rPr>
              <w:t>Solve reliability, not just aggregation</w:t>
            </w:r>
          </w:p>
        </w:tc>
      </w:tr>
      <w:tr>
        <w:tc>
          <w:tcPr>
            <w:tcW w:type="dxa" w:w="3408"/>
            <w:vAlign w:val="center"/>
          </w:tcPr>
          <w:p>
            <w:r/>
            <w:r>
              <w:rPr>
                <w:b w:val="0"/>
                <w:sz w:val="17"/>
              </w:rPr>
              <w:t>Incorrect compatibility</w:t>
            </w:r>
          </w:p>
        </w:tc>
        <w:tc>
          <w:tcPr>
            <w:tcW w:type="dxa" w:w="3408"/>
            <w:vAlign w:val="center"/>
          </w:tcPr>
          <w:p>
            <w:r/>
            <w:r>
              <w:rPr>
                <w:b w:val="0"/>
                <w:sz w:val="17"/>
              </w:rPr>
              <w:t>High</w:t>
            </w:r>
          </w:p>
        </w:tc>
        <w:tc>
          <w:tcPr>
            <w:tcW w:type="dxa" w:w="3408"/>
            <w:vAlign w:val="center"/>
          </w:tcPr>
          <w:p>
            <w:r/>
            <w:r>
              <w:rPr>
                <w:b w:val="0"/>
                <w:sz w:val="17"/>
              </w:rPr>
              <w:t>Vehicle capability database + clear caveats</w:t>
            </w:r>
          </w:p>
        </w:tc>
      </w:tr>
      <w:tr>
        <w:tc>
          <w:tcPr>
            <w:tcW w:type="dxa" w:w="3408"/>
            <w:vAlign w:val="center"/>
          </w:tcPr>
          <w:p>
            <w:r/>
            <w:r>
              <w:rPr>
                <w:b w:val="0"/>
                <w:sz w:val="17"/>
              </w:rPr>
              <w:t>Data privacy</w:t>
            </w:r>
          </w:p>
        </w:tc>
        <w:tc>
          <w:tcPr>
            <w:tcW w:type="dxa" w:w="3408"/>
            <w:vAlign w:val="center"/>
          </w:tcPr>
          <w:p>
            <w:r/>
            <w:r>
              <w:rPr>
                <w:b w:val="0"/>
                <w:sz w:val="17"/>
              </w:rPr>
              <w:t>High</w:t>
            </w:r>
          </w:p>
        </w:tc>
        <w:tc>
          <w:tcPr>
            <w:tcW w:type="dxa" w:w="3408"/>
            <w:vAlign w:val="center"/>
          </w:tcPr>
          <w:p>
            <w:r/>
            <w:r>
              <w:rPr>
                <w:b w:val="0"/>
                <w:sz w:val="17"/>
              </w:rPr>
              <w:t>DPDP-aligned privacy/security design</w:t>
            </w:r>
          </w:p>
        </w:tc>
      </w:tr>
      <w:tr>
        <w:tc>
          <w:tcPr>
            <w:tcW w:type="dxa" w:w="3408"/>
            <w:vAlign w:val="center"/>
          </w:tcPr>
          <w:p>
            <w:r/>
            <w:r>
              <w:rPr>
                <w:b w:val="0"/>
                <w:sz w:val="17"/>
              </w:rPr>
              <w:t>Support complexity</w:t>
            </w:r>
          </w:p>
        </w:tc>
        <w:tc>
          <w:tcPr>
            <w:tcW w:type="dxa" w:w="3408"/>
            <w:vAlign w:val="center"/>
          </w:tcPr>
          <w:p>
            <w:r/>
            <w:r>
              <w:rPr>
                <w:b w:val="0"/>
                <w:sz w:val="17"/>
              </w:rPr>
              <w:t>Medium</w:t>
            </w:r>
          </w:p>
        </w:tc>
        <w:tc>
          <w:tcPr>
            <w:tcW w:type="dxa" w:w="3408"/>
            <w:vAlign w:val="center"/>
          </w:tcPr>
          <w:p>
            <w:r/>
            <w:r>
              <w:rPr>
                <w:b w:val="0"/>
                <w:sz w:val="17"/>
              </w:rPr>
              <w:t>Clear CPO responsibility matrix</w:t>
            </w:r>
          </w:p>
        </w:tc>
      </w:tr>
    </w:tbl>
    <w:p>
      <w:pPr>
        <w:pStyle w:val="Heading1"/>
      </w:pPr>
      <w:r>
        <w:t>39. Governance &amp; Decision Gates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7"/>
              </w:rPr>
              <w:t>Gate</w:t>
            </w:r>
          </w:p>
        </w:tc>
        <w:tc>
          <w:tcPr>
            <w:tcW w:type="dxa" w:w="5112"/>
            <w:vAlign w:val="center"/>
            <w:shd w:fill="DDEBF7"/>
          </w:tcPr>
          <w:p>
            <w:r/>
            <w:r>
              <w:rPr>
                <w:b/>
                <w:sz w:val="17"/>
              </w:rPr>
              <w:t>Decision</w:t>
            </w:r>
          </w:p>
        </w:tc>
      </w:tr>
      <w:tr>
        <w:tc>
          <w:tcPr>
            <w:tcW w:type="dxa" w:w="5112"/>
            <w:vAlign w:val="center"/>
          </w:tcPr>
          <w:p>
            <w:r/>
            <w:r>
              <w:rPr>
                <w:b w:val="0"/>
                <w:sz w:val="17"/>
              </w:rPr>
              <w:t>G0</w:t>
            </w:r>
          </w:p>
        </w:tc>
        <w:tc>
          <w:tcPr>
            <w:tcW w:type="dxa" w:w="5112"/>
            <w:vAlign w:val="center"/>
          </w:tcPr>
          <w:p>
            <w:r/>
            <w:r>
              <w:rPr>
                <w:b w:val="0"/>
                <w:sz w:val="17"/>
              </w:rPr>
              <w:t>Problem validated</w:t>
            </w:r>
          </w:p>
        </w:tc>
      </w:tr>
      <w:tr>
        <w:tc>
          <w:tcPr>
            <w:tcW w:type="dxa" w:w="5112"/>
            <w:vAlign w:val="center"/>
          </w:tcPr>
          <w:p>
            <w:r/>
            <w:r>
              <w:rPr>
                <w:b w:val="0"/>
                <w:sz w:val="17"/>
              </w:rPr>
              <w:t>G1</w:t>
            </w:r>
          </w:p>
        </w:tc>
        <w:tc>
          <w:tcPr>
            <w:tcW w:type="dxa" w:w="5112"/>
            <w:vAlign w:val="center"/>
          </w:tcPr>
          <w:p>
            <w:r/>
            <w:r>
              <w:rPr>
                <w:b w:val="0"/>
                <w:sz w:val="17"/>
              </w:rPr>
              <w:t>CPO partner feasibility validated</w:t>
            </w:r>
          </w:p>
        </w:tc>
      </w:tr>
      <w:tr>
        <w:tc>
          <w:tcPr>
            <w:tcW w:type="dxa" w:w="5112"/>
            <w:vAlign w:val="center"/>
          </w:tcPr>
          <w:p>
            <w:r/>
            <w:r>
              <w:rPr>
                <w:b w:val="0"/>
                <w:sz w:val="17"/>
              </w:rPr>
              <w:t>G2</w:t>
            </w:r>
          </w:p>
        </w:tc>
        <w:tc>
          <w:tcPr>
            <w:tcW w:type="dxa" w:w="5112"/>
            <w:vAlign w:val="center"/>
          </w:tcPr>
          <w:p>
            <w:r/>
            <w:r>
              <w:rPr>
                <w:b w:val="0"/>
                <w:sz w:val="17"/>
              </w:rPr>
              <w:t>Payment model legally/technically validated</w:t>
            </w:r>
          </w:p>
        </w:tc>
      </w:tr>
      <w:tr>
        <w:tc>
          <w:tcPr>
            <w:tcW w:type="dxa" w:w="5112"/>
            <w:vAlign w:val="center"/>
          </w:tcPr>
          <w:p>
            <w:r/>
            <w:r>
              <w:rPr>
                <w:b w:val="0"/>
                <w:sz w:val="17"/>
              </w:rPr>
              <w:t>G3</w:t>
            </w:r>
          </w:p>
        </w:tc>
        <w:tc>
          <w:tcPr>
            <w:tcW w:type="dxa" w:w="5112"/>
            <w:vAlign w:val="center"/>
          </w:tcPr>
          <w:p>
            <w:r/>
            <w:r>
              <w:rPr>
                <w:b w:val="0"/>
                <w:sz w:val="17"/>
              </w:rPr>
              <w:t>Prototype UX validated</w:t>
            </w:r>
          </w:p>
        </w:tc>
      </w:tr>
      <w:tr>
        <w:tc>
          <w:tcPr>
            <w:tcW w:type="dxa" w:w="5112"/>
            <w:vAlign w:val="center"/>
          </w:tcPr>
          <w:p>
            <w:r/>
            <w:r>
              <w:rPr>
                <w:b w:val="0"/>
                <w:sz w:val="17"/>
              </w:rPr>
              <w:t>G4</w:t>
            </w:r>
          </w:p>
        </w:tc>
        <w:tc>
          <w:tcPr>
            <w:tcW w:type="dxa" w:w="5112"/>
            <w:vAlign w:val="center"/>
          </w:tcPr>
          <w:p>
            <w:r/>
            <w:r>
              <w:rPr>
                <w:b w:val="0"/>
                <w:sz w:val="17"/>
              </w:rPr>
              <w:t>Sandbox integrations validated</w:t>
            </w:r>
          </w:p>
        </w:tc>
      </w:tr>
      <w:tr>
        <w:tc>
          <w:tcPr>
            <w:tcW w:type="dxa" w:w="5112"/>
            <w:vAlign w:val="center"/>
          </w:tcPr>
          <w:p>
            <w:r/>
            <w:r>
              <w:rPr>
                <w:b w:val="0"/>
                <w:sz w:val="17"/>
              </w:rPr>
              <w:t>G5</w:t>
            </w:r>
          </w:p>
        </w:tc>
        <w:tc>
          <w:tcPr>
            <w:tcW w:type="dxa" w:w="5112"/>
            <w:vAlign w:val="center"/>
          </w:tcPr>
          <w:p>
            <w:r/>
            <w:r>
              <w:rPr>
                <w:b w:val="0"/>
                <w:sz w:val="17"/>
              </w:rPr>
              <w:t>Pilot readiness</w:t>
            </w:r>
          </w:p>
        </w:tc>
      </w:tr>
      <w:tr>
        <w:tc>
          <w:tcPr>
            <w:tcW w:type="dxa" w:w="5112"/>
            <w:vAlign w:val="center"/>
          </w:tcPr>
          <w:p>
            <w:r/>
            <w:r>
              <w:rPr>
                <w:b w:val="0"/>
                <w:sz w:val="17"/>
              </w:rPr>
              <w:t>G6</w:t>
            </w:r>
          </w:p>
        </w:tc>
        <w:tc>
          <w:tcPr>
            <w:tcW w:type="dxa" w:w="5112"/>
            <w:vAlign w:val="center"/>
          </w:tcPr>
          <w:p>
            <w:r/>
            <w:r>
              <w:rPr>
                <w:b w:val="0"/>
                <w:sz w:val="17"/>
              </w:rPr>
              <w:t>Pilot success / scale decision</w:t>
            </w:r>
          </w:p>
        </w:tc>
      </w:tr>
    </w:tbl>
    <w:p>
      <w:pPr>
        <w:pStyle w:val="Heading1"/>
      </w:pPr>
      <w:r>
        <w:t>40. Product Principles — Non-Negotiable</w:t>
      </w:r>
    </w:p>
    <w:p>
      <w:pPr>
        <w:pStyle w:val="ListBullet"/>
      </w:pPr>
      <w:r>
        <w:t>Unknown must remain Unknown.</w:t>
      </w:r>
    </w:p>
    <w:p>
      <w:pPr>
        <w:pStyle w:val="ListBullet"/>
      </w:pPr>
      <w:r>
        <w:t>Station availability must not hide connector availability.</w:t>
      </w:r>
    </w:p>
    <w:p>
      <w:pPr>
        <w:pStyle w:val="ListBullet"/>
      </w:pPr>
      <w:r>
        <w:t>A successful API response must not automatically mean physical charging started.</w:t>
      </w:r>
    </w:p>
    <w:p>
      <w:pPr>
        <w:pStyle w:val="ListBullet"/>
      </w:pPr>
      <w:r>
        <w:t>Voltage is technical data, not a normal billing target.</w:t>
      </w:r>
    </w:p>
    <w:p>
      <w:pPr>
        <w:pStyle w:val="ListBullet"/>
      </w:pPr>
      <w:r>
        <w:t>Payment and charging session must be reconciled.</w:t>
      </w:r>
    </w:p>
    <w:p>
      <w:pPr>
        <w:pStyle w:val="ListBullet"/>
      </w:pPr>
      <w:r>
        <w:t>CPO failures must be isolated.</w:t>
      </w:r>
    </w:p>
    <w:p>
      <w:pPr>
        <w:pStyle w:val="ListBullet"/>
      </w:pPr>
      <w:r>
        <w:t>CPO-specific logic stays in the backend.</w:t>
      </w:r>
    </w:p>
    <w:p>
      <w:pPr>
        <w:pStyle w:val="ListBullet"/>
      </w:pPr>
      <w:r>
        <w:t>User should not need to understand CPO ownership to find a charger.</w:t>
      </w:r>
    </w:p>
    <w:p>
      <w:pPr>
        <w:pStyle w:val="ListBullet"/>
      </w:pPr>
      <w:r>
        <w:t>Reliability information must be transparent and explainable.</w:t>
      </w:r>
    </w:p>
    <w:p>
      <w:pPr>
        <w:pStyle w:val="ListBullet"/>
      </w:pPr>
      <w:r>
        <w:t>The product must never promise more data freshness than the CPO actually provides.</w:t>
      </w:r>
    </w:p>
    <w:p>
      <w:pPr>
        <w:pStyle w:val="Heading1"/>
      </w:pPr>
      <w:r>
        <w:t>41. Roadmap</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7"/>
              </w:rPr>
              <w:t>Phase</w:t>
            </w:r>
          </w:p>
        </w:tc>
        <w:tc>
          <w:tcPr>
            <w:tcW w:type="dxa" w:w="3408"/>
            <w:vAlign w:val="center"/>
            <w:shd w:fill="DDEBF7"/>
          </w:tcPr>
          <w:p>
            <w:r/>
            <w:r>
              <w:rPr>
                <w:b/>
                <w:sz w:val="17"/>
              </w:rPr>
              <w:t>Focus</w:t>
            </w:r>
          </w:p>
        </w:tc>
        <w:tc>
          <w:tcPr>
            <w:tcW w:type="dxa" w:w="3408"/>
            <w:vAlign w:val="center"/>
            <w:shd w:fill="DDEBF7"/>
          </w:tcPr>
          <w:p>
            <w:r/>
            <w:r>
              <w:rPr>
                <w:b/>
                <w:sz w:val="17"/>
              </w:rPr>
              <w:t>Outcome</w:t>
            </w:r>
          </w:p>
        </w:tc>
      </w:tr>
      <w:tr>
        <w:tc>
          <w:tcPr>
            <w:tcW w:type="dxa" w:w="3408"/>
            <w:vAlign w:val="center"/>
          </w:tcPr>
          <w:p>
            <w:r/>
            <w:r>
              <w:rPr>
                <w:b w:val="0"/>
                <w:sz w:val="17"/>
              </w:rPr>
              <w:t>Phase 0</w:t>
            </w:r>
          </w:p>
        </w:tc>
        <w:tc>
          <w:tcPr>
            <w:tcW w:type="dxa" w:w="3408"/>
            <w:vAlign w:val="center"/>
          </w:tcPr>
          <w:p>
            <w:r/>
            <w:r>
              <w:rPr>
                <w:b w:val="0"/>
                <w:sz w:val="17"/>
              </w:rPr>
              <w:t>Research + CPO outreach</w:t>
            </w:r>
          </w:p>
        </w:tc>
        <w:tc>
          <w:tcPr>
            <w:tcW w:type="dxa" w:w="3408"/>
            <w:vAlign w:val="center"/>
          </w:tcPr>
          <w:p>
            <w:r/>
            <w:r>
              <w:rPr>
                <w:b w:val="0"/>
                <w:sz w:val="17"/>
              </w:rPr>
              <w:t>Validate integration and commercial assumptions</w:t>
            </w:r>
          </w:p>
        </w:tc>
      </w:tr>
      <w:tr>
        <w:tc>
          <w:tcPr>
            <w:tcW w:type="dxa" w:w="3408"/>
            <w:vAlign w:val="center"/>
          </w:tcPr>
          <w:p>
            <w:r/>
            <w:r>
              <w:rPr>
                <w:b w:val="0"/>
                <w:sz w:val="17"/>
              </w:rPr>
              <w:t>Phase 1</w:t>
            </w:r>
          </w:p>
        </w:tc>
        <w:tc>
          <w:tcPr>
            <w:tcW w:type="dxa" w:w="3408"/>
            <w:vAlign w:val="center"/>
          </w:tcPr>
          <w:p>
            <w:r/>
            <w:r>
              <w:rPr>
                <w:b w:val="0"/>
                <w:sz w:val="17"/>
              </w:rPr>
              <w:t>MVP</w:t>
            </w:r>
          </w:p>
        </w:tc>
        <w:tc>
          <w:tcPr>
            <w:tcW w:type="dxa" w:w="3408"/>
            <w:vAlign w:val="center"/>
          </w:tcPr>
          <w:p>
            <w:r/>
            <w:r>
              <w:rPr>
                <w:b w:val="0"/>
                <w:sz w:val="17"/>
              </w:rPr>
              <w:t>3–5 CPO pilot + core charging journey</w:t>
            </w:r>
          </w:p>
        </w:tc>
      </w:tr>
      <w:tr>
        <w:tc>
          <w:tcPr>
            <w:tcW w:type="dxa" w:w="3408"/>
            <w:vAlign w:val="center"/>
          </w:tcPr>
          <w:p>
            <w:r/>
            <w:r>
              <w:rPr>
                <w:b w:val="0"/>
                <w:sz w:val="17"/>
              </w:rPr>
              <w:t>Phase 2</w:t>
            </w:r>
          </w:p>
        </w:tc>
        <w:tc>
          <w:tcPr>
            <w:tcW w:type="dxa" w:w="3408"/>
            <w:vAlign w:val="center"/>
          </w:tcPr>
          <w:p>
            <w:r/>
            <w:r>
              <w:rPr>
                <w:b w:val="0"/>
                <w:sz w:val="17"/>
              </w:rPr>
              <w:t>Scale</w:t>
            </w:r>
          </w:p>
        </w:tc>
        <w:tc>
          <w:tcPr>
            <w:tcW w:type="dxa" w:w="3408"/>
            <w:vAlign w:val="center"/>
          </w:tcPr>
          <w:p>
            <w:r/>
            <w:r>
              <w:rPr>
                <w:b w:val="0"/>
                <w:sz w:val="17"/>
              </w:rPr>
              <w:t>More CPOs + reliability + better payments</w:t>
            </w:r>
          </w:p>
        </w:tc>
      </w:tr>
      <w:tr>
        <w:tc>
          <w:tcPr>
            <w:tcW w:type="dxa" w:w="3408"/>
            <w:vAlign w:val="center"/>
          </w:tcPr>
          <w:p>
            <w:r/>
            <w:r>
              <w:rPr>
                <w:b w:val="0"/>
                <w:sz w:val="17"/>
              </w:rPr>
              <w:t>Phase 3</w:t>
            </w:r>
          </w:p>
        </w:tc>
        <w:tc>
          <w:tcPr>
            <w:tcW w:type="dxa" w:w="3408"/>
            <w:vAlign w:val="center"/>
          </w:tcPr>
          <w:p>
            <w:r/>
            <w:r>
              <w:rPr>
                <w:b w:val="0"/>
                <w:sz w:val="17"/>
              </w:rPr>
              <w:t>B2B/Fleet</w:t>
            </w:r>
          </w:p>
        </w:tc>
        <w:tc>
          <w:tcPr>
            <w:tcW w:type="dxa" w:w="3408"/>
            <w:vAlign w:val="center"/>
          </w:tcPr>
          <w:p>
            <w:r/>
            <w:r>
              <w:rPr>
                <w:b w:val="0"/>
                <w:sz w:val="17"/>
              </w:rPr>
              <w:t>Fleet controls + corporate billing</w:t>
            </w:r>
          </w:p>
        </w:tc>
      </w:tr>
      <w:tr>
        <w:tc>
          <w:tcPr>
            <w:tcW w:type="dxa" w:w="3408"/>
            <w:vAlign w:val="center"/>
          </w:tcPr>
          <w:p>
            <w:r/>
            <w:r>
              <w:rPr>
                <w:b w:val="0"/>
                <w:sz w:val="17"/>
              </w:rPr>
              <w:t>Phase 4</w:t>
            </w:r>
          </w:p>
        </w:tc>
        <w:tc>
          <w:tcPr>
            <w:tcW w:type="dxa" w:w="3408"/>
            <w:vAlign w:val="center"/>
          </w:tcPr>
          <w:p>
            <w:r/>
            <w:r>
              <w:rPr>
                <w:b w:val="0"/>
                <w:sz w:val="17"/>
              </w:rPr>
              <w:t>Advanced</w:t>
            </w:r>
          </w:p>
        </w:tc>
        <w:tc>
          <w:tcPr>
            <w:tcW w:type="dxa" w:w="3408"/>
            <w:vAlign w:val="center"/>
          </w:tcPr>
          <w:p>
            <w:r/>
            <w:r>
              <w:rPr>
                <w:b w:val="0"/>
                <w:sz w:val="17"/>
              </w:rPr>
              <w:t>Reservations, smart charging, deeper vehicle integrations</w:t>
            </w:r>
          </w:p>
        </w:tc>
      </w:tr>
    </w:tbl>
    <w:p>
      <w:pPr>
        <w:pStyle w:val="Heading1"/>
      </w:pPr>
      <w:r>
        <w:t>42. Suggested Team</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7"/>
              </w:rPr>
              <w:t>Role</w:t>
            </w:r>
          </w:p>
        </w:tc>
        <w:tc>
          <w:tcPr>
            <w:tcW w:type="dxa" w:w="5112"/>
            <w:vAlign w:val="center"/>
            <w:shd w:fill="DDEBF7"/>
          </w:tcPr>
          <w:p>
            <w:r/>
            <w:r>
              <w:rPr>
                <w:b/>
                <w:sz w:val="17"/>
              </w:rPr>
              <w:t>Initial Need</w:t>
            </w:r>
          </w:p>
        </w:tc>
      </w:tr>
      <w:tr>
        <w:tc>
          <w:tcPr>
            <w:tcW w:type="dxa" w:w="5112"/>
            <w:vAlign w:val="center"/>
          </w:tcPr>
          <w:p>
            <w:r/>
            <w:r>
              <w:rPr>
                <w:b w:val="0"/>
                <w:sz w:val="17"/>
              </w:rPr>
              <w:t>Product/Founder</w:t>
            </w:r>
          </w:p>
        </w:tc>
        <w:tc>
          <w:tcPr>
            <w:tcW w:type="dxa" w:w="5112"/>
            <w:vAlign w:val="center"/>
          </w:tcPr>
          <w:p>
            <w:r/>
            <w:r>
              <w:rPr>
                <w:b w:val="0"/>
                <w:sz w:val="17"/>
              </w:rPr>
              <w:t>1</w:t>
            </w:r>
          </w:p>
        </w:tc>
      </w:tr>
      <w:tr>
        <w:tc>
          <w:tcPr>
            <w:tcW w:type="dxa" w:w="5112"/>
            <w:vAlign w:val="center"/>
          </w:tcPr>
          <w:p>
            <w:r/>
            <w:r>
              <w:rPr>
                <w:b w:val="0"/>
                <w:sz w:val="17"/>
              </w:rPr>
              <w:t>Mobile engineers</w:t>
            </w:r>
          </w:p>
        </w:tc>
        <w:tc>
          <w:tcPr>
            <w:tcW w:type="dxa" w:w="5112"/>
            <w:vAlign w:val="center"/>
          </w:tcPr>
          <w:p>
            <w:r/>
            <w:r>
              <w:rPr>
                <w:b w:val="0"/>
                <w:sz w:val="17"/>
              </w:rPr>
              <w:t>2–3</w:t>
            </w:r>
          </w:p>
        </w:tc>
      </w:tr>
      <w:tr>
        <w:tc>
          <w:tcPr>
            <w:tcW w:type="dxa" w:w="5112"/>
            <w:vAlign w:val="center"/>
          </w:tcPr>
          <w:p>
            <w:r/>
            <w:r>
              <w:rPr>
                <w:b w:val="0"/>
                <w:sz w:val="17"/>
              </w:rPr>
              <w:t>Backend/integration engineers</w:t>
            </w:r>
          </w:p>
        </w:tc>
        <w:tc>
          <w:tcPr>
            <w:tcW w:type="dxa" w:w="5112"/>
            <w:vAlign w:val="center"/>
          </w:tcPr>
          <w:p>
            <w:r/>
            <w:r>
              <w:rPr>
                <w:b w:val="0"/>
                <w:sz w:val="17"/>
              </w:rPr>
              <w:t>2–3</w:t>
            </w:r>
          </w:p>
        </w:tc>
      </w:tr>
      <w:tr>
        <w:tc>
          <w:tcPr>
            <w:tcW w:type="dxa" w:w="5112"/>
            <w:vAlign w:val="center"/>
          </w:tcPr>
          <w:p>
            <w:r/>
            <w:r>
              <w:rPr>
                <w:b w:val="0"/>
                <w:sz w:val="17"/>
              </w:rPr>
              <w:t>UI/UX designer</w:t>
            </w:r>
          </w:p>
        </w:tc>
        <w:tc>
          <w:tcPr>
            <w:tcW w:type="dxa" w:w="5112"/>
            <w:vAlign w:val="center"/>
          </w:tcPr>
          <w:p>
            <w:r/>
            <w:r>
              <w:rPr>
                <w:b w:val="0"/>
                <w:sz w:val="17"/>
              </w:rPr>
              <w:t>1</w:t>
            </w:r>
          </w:p>
        </w:tc>
      </w:tr>
      <w:tr>
        <w:tc>
          <w:tcPr>
            <w:tcW w:type="dxa" w:w="5112"/>
            <w:vAlign w:val="center"/>
          </w:tcPr>
          <w:p>
            <w:r/>
            <w:r>
              <w:rPr>
                <w:b w:val="0"/>
                <w:sz w:val="17"/>
              </w:rPr>
              <w:t>QA/API/Performance</w:t>
            </w:r>
          </w:p>
        </w:tc>
        <w:tc>
          <w:tcPr>
            <w:tcW w:type="dxa" w:w="5112"/>
            <w:vAlign w:val="center"/>
          </w:tcPr>
          <w:p>
            <w:r/>
            <w:r>
              <w:rPr>
                <w:b w:val="0"/>
                <w:sz w:val="17"/>
              </w:rPr>
              <w:t>1–2</w:t>
            </w:r>
          </w:p>
        </w:tc>
      </w:tr>
      <w:tr>
        <w:tc>
          <w:tcPr>
            <w:tcW w:type="dxa" w:w="5112"/>
            <w:vAlign w:val="center"/>
          </w:tcPr>
          <w:p>
            <w:r/>
            <w:r>
              <w:rPr>
                <w:b w:val="0"/>
                <w:sz w:val="17"/>
              </w:rPr>
              <w:t>DevOps/Cloud</w:t>
            </w:r>
          </w:p>
        </w:tc>
        <w:tc>
          <w:tcPr>
            <w:tcW w:type="dxa" w:w="5112"/>
            <w:vAlign w:val="center"/>
          </w:tcPr>
          <w:p>
            <w:r/>
            <w:r>
              <w:rPr>
                <w:b w:val="0"/>
                <w:sz w:val="17"/>
              </w:rPr>
              <w:t>0.5–1</w:t>
            </w:r>
          </w:p>
        </w:tc>
      </w:tr>
      <w:tr>
        <w:tc>
          <w:tcPr>
            <w:tcW w:type="dxa" w:w="5112"/>
            <w:vAlign w:val="center"/>
          </w:tcPr>
          <w:p>
            <w:r/>
            <w:r>
              <w:rPr>
                <w:b w:val="0"/>
                <w:sz w:val="17"/>
              </w:rPr>
              <w:t>CPO partnership lead</w:t>
            </w:r>
          </w:p>
        </w:tc>
        <w:tc>
          <w:tcPr>
            <w:tcW w:type="dxa" w:w="5112"/>
            <w:vAlign w:val="center"/>
          </w:tcPr>
          <w:p>
            <w:r/>
            <w:r>
              <w:rPr>
                <w:b w:val="0"/>
                <w:sz w:val="17"/>
              </w:rPr>
              <w:t>1</w:t>
            </w:r>
          </w:p>
        </w:tc>
      </w:tr>
      <w:tr>
        <w:tc>
          <w:tcPr>
            <w:tcW w:type="dxa" w:w="5112"/>
            <w:vAlign w:val="center"/>
          </w:tcPr>
          <w:p>
            <w:r/>
            <w:r>
              <w:rPr>
                <w:b w:val="0"/>
                <w:sz w:val="17"/>
              </w:rPr>
              <w:t>Operations/support</w:t>
            </w:r>
          </w:p>
        </w:tc>
        <w:tc>
          <w:tcPr>
            <w:tcW w:type="dxa" w:w="5112"/>
            <w:vAlign w:val="center"/>
          </w:tcPr>
          <w:p>
            <w:r/>
            <w:r>
              <w:rPr>
                <w:b w:val="0"/>
                <w:sz w:val="17"/>
              </w:rPr>
              <w:t>1–2</w:t>
            </w:r>
          </w:p>
        </w:tc>
      </w:tr>
      <w:tr>
        <w:tc>
          <w:tcPr>
            <w:tcW w:type="dxa" w:w="5112"/>
            <w:vAlign w:val="center"/>
          </w:tcPr>
          <w:p>
            <w:r/>
            <w:r>
              <w:rPr>
                <w:b w:val="0"/>
                <w:sz w:val="17"/>
              </w:rPr>
              <w:t>Legal/payment advisor</w:t>
            </w:r>
          </w:p>
        </w:tc>
        <w:tc>
          <w:tcPr>
            <w:tcW w:type="dxa" w:w="5112"/>
            <w:vAlign w:val="center"/>
          </w:tcPr>
          <w:p>
            <w:r/>
            <w:r>
              <w:rPr>
                <w:b w:val="0"/>
                <w:sz w:val="17"/>
              </w:rPr>
              <w:t>External/part-time</w:t>
            </w:r>
          </w:p>
        </w:tc>
      </w:tr>
    </w:tbl>
    <w:p>
      <w:pPr>
        <w:pStyle w:val="Heading1"/>
      </w:pPr>
      <w:r>
        <w:t>43. Concept-Level Technology Direction</w:t>
      </w:r>
    </w:p>
    <w:p>
      <w:r>
        <w:rPr>
          <w:b w:val="0"/>
        </w:rPr>
        <w:t>The exact technology stack should be finalized in the Technical Architecture document after the MVP integration constraints are confirmed. The architecture should support a single cross-platform mobile codebase, a web admin application, API-first backend services, geospatial search, event processing, CPO adapters, payment orchestration and reconciliation.</w:t>
      </w:r>
    </w:p>
    <w:p>
      <w:r>
        <w:rPr>
          <w:b w:val="0"/>
        </w:rPr>
        <w:t>The key decision is not a specific programming language. The key decision is that the mobile app must remain independent of CPO-specific APIs.</w:t>
      </w:r>
    </w:p>
    <w:p>
      <w:pPr>
        <w:pStyle w:val="Heading1"/>
      </w:pPr>
      <w:r>
        <w:t>44. Legal &amp; Compliance Workstream</w:t>
      </w:r>
    </w:p>
    <w:p>
      <w:r>
        <w:rPr>
          <w:b w:val="0"/>
        </w:rPr>
        <w:t>This concept note is not legal advice. Before production launch, ChargeMesh should obtain professional advice covering:</w:t>
      </w:r>
    </w:p>
    <w:p>
      <w:pPr>
        <w:pStyle w:val="ListBullet"/>
      </w:pPr>
      <w:r>
        <w:t>Company structure and contracts.</w:t>
      </w:r>
    </w:p>
    <w:p>
      <w:pPr>
        <w:pStyle w:val="ListBullet"/>
      </w:pPr>
      <w:r>
        <w:t>CPO agreements.</w:t>
      </w:r>
    </w:p>
    <w:p>
      <w:pPr>
        <w:pStyle w:val="ListBullet"/>
      </w:pPr>
      <w:r>
        <w:t>Payment-provider agreements.</w:t>
      </w:r>
    </w:p>
    <w:p>
      <w:pPr>
        <w:pStyle w:val="ListBullet"/>
      </w:pPr>
      <w:r>
        <w:t>Whether any proposed wallet model triggers PPI/payment-system requirements.</w:t>
      </w:r>
    </w:p>
    <w:p>
      <w:pPr>
        <w:pStyle w:val="ListBullet"/>
      </w:pPr>
      <w:r>
        <w:t>Consumer terms.</w:t>
      </w:r>
    </w:p>
    <w:p>
      <w:pPr>
        <w:pStyle w:val="ListBullet"/>
      </w:pPr>
      <w:r>
        <w:t>Privacy notice and consent.</w:t>
      </w:r>
    </w:p>
    <w:p>
      <w:pPr>
        <w:pStyle w:val="ListBullet"/>
      </w:pPr>
      <w:r>
        <w:t>DPDP compliance responsibilities.</w:t>
      </w:r>
    </w:p>
    <w:p>
      <w:pPr>
        <w:pStyle w:val="ListBullet"/>
      </w:pPr>
      <w:r>
        <w:t>Refund and dispute policy.</w:t>
      </w:r>
    </w:p>
    <w:p>
      <w:pPr>
        <w:pStyle w:val="ListBullet"/>
      </w:pPr>
      <w:r>
        <w:t>Tax/GST treatment.</w:t>
      </w:r>
    </w:p>
    <w:p>
      <w:pPr>
        <w:pStyle w:val="ListBullet"/>
      </w:pPr>
      <w:r>
        <w:t>Data retention.</w:t>
      </w:r>
    </w:p>
    <w:p>
      <w:pPr>
        <w:pStyle w:val="ListBullet"/>
      </w:pPr>
      <w:r>
        <w:t>Cybersecurity obligations.</w:t>
      </w:r>
    </w:p>
    <w:p>
      <w:pPr>
        <w:pStyle w:val="ListBullet"/>
      </w:pPr>
      <w:r>
        <w:t>Insurance and liability boundaries.</w:t>
      </w:r>
    </w:p>
    <w:p>
      <w:pPr>
        <w:pStyle w:val="Heading1"/>
      </w:pPr>
      <w:r>
        <w:t>45. Official Reference Basis</w:t>
      </w:r>
    </w:p>
    <w:p>
      <w:r>
        <w:rPr>
          <w:b w:val="0"/>
        </w:rPr>
        <w:t>1. Ministry of Power, Government of India — Guidelines for Installation and Operation of Electric Vehicle Charging Infrastructure-2024. The guidelines cover manufacturers, owners and operators of EV charging infrastructure across private, semi-restricted, public and highway/expressway contexts. citeturn0search49</w:t>
      </w:r>
    </w:p>
    <w:p>
      <w:r>
        <w:rPr>
          <w:b w:val="0"/>
        </w:rPr>
        <w:t>2. EVRoaming Foundation — OCPI. OCPI connects eMobility Service Providers and CPOs; the Foundation identifies 2.3.0 as the current version and describes modules including locations, tariffs, sessions, remote tools, direct payment and optional booking. citeturn0search8turn0search3</w:t>
      </w:r>
    </w:p>
    <w:p>
      <w:r>
        <w:rPr>
          <w:b w:val="0"/>
        </w:rPr>
        <w:t>3. Reserve Bank of India — Master Directions on Prepaid Payment Instruments. PPIs are regulated payment instruments, and the framework applies to PPI issuers and system participants. citeturn0search2turn0search7</w:t>
      </w:r>
    </w:p>
    <w:p>
      <w:r>
        <w:rPr>
          <w:b w:val="0"/>
        </w:rPr>
        <w:t>4. MeitY — Digital Personal Data Protection Rules, 2025. The Rules were published on 14 November 2025 and include an enforcement timeline. citeturn0search0turn0search48</w:t>
      </w:r>
    </w:p>
    <w:p>
      <w:pPr>
        <w:pStyle w:val="Heading1"/>
      </w:pPr>
      <w:r>
        <w:t>46. Final Concept Statement</w:t>
      </w:r>
    </w:p>
    <w:p>
      <w:r>
        <w:rPr>
          <w:b w:val="0"/>
        </w:rPr>
        <w:t>ChargeMesh is building a unified EV charging experience for a fragmented charging ecosystem. Instead of forcing drivers to learn which app belongs to which charger, ChargeMesh organizes the ecosystem around the driver's real decision: find a compatible charger, verify that it is actually usable, understand the cost and speed, start charging, pay through a consistent experience, and keep one trusted record of the session.</w:t>
      </w:r>
    </w:p>
    <w:p>
      <w:r>
        <w:rPr>
          <w:b w:val="0"/>
        </w:rPr>
        <w:t>The platform's long-term value is not simply the number of chargers displayed on a map. Its value is the reliability of the decision and the simplicity of the action.</w:t>
      </w:r>
    </w:p>
    <w:p>
      <w:r>
        <w:rPr>
          <w:b w:val="0"/>
        </w:rPr>
        <w:t>The strongest ChargeMesh positioning is therefore:</w:t>
      </w:r>
    </w:p>
    <w:p>
      <w:pPr>
        <w:jc w:val="center"/>
      </w:pPr>
      <w:r>
        <w:rPr>
          <w:b/>
        </w:rPr>
        <w:t>ONE APP. MULTIPLE NETWORKS. VERIFIED CHARGERS. ONE CHARGING EXPERIENCE.</w:t>
      </w:r>
    </w:p>
    <w:p>
      <w:pPr>
        <w:pStyle w:val="Heading1"/>
      </w:pPr>
      <w:r>
        <w:t>47. Version 3.0 Acceptance Checklist</w:t>
      </w:r>
    </w:p>
    <w:p>
      <w:pPr>
        <w:pStyle w:val="ListBullet"/>
      </w:pPr>
      <w:r>
        <w:t>Problem statement is clear.</w:t>
      </w:r>
    </w:p>
    <w:p>
      <w:pPr>
        <w:pStyle w:val="ListBullet"/>
      </w:pPr>
      <w:r>
        <w:t>10 core problems are documented with examples.</w:t>
      </w:r>
    </w:p>
    <w:p>
      <w:pPr>
        <w:pStyle w:val="ListBullet"/>
      </w:pPr>
      <w:r>
        <w:t>Solution is mapped to each problem.</w:t>
      </w:r>
    </w:p>
    <w:p>
      <w:pPr>
        <w:pStyle w:val="ListBullet"/>
      </w:pPr>
      <w:r>
        <w:t>Station/EVSE/connector distinction is documented.</w:t>
      </w:r>
    </w:p>
    <w:p>
      <w:pPr>
        <w:pStyle w:val="ListBullet"/>
      </w:pPr>
      <w:r>
        <w:t>Availability states are defined.</w:t>
      </w:r>
    </w:p>
    <w:p>
      <w:pPr>
        <w:pStyle w:val="ListBullet"/>
      </w:pPr>
      <w:r>
        <w:t>Unknown and Stale states are defined.</w:t>
      </w:r>
    </w:p>
    <w:p>
      <w:pPr>
        <w:pStyle w:val="ListBullet"/>
      </w:pPr>
      <w:r>
        <w:t>Data freshness is defined.</w:t>
      </w:r>
    </w:p>
    <w:p>
      <w:pPr>
        <w:pStyle w:val="ListBullet"/>
      </w:pPr>
      <w:r>
        <w:t>Reliability concept is defined.</w:t>
      </w:r>
    </w:p>
    <w:p>
      <w:pPr>
        <w:pStyle w:val="ListBullet"/>
      </w:pPr>
      <w:r>
        <w:t>Vehicle compatibility is defined.</w:t>
      </w:r>
    </w:p>
    <w:p>
      <w:pPr>
        <w:pStyle w:val="ListBullet"/>
      </w:pPr>
      <w:r>
        <w:t>Amount/Time/kWh charging targets are defined.</w:t>
      </w:r>
    </w:p>
    <w:p>
      <w:pPr>
        <w:pStyle w:val="ListBullet"/>
      </w:pPr>
      <w:r>
        <w:t>Voltage is correctly positioned as technical data.</w:t>
      </w:r>
    </w:p>
    <w:p>
      <w:pPr>
        <w:pStyle w:val="ListBullet"/>
      </w:pPr>
      <w:r>
        <w:t>Find &amp; Charge is defined.</w:t>
      </w:r>
    </w:p>
    <w:p>
      <w:pPr>
        <w:pStyle w:val="ListBullet"/>
      </w:pPr>
      <w:r>
        <w:t>Scan &amp; Charge is defined.</w:t>
      </w:r>
    </w:p>
    <w:p>
      <w:pPr>
        <w:pStyle w:val="ListBullet"/>
      </w:pPr>
      <w:r>
        <w:t>Payment architecture is defined at concept level.</w:t>
      </w:r>
    </w:p>
    <w:p>
      <w:pPr>
        <w:pStyle w:val="ListBullet"/>
      </w:pPr>
      <w:r>
        <w:t>Wallet regulatory risk is documented.</w:t>
      </w:r>
    </w:p>
    <w:p>
      <w:pPr>
        <w:pStyle w:val="ListBullet"/>
      </w:pPr>
      <w:r>
        <w:t>CPO integration strategy is defined.</w:t>
      </w:r>
    </w:p>
    <w:p>
      <w:pPr>
        <w:pStyle w:val="ListBullet"/>
      </w:pPr>
      <w:r>
        <w:t>OCPI strategy is defined.</w:t>
      </w:r>
    </w:p>
    <w:p>
      <w:pPr>
        <w:pStyle w:val="ListBullet"/>
      </w:pPr>
      <w:r>
        <w:t>CDR/payment/session reconciliation is defined.</w:t>
      </w:r>
    </w:p>
    <w:p>
      <w:pPr>
        <w:pStyle w:val="ListBullet"/>
      </w:pPr>
      <w:r>
        <w:t>Admin scope is defined.</w:t>
      </w:r>
    </w:p>
    <w:p>
      <w:pPr>
        <w:pStyle w:val="ListBullet"/>
      </w:pPr>
      <w:r>
        <w:t>MVP and out-of-scope items are defined.</w:t>
      </w:r>
    </w:p>
    <w:p>
      <w:pPr>
        <w:pStyle w:val="ListBullet"/>
      </w:pPr>
      <w:r>
        <w:t>Pilot strategy is defined.</w:t>
      </w:r>
    </w:p>
    <w:p>
      <w:pPr>
        <w:pStyle w:val="ListBullet"/>
      </w:pPr>
      <w:r>
        <w:t>KPIs are defined.</w:t>
      </w:r>
    </w:p>
    <w:p>
      <w:pPr>
        <w:pStyle w:val="ListBullet"/>
      </w:pPr>
      <w:r>
        <w:t>Risks are defined.</w:t>
      </w:r>
    </w:p>
    <w:p>
      <w:pPr>
        <w:pStyle w:val="ListBullet"/>
      </w:pPr>
      <w:r>
        <w:t>Legal/compliance workstream is defined.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ChargeMesh | CM-DOC-01 | Concept Note v3.0 | Detailed Working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