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2"/>
        </w:rPr>
        <w:t>CHARGEMESH</w:t>
      </w:r>
    </w:p>
    <w:p>
      <w:pPr>
        <w:jc w:val="center"/>
      </w:pPr>
      <w:r>
        <w:rPr>
          <w:b/>
          <w:sz w:val="42"/>
        </w:rPr>
        <w:t>LEGAL, COMPLIANCE &amp; CONTRACTS FRAMEWORK</w:t>
      </w:r>
    </w:p>
    <w:p>
      <w:pPr>
        <w:jc w:val="center"/>
      </w:pPr>
      <w:r>
        <w:rPr>
          <w:b w:val="0"/>
        </w:rPr>
        <w:t>Startup Legal Master Document — India | Product, Payments, Data, CPO &amp; Operations</w:t>
      </w:r>
    </w:p>
    <w:p>
      <w:pPr>
        <w:jc w:val="center"/>
      </w:pPr>
      <w:r>
        <w:rPr>
          <w:b w:val="0"/>
        </w:rPr>
        <w:t>Document 06 | Version 3.0 | August 2026</w:t>
      </w:r>
    </w:p>
    <w:p>
      <w:pPr>
        <w:jc w:val="center"/>
      </w:pPr>
      <w:r>
        <w:rPr>
          <w:b/>
        </w:rPr>
        <w:t>Legal-planning framework; final documents and regulatory positions must be reviewed by qualified Indian counsel.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</w:t>
            </w:r>
          </w:p>
        </w:tc>
        <w:tc>
          <w:tcPr>
            <w:tcW w:type="dxa" w:w="5112"/>
            <w:vAlign w:val="center"/>
          </w:tcPr>
          <w:p>
            <w:r>
              <w:t>ChargeMesh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 ID</w:t>
            </w:r>
          </w:p>
        </w:tc>
        <w:tc>
          <w:tcPr>
            <w:tcW w:type="dxa" w:w="5112"/>
            <w:vAlign w:val="center"/>
          </w:tcPr>
          <w:p>
            <w:r>
              <w:t>CM-DOC-06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3.0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Scope</w:t>
            </w:r>
          </w:p>
        </w:tc>
        <w:tc>
          <w:tcPr>
            <w:tcW w:type="dxa" w:w="5112"/>
            <w:vAlign w:val="center"/>
          </w:tcPr>
          <w:p>
            <w:r>
              <w:t>India-first EV charging aggregation / e-mobility platform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Platforms</w:t>
            </w:r>
          </w:p>
        </w:tc>
        <w:tc>
          <w:tcPr>
            <w:tcW w:type="dxa" w:w="5112"/>
            <w:vAlign w:val="center"/>
          </w:tcPr>
          <w:p>
            <w:r>
              <w:t>Android + iOS consumer app; web administration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Core partners</w:t>
            </w:r>
          </w:p>
        </w:tc>
        <w:tc>
          <w:tcPr>
            <w:tcW w:type="dxa" w:w="5112"/>
            <w:vAlign w:val="center"/>
          </w:tcPr>
          <w:p>
            <w:r>
              <w:t>CPOs, payment providers, technology vendors, map providers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Legal posture</w:t>
            </w:r>
          </w:p>
        </w:tc>
        <w:tc>
          <w:tcPr>
            <w:tcW w:type="dxa" w:w="5112"/>
            <w:vAlign w:val="center"/>
          </w:tcPr>
          <w:p>
            <w:r>
              <w:t>Planning framework, not legal advice</w:t>
            </w:r>
          </w:p>
        </w:tc>
      </w:tr>
    </w:tbl>
    <w:p>
      <w:pPr>
        <w:pStyle w:val="Heading1"/>
      </w:pPr>
      <w:r>
        <w:t>1. Executive Legal Position</w:t>
      </w:r>
    </w:p>
    <w:p>
      <w:pPr>
        <w:jc w:val="left"/>
      </w:pPr>
      <w:r>
        <w:rPr>
          <w:b w:val="0"/>
        </w:rPr>
        <w:t>ChargeMesh is intended to provide a unified digital experience for discovering EV charging stations, checking availability, selecting connectors, initiating charging where supported, paying for charging, and maintaining charging history across participating CPO networks.</w:t>
      </w:r>
    </w:p>
    <w:p>
      <w:pPr>
        <w:jc w:val="left"/>
      </w:pPr>
      <w:r>
        <w:rPr>
          <w:b w:val="0"/>
        </w:rPr>
        <w:t>The legal structure must separate ChargeMesh's software/interoperability role, the CPO's physical charging responsibility, the payment provider's regulated role, and the user's contractual relationship.</w:t>
      </w:r>
    </w:p>
    <w:p>
      <w:pPr>
        <w:jc w:val="left"/>
      </w:pPr>
      <w:r>
        <w:rPr>
          <w:b w:val="0"/>
        </w:rPr>
        <w:t>Critical payment point: if ChargeMesh stores customer money and lets users spend that stored value across third-party CPOs, the structure may implicate RBI's Prepaid Payment Instrument/payment-system framework. RBI states that entities cannot set up and operate payment systems for PPIs without prior approval/authorisation. citeturn0search0turn0search1</w:t>
      </w:r>
    </w:p>
    <w:p>
      <w:pPr>
        <w:jc w:val="left"/>
      </w:pPr>
      <w:r>
        <w:rPr>
          <w:b w:val="0"/>
        </w:rPr>
        <w:t>Recommended MVP: use a suitable regulated payment provider and do not launch a true stored-value multi-CPO wallet without a formal legal/regulatory assessment.</w:t>
      </w:r>
    </w:p>
    <w:p>
      <w:pPr>
        <w:pStyle w:val="Heading1"/>
      </w:pPr>
      <w:r>
        <w:t>2. Legal Disclaimer &amp; Counsel Gate</w:t>
      </w:r>
    </w:p>
    <w:p>
      <w:pPr>
        <w:jc w:val="left"/>
      </w:pPr>
      <w:r>
        <w:rPr>
          <w:b w:val="0"/>
        </w:rPr>
        <w:t>This document is a planning framework, not legal advice. Laws, RBI directions, tax rules, EV charging requirements, data-protection implementation dates and platform policies can change. Indian counsel must validate the final structure before production.</w:t>
      </w:r>
    </w:p>
    <w:p>
      <w:pPr>
        <w:pStyle w:val="Heading1"/>
      </w:pPr>
      <w:r>
        <w:t>3. Corporate Setup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408"/>
            <w:shd w:fill="DDEBF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408"/>
            <w:shd w:fill="DDEB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Indian operating entity</w:t>
            </w:r>
          </w:p>
        </w:tc>
        <w:tc>
          <w:tcPr>
            <w:tcW w:type="dxa" w:w="3408"/>
            <w:vAlign w:val="center"/>
          </w:tcPr>
          <w:p>
            <w:r>
              <w:t>Incorporate suitable structure, typically Private Limited for venture-backed startup</w:t>
            </w:r>
          </w:p>
        </w:tc>
        <w:tc>
          <w:tcPr>
            <w:tcW w:type="dxa" w:w="3408"/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t>PAN/TAN</w:t>
            </w:r>
          </w:p>
        </w:tc>
        <w:tc>
          <w:tcPr>
            <w:tcW w:type="dxa" w:w="3408"/>
            <w:vAlign w:val="center"/>
          </w:tcPr>
          <w:p>
            <w:r>
              <w:t>Obtain as applicable</w:t>
            </w:r>
          </w:p>
        </w:tc>
        <w:tc>
          <w:tcPr>
            <w:tcW w:type="dxa" w:w="3408"/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t>GST</w:t>
            </w:r>
          </w:p>
        </w:tc>
        <w:tc>
          <w:tcPr>
            <w:tcW w:type="dxa" w:w="3408"/>
            <w:vAlign w:val="center"/>
          </w:tcPr>
          <w:p>
            <w:r>
              <w:t>Assess registration and tax treatment</w:t>
            </w:r>
          </w:p>
        </w:tc>
        <w:tc>
          <w:tcPr>
            <w:tcW w:type="dxa" w:w="3408"/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Company bank account</w:t>
            </w:r>
          </w:p>
        </w:tc>
        <w:tc>
          <w:tcPr>
            <w:tcW w:type="dxa" w:w="3408"/>
            <w:vAlign w:val="center"/>
          </w:tcPr>
          <w:p>
            <w:r>
              <w:t>Dedicated business banking</w:t>
            </w:r>
          </w:p>
        </w:tc>
        <w:tc>
          <w:tcPr>
            <w:tcW w:type="dxa" w:w="3408"/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Accounting/statutory records</w:t>
            </w:r>
          </w:p>
        </w:tc>
        <w:tc>
          <w:tcPr>
            <w:tcW w:type="dxa" w:w="3408"/>
            <w:vAlign w:val="center"/>
          </w:tcPr>
          <w:p>
            <w:r>
              <w:t>Maintain corporate records</w:t>
            </w:r>
          </w:p>
        </w:tc>
        <w:tc>
          <w:tcPr>
            <w:tcW w:type="dxa" w:w="3408"/>
            <w:vAlign w:val="center"/>
          </w:tcPr>
          <w:p>
            <w: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Startup registrations</w:t>
            </w:r>
          </w:p>
        </w:tc>
        <w:tc>
          <w:tcPr>
            <w:tcW w:type="dxa" w:w="3408"/>
            <w:vAlign w:val="center"/>
          </w:tcPr>
          <w:p>
            <w:r>
              <w:t>Assess DPIIT/Startup India eligibility</w:t>
            </w:r>
          </w:p>
        </w:tc>
        <w:tc>
          <w:tcPr>
            <w:tcW w:type="dxa" w:w="3408"/>
            <w:vAlign w:val="center"/>
          </w:tcPr>
          <w:p>
            <w: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State registrations</w:t>
            </w:r>
          </w:p>
        </w:tc>
        <w:tc>
          <w:tcPr>
            <w:tcW w:type="dxa" w:w="3408"/>
            <w:vAlign w:val="center"/>
          </w:tcPr>
          <w:p>
            <w:r>
              <w:t>Assess office/employment requirements</w:t>
            </w:r>
          </w:p>
        </w:tc>
        <w:tc>
          <w:tcPr>
            <w:tcW w:type="dxa" w:w="3408"/>
            <w:vAlign w:val="center"/>
          </w:tcPr>
          <w:p>
            <w:r>
              <w:t>P1</w:t>
            </w:r>
          </w:p>
        </w:tc>
      </w:tr>
    </w:tbl>
    <w:p>
      <w:pPr>
        <w:pStyle w:val="Heading1"/>
      </w:pPr>
      <w:r>
        <w:t>4. Founder &amp; Ownership Documents</w:t>
      </w:r>
    </w:p>
    <w:p>
      <w:pPr>
        <w:pStyle w:val="ListBullet"/>
      </w:pPr>
      <w:r>
        <w:t>Founders' Agreement</w:t>
      </w:r>
    </w:p>
    <w:p>
      <w:pPr>
        <w:pStyle w:val="ListBullet"/>
      </w:pPr>
      <w:r>
        <w:t>Shareholding/cap table</w:t>
      </w:r>
    </w:p>
    <w:p>
      <w:pPr>
        <w:pStyle w:val="ListBullet"/>
      </w:pPr>
      <w:r>
        <w:t>Founder vesting and transfer restrictions</w:t>
      </w:r>
    </w:p>
    <w:p>
      <w:pPr>
        <w:pStyle w:val="ListBullet"/>
      </w:pPr>
      <w:r>
        <w:t>Roles and decision rights</w:t>
      </w:r>
    </w:p>
    <w:p>
      <w:pPr>
        <w:pStyle w:val="ListBullet"/>
      </w:pPr>
      <w:r>
        <w:t>IP assignment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Founder exit/deadlock provisions</w:t>
      </w:r>
    </w:p>
    <w:p>
      <w:pPr>
        <w:pStyle w:val="ListBullet"/>
      </w:pPr>
      <w:r>
        <w:t>Future fundraising/dilution framework</w:t>
      </w:r>
    </w:p>
    <w:p>
      <w:pPr>
        <w:pStyle w:val="ListBullet"/>
      </w:pPr>
      <w:r>
        <w:t>Dispute resolution</w:t>
      </w:r>
    </w:p>
    <w:p>
      <w:pPr>
        <w:pStyle w:val="Heading1"/>
      </w:pPr>
      <w:r>
        <w:t>5. Intellectual Property</w:t>
      </w:r>
    </w:p>
    <w:p>
      <w:pPr>
        <w:pStyle w:val="ListBullet"/>
      </w:pPr>
      <w:r>
        <w:t>ChargeMesh name/logo and brand assets</w:t>
      </w:r>
    </w:p>
    <w:p>
      <w:pPr>
        <w:pStyle w:val="ListBullet"/>
      </w:pPr>
      <w:r>
        <w:t>Mobile apps and backend code</w:t>
      </w:r>
    </w:p>
    <w:p>
      <w:pPr>
        <w:pStyle w:val="ListBullet"/>
      </w:pPr>
      <w:r>
        <w:t>Admin portal</w:t>
      </w:r>
    </w:p>
    <w:p>
      <w:pPr>
        <w:pStyle w:val="ListBullet"/>
      </w:pPr>
      <w:r>
        <w:t>API/integration adapters</w:t>
      </w:r>
    </w:p>
    <w:p>
      <w:pPr>
        <w:pStyle w:val="ListBullet"/>
      </w:pPr>
      <w:r>
        <w:t>Canonical CPO data model</w:t>
      </w:r>
    </w:p>
    <w:p>
      <w:pPr>
        <w:pStyle w:val="ListBullet"/>
      </w:pPr>
      <w:r>
        <w:t>Availability/status normalization</w:t>
      </w:r>
    </w:p>
    <w:p>
      <w:pPr>
        <w:pStyle w:val="ListBullet"/>
      </w:pPr>
      <w:r>
        <w:t>Vehicle compatibility logic</w:t>
      </w:r>
    </w:p>
    <w:p>
      <w:pPr>
        <w:pStyle w:val="ListBullet"/>
      </w:pPr>
      <w:r>
        <w:t>Payment/session orchestration</w:t>
      </w:r>
    </w:p>
    <w:p>
      <w:pPr>
        <w:pStyle w:val="ListBullet"/>
      </w:pPr>
      <w:r>
        <w:t>UI/UX designs</w:t>
      </w:r>
    </w:p>
    <w:p>
      <w:pPr>
        <w:pStyle w:val="ListBullet"/>
      </w:pPr>
      <w:r>
        <w:t>Documentation and proprietary datasets</w:t>
      </w:r>
    </w:p>
    <w:p>
      <w:pPr>
        <w:jc w:val="left"/>
      </w:pPr>
      <w:r>
        <w:rPr>
          <w:b w:val="0"/>
        </w:rPr>
        <w:t>Employees, founders, designers and development vendors should sign enforceable confidentiality and IP assignment agreements. Open-source software must be tracked with licence obligations.</w:t>
      </w:r>
    </w:p>
    <w:p>
      <w:pPr>
        <w:pStyle w:val="Heading1"/>
      </w:pPr>
      <w:r>
        <w:t>6. Trademark &amp; Brand Protection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ChargeMesh word mark</w:t>
            </w:r>
          </w:p>
        </w:tc>
        <w:tc>
          <w:tcPr>
            <w:tcW w:type="dxa" w:w="5112"/>
            <w:vAlign w:val="center"/>
          </w:tcPr>
          <w:p>
            <w:r>
              <w:t>Search and trademark filing assessment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Logo</w:t>
            </w:r>
          </w:p>
        </w:tc>
        <w:tc>
          <w:tcPr>
            <w:tcW w:type="dxa" w:w="5112"/>
            <w:vAlign w:val="center"/>
          </w:tcPr>
          <w:p>
            <w:r>
              <w:t>Trademark/design protection assessment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Domains</w:t>
            </w:r>
          </w:p>
        </w:tc>
        <w:tc>
          <w:tcPr>
            <w:tcW w:type="dxa" w:w="5112"/>
            <w:vAlign w:val="center"/>
          </w:tcPr>
          <w:p>
            <w:r>
              <w:t>Secure primary domains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 name</w:t>
            </w:r>
          </w:p>
        </w:tc>
        <w:tc>
          <w:tcPr>
            <w:tcW w:type="dxa" w:w="5112"/>
            <w:vAlign w:val="center"/>
          </w:tcPr>
          <w:p>
            <w:r>
              <w:t>Platform naming conflict check</w:t>
            </w:r>
          </w:p>
        </w:tc>
      </w:tr>
      <w:tr>
        <w:tc>
          <w:tcPr>
            <w:tcW w:type="dxa" w:w="5112"/>
            <w:vAlign w:val="center"/>
          </w:tcPr>
          <w:p>
            <w:r>
              <w:t>CPO marks</w:t>
            </w:r>
          </w:p>
        </w:tc>
        <w:tc>
          <w:tcPr>
            <w:tcW w:type="dxa" w:w="5112"/>
            <w:vAlign w:val="center"/>
          </w:tcPr>
          <w:p>
            <w:r>
              <w:t>Use only with written permission</w:t>
            </w:r>
          </w:p>
        </w:tc>
      </w:tr>
    </w:tbl>
    <w:p>
      <w:pPr>
        <w:pStyle w:val="Heading1"/>
      </w:pPr>
      <w:r>
        <w:t>7. Product Legal Role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ChargeMesh Position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Technology platform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Station discovery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Interoperability/orchestration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Consumer charging interface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Physical charger operator</w:t>
            </w:r>
          </w:p>
        </w:tc>
        <w:tc>
          <w:tcPr>
            <w:tcW w:type="dxa" w:w="5112"/>
            <w:vAlign w:val="center"/>
          </w:tcPr>
          <w:p>
            <w:r>
              <w:t>No unless separately contracted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Electricity distributor</w:t>
            </w:r>
          </w:p>
        </w:tc>
        <w:tc>
          <w:tcPr>
            <w:tcW w:type="dxa" w:w="5112"/>
            <w:vAlign w:val="center"/>
          </w:tcPr>
          <w:p>
            <w: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>
              <w:t>PPI issuer</w:t>
            </w:r>
          </w:p>
        </w:tc>
        <w:tc>
          <w:tcPr>
            <w:tcW w:type="dxa" w:w="5112"/>
            <w:vAlign w:val="center"/>
          </w:tcPr>
          <w:p>
            <w:r>
              <w:t>Not assumed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system operator</w:t>
            </w:r>
          </w:p>
        </w:tc>
        <w:tc>
          <w:tcPr>
            <w:tcW w:type="dxa" w:w="5112"/>
            <w:vAlign w:val="center"/>
          </w:tcPr>
          <w:p>
            <w:r>
              <w:t>Not assumed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aggregator</w:t>
            </w:r>
          </w:p>
        </w:tc>
        <w:tc>
          <w:tcPr>
            <w:tcW w:type="dxa" w:w="5112"/>
            <w:vAlign w:val="center"/>
          </w:tcPr>
          <w:p>
            <w:r>
              <w:t>Not assumed unless separately structured/authorised</w:t>
            </w:r>
          </w:p>
        </w:tc>
      </w:tr>
    </w:tbl>
    <w:p>
      <w:pPr>
        <w:pStyle w:val="Heading1"/>
      </w:pPr>
      <w:r>
        <w:t>8. CPO Master Agreement</w:t>
      </w:r>
    </w:p>
    <w:p>
      <w:pPr>
        <w:pStyle w:val="ListBullet"/>
      </w:pPr>
      <w:r>
        <w:t>Parties/authority</w:t>
      </w:r>
    </w:p>
    <w:p>
      <w:pPr>
        <w:pStyle w:val="ListBullet"/>
      </w:pPr>
      <w:r>
        <w:t>Scope and territory</w:t>
      </w:r>
    </w:p>
    <w:p>
      <w:pPr>
        <w:pStyle w:val="ListBullet"/>
      </w:pPr>
      <w:r>
        <w:t>Station coverage</w:t>
      </w:r>
    </w:p>
    <w:p>
      <w:pPr>
        <w:pStyle w:val="ListBullet"/>
      </w:pPr>
      <w:r>
        <w:t>OCPI/proprietary API</w:t>
      </w:r>
    </w:p>
    <w:p>
      <w:pPr>
        <w:pStyle w:val="ListBullet"/>
      </w:pPr>
      <w:r>
        <w:t>Data quality and freshness</w:t>
      </w:r>
    </w:p>
    <w:p>
      <w:pPr>
        <w:pStyle w:val="ListBullet"/>
      </w:pPr>
      <w:r>
        <w:t>Tariffs</w:t>
      </w:r>
    </w:p>
    <w:p>
      <w:pPr>
        <w:pStyle w:val="ListBullet"/>
      </w:pPr>
      <w:r>
        <w:t>Remote start/stop</w:t>
      </w:r>
    </w:p>
    <w:p>
      <w:pPr>
        <w:pStyle w:val="ListBullet"/>
      </w:pPr>
      <w:r>
        <w:t>Sessions/CDRs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Payment/settlement</w:t>
      </w:r>
    </w:p>
    <w:p>
      <w:pPr>
        <w:pStyle w:val="ListBullet"/>
      </w:pPr>
      <w:r>
        <w:t>Refunds/chargebacks</w:t>
      </w:r>
    </w:p>
    <w:p>
      <w:pPr>
        <w:pStyle w:val="ListBullet"/>
      </w:pPr>
      <w:r>
        <w:t>Taxes/invoicing</w:t>
      </w:r>
    </w:p>
    <w:p>
      <w:pPr>
        <w:pStyle w:val="ListBullet"/>
      </w:pPr>
      <w:r>
        <w:t>Consumer support</w:t>
      </w:r>
    </w:p>
    <w:p>
      <w:pPr>
        <w:pStyle w:val="ListBullet"/>
      </w:pPr>
      <w:r>
        <w:t>SLA/incidents</w:t>
      </w:r>
    </w:p>
    <w:p>
      <w:pPr>
        <w:pStyle w:val="ListBullet"/>
      </w:pPr>
      <w:r>
        <w:t>Security/privacy</w:t>
      </w:r>
    </w:p>
    <w:p>
      <w:pPr>
        <w:pStyle w:val="ListBullet"/>
      </w:pPr>
      <w:r>
        <w:t>IP/trademarks</w:t>
      </w:r>
    </w:p>
    <w:p>
      <w:pPr>
        <w:pStyle w:val="ListBullet"/>
      </w:pPr>
      <w:r>
        <w:t>Audit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Liability/indemnity</w:t>
      </w:r>
    </w:p>
    <w:p>
      <w:pPr>
        <w:pStyle w:val="ListBullet"/>
      </w:pPr>
      <w:r>
        <w:t>Insurance</w:t>
      </w:r>
    </w:p>
    <w:p>
      <w:pPr>
        <w:pStyle w:val="ListBullet"/>
      </w:pPr>
      <w:r>
        <w:t>Termination</w:t>
      </w:r>
    </w:p>
    <w:p>
      <w:pPr>
        <w:pStyle w:val="ListBullet"/>
      </w:pPr>
      <w:r>
        <w:t>Data return/deletion</w:t>
      </w:r>
    </w:p>
    <w:p>
      <w:pPr>
        <w:pStyle w:val="ListBullet"/>
      </w:pPr>
      <w:r>
        <w:t>Dispute resolution</w:t>
      </w:r>
    </w:p>
    <w:p>
      <w:pPr>
        <w:pStyle w:val="Heading1"/>
      </w:pPr>
      <w:r>
        <w:t>9. CPO Data Licence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Contractual Permission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Station identity/address</w:t>
            </w:r>
          </w:p>
        </w:tc>
        <w:tc>
          <w:tcPr>
            <w:tcW w:type="dxa" w:w="5112"/>
            <w:vAlign w:val="center"/>
          </w:tcPr>
          <w:p>
            <w:r>
              <w:t>Display/search</w:t>
            </w:r>
          </w:p>
        </w:tc>
      </w:tr>
      <w:tr>
        <w:tc>
          <w:tcPr>
            <w:tcW w:type="dxa" w:w="5112"/>
            <w:vAlign w:val="center"/>
          </w:tcPr>
          <w:p>
            <w:r>
              <w:t>Coordinates</w:t>
            </w:r>
          </w:p>
        </w:tc>
        <w:tc>
          <w:tcPr>
            <w:tcW w:type="dxa" w:w="5112"/>
            <w:vAlign w:val="center"/>
          </w:tcPr>
          <w:p>
            <w:r>
              <w:t>Map/navigation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EVSE/connectors</w:t>
            </w:r>
          </w:p>
        </w:tc>
        <w:tc>
          <w:tcPr>
            <w:tcW w:type="dxa" w:w="5112"/>
            <w:vAlign w:val="center"/>
          </w:tcPr>
          <w:p>
            <w:r>
              <w:t>Compatibility/availability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Consumer display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Tariff</w:t>
            </w:r>
          </w:p>
        </w:tc>
        <w:tc>
          <w:tcPr>
            <w:tcW w:type="dxa" w:w="5112"/>
            <w:vAlign w:val="center"/>
          </w:tcPr>
          <w:p>
            <w:r>
              <w:t>Price display</w:t>
            </w:r>
          </w:p>
        </w:tc>
      </w:tr>
      <w:tr>
        <w:tc>
          <w:tcPr>
            <w:tcW w:type="dxa" w:w="5112"/>
            <w:vAlign w:val="center"/>
          </w:tcPr>
          <w:p>
            <w:r>
              <w:t>CPO logo/name</w:t>
            </w:r>
          </w:p>
        </w:tc>
        <w:tc>
          <w:tcPr>
            <w:tcW w:type="dxa" w:w="5112"/>
            <w:vAlign w:val="center"/>
          </w:tcPr>
          <w:p>
            <w:r>
              <w:t>Only under brand permission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Session/CDR</w:t>
            </w:r>
          </w:p>
        </w:tc>
        <w:tc>
          <w:tcPr>
            <w:tcW w:type="dxa" w:w="5112"/>
            <w:vAlign w:val="center"/>
          </w:tcPr>
          <w:p>
            <w:r>
              <w:t>Operations/reconciliation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Aggregated analytics</w:t>
            </w:r>
          </w:p>
        </w:tc>
        <w:tc>
          <w:tcPr>
            <w:tcW w:type="dxa" w:w="5112"/>
            <w:vAlign w:val="center"/>
          </w:tcPr>
          <w:p>
            <w:r>
              <w:t>Only if contract permits</w:t>
            </w:r>
          </w:p>
        </w:tc>
      </w:tr>
    </w:tbl>
    <w:p>
      <w:pPr>
        <w:pStyle w:val="Heading1"/>
      </w:pPr>
      <w:r>
        <w:t>10. CPO Branding</w:t>
      </w:r>
    </w:p>
    <w:p>
      <w:pPr>
        <w:pStyle w:val="ListBullet"/>
      </w:pPr>
      <w:r>
        <w:t>Approved logo files</w:t>
      </w:r>
    </w:p>
    <w:p>
      <w:pPr>
        <w:pStyle w:val="ListBullet"/>
      </w:pPr>
      <w:r>
        <w:t>Placement rules</w:t>
      </w:r>
    </w:p>
    <w:p>
      <w:pPr>
        <w:pStyle w:val="ListBullet"/>
      </w:pPr>
      <w:r>
        <w:t>Trademark usage guide</w:t>
      </w:r>
    </w:p>
    <w:p>
      <w:pPr>
        <w:pStyle w:val="ListBullet"/>
      </w:pPr>
      <w:r>
        <w:t>Prohibited representations</w:t>
      </w:r>
    </w:p>
    <w:p>
      <w:pPr>
        <w:pStyle w:val="ListBullet"/>
      </w:pPr>
      <w:r>
        <w:t>App-store/marketing usage</w:t>
      </w:r>
    </w:p>
    <w:p>
      <w:pPr>
        <w:pStyle w:val="ListBullet"/>
      </w:pPr>
      <w:r>
        <w:t>Removal after termination</w:t>
      </w:r>
    </w:p>
    <w:p>
      <w:pPr>
        <w:pStyle w:val="Heading1"/>
      </w:pPr>
      <w:r>
        <w:t>11. User Terms of Service</w:t>
      </w:r>
    </w:p>
    <w:p>
      <w:pPr>
        <w:pStyle w:val="ListBullet"/>
      </w:pPr>
      <w:r>
        <w:t>Eligibility/account</w:t>
      </w:r>
    </w:p>
    <w:p>
      <w:pPr>
        <w:pStyle w:val="ListBullet"/>
      </w:pPr>
      <w:r>
        <w:t>Vehicle information</w:t>
      </w:r>
    </w:p>
    <w:p>
      <w:pPr>
        <w:pStyle w:val="ListBullet"/>
      </w:pPr>
      <w:r>
        <w:t>Station discovery</w:t>
      </w:r>
    </w:p>
    <w:p>
      <w:pPr>
        <w:pStyle w:val="ListBullet"/>
      </w:pPr>
      <w:r>
        <w:t>Availability disclaimer</w:t>
      </w:r>
    </w:p>
    <w:p>
      <w:pPr>
        <w:pStyle w:val="ListBullet"/>
      </w:pPr>
      <w:r>
        <w:t>Charging initiation</w:t>
      </w:r>
    </w:p>
    <w:p>
      <w:pPr>
        <w:pStyle w:val="ListBullet"/>
      </w:pPr>
      <w:r>
        <w:t>Payment authorization</w:t>
      </w:r>
    </w:p>
    <w:p>
      <w:pPr>
        <w:pStyle w:val="ListBullet"/>
      </w:pPr>
      <w:r>
        <w:t>Tariff display</w:t>
      </w:r>
    </w:p>
    <w:p>
      <w:pPr>
        <w:pStyle w:val="ListBullet"/>
      </w:pPr>
      <w:r>
        <w:t>Variable pricing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Refunds</w:t>
      </w:r>
    </w:p>
    <w:p>
      <w:pPr>
        <w:pStyle w:val="ListBullet"/>
      </w:pPr>
      <w:r>
        <w:t>Bookings where supported</w:t>
      </w:r>
    </w:p>
    <w:p>
      <w:pPr>
        <w:pStyle w:val="ListBullet"/>
      </w:pPr>
      <w:r>
        <w:t>User responsibilities</w:t>
      </w:r>
    </w:p>
    <w:p>
      <w:pPr>
        <w:pStyle w:val="ListBullet"/>
      </w:pPr>
      <w:r>
        <w:t>Fraud prevention</w:t>
      </w:r>
    </w:p>
    <w:p>
      <w:pPr>
        <w:pStyle w:val="ListBullet"/>
      </w:pPr>
      <w:r>
        <w:t>CPO relationship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IP</w:t>
      </w:r>
    </w:p>
    <w:p>
      <w:pPr>
        <w:pStyle w:val="ListBullet"/>
      </w:pPr>
      <w:r>
        <w:t>Privacy-policy incorporation</w:t>
      </w:r>
    </w:p>
    <w:p>
      <w:pPr>
        <w:pStyle w:val="ListBullet"/>
      </w:pPr>
      <w:r>
        <w:t>Grievance</w:t>
      </w:r>
    </w:p>
    <w:p>
      <w:pPr>
        <w:pStyle w:val="ListBullet"/>
      </w:pPr>
      <w:r>
        <w:t>Liability limits subject to law</w:t>
      </w:r>
    </w:p>
    <w:p>
      <w:pPr>
        <w:pStyle w:val="ListBullet"/>
      </w:pPr>
      <w:r>
        <w:t>Termination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Terms updates</w:t>
      </w:r>
    </w:p>
    <w:p>
      <w:pPr>
        <w:pStyle w:val="Heading1"/>
      </w:pPr>
      <w:r>
        <w:t>12. Availability &amp; Status Disclaimer</w:t>
      </w:r>
    </w:p>
    <w:p>
      <w:pPr>
        <w:jc w:val="left"/>
      </w:pPr>
      <w:r>
        <w:rPr>
          <w:b w:val="0"/>
        </w:rPr>
        <w:t>CPO data can change before arrival. ChargeMesh must never present stale/unknown data as guaranteed availability.</w:t>
      </w:r>
    </w:p>
    <w:p>
      <w:pPr>
        <w:jc w:val="center"/>
      </w:pPr>
      <w:r>
        <w:rPr>
          <w:b/>
        </w:rPr>
        <w:t>Suggested wording: “Availability information is sourced from participating charging operators and may change before or during your journey. ChargeMesh does not guarantee that a connector will remain available until you arrive.”</w:t>
      </w:r>
    </w:p>
    <w:p>
      <w:pPr>
        <w:pStyle w:val="Heading1"/>
      </w:pPr>
      <w:r>
        <w:t>13. Physical Charging Responsibility</w:t>
      </w:r>
    </w:p>
    <w:p>
      <w:pPr>
        <w:jc w:val="left"/>
      </w:pPr>
      <w:r>
        <w:rPr>
          <w:b w:val="0"/>
        </w:rPr>
        <w:t>Unless ChargeMesh separately operates infrastructure, the CPO/site operator should remain responsible for hardware, electrical infrastructure, maintenance, site access and physical safety. The allocation must be explicit in contracts.</w:t>
      </w:r>
    </w:p>
    <w:p>
      <w:pPr>
        <w:pStyle w:val="Heading1"/>
      </w:pPr>
      <w:r>
        <w:t>14. Payment Legal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Preferred Owner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UI/orchestration</w:t>
            </w:r>
          </w:p>
        </w:tc>
        <w:tc>
          <w:tcPr>
            <w:tcW w:type="dxa" w:w="5112"/>
            <w:vAlign w:val="center"/>
          </w:tcPr>
          <w:p>
            <w:r>
              <w:t>ChargeMesh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processing</w:t>
            </w:r>
          </w:p>
        </w:tc>
        <w:tc>
          <w:tcPr>
            <w:tcW w:type="dxa" w:w="5112"/>
            <w:vAlign w:val="center"/>
          </w:tcPr>
          <w:p>
            <w:r>
              <w:t>Regulated payment provider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Card/UPI credentials</w:t>
            </w:r>
          </w:p>
        </w:tc>
        <w:tc>
          <w:tcPr>
            <w:tcW w:type="dxa" w:w="5112"/>
            <w:vAlign w:val="center"/>
          </w:tcPr>
          <w:p>
            <w:r>
              <w:t>Provider/tokenized mechanism</w:t>
            </w:r>
          </w:p>
        </w:tc>
      </w:tr>
      <w:tr>
        <w:tc>
          <w:tcPr>
            <w:tcW w:type="dxa" w:w="5112"/>
            <w:vAlign w:val="center"/>
          </w:tcPr>
          <w:p>
            <w:r>
              <w:t>Stored-value PPI</w:t>
            </w:r>
          </w:p>
        </w:tc>
        <w:tc>
          <w:tcPr>
            <w:tcW w:type="dxa" w:w="5112"/>
            <w:vAlign w:val="center"/>
          </w:tcPr>
          <w:p>
            <w:r>
              <w:t>Authorised PPI issuer if used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Merchant/settlement</w:t>
            </w:r>
          </w:p>
        </w:tc>
        <w:tc>
          <w:tcPr>
            <w:tcW w:type="dxa" w:w="5112"/>
            <w:vAlign w:val="center"/>
          </w:tcPr>
          <w:p>
            <w:r>
              <w:t>Explicit 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Refund processing</w:t>
            </w:r>
          </w:p>
        </w:tc>
        <w:tc>
          <w:tcPr>
            <w:tcW w:type="dxa" w:w="5112"/>
            <w:vAlign w:val="center"/>
          </w:tcPr>
          <w:p>
            <w:r>
              <w:t>Defined merchant/payment party</w:t>
            </w:r>
          </w:p>
        </w:tc>
      </w:tr>
    </w:tbl>
    <w:p>
      <w:pPr>
        <w:jc w:val="left"/>
      </w:pPr>
      <w:r>
        <w:rPr>
          <w:b w:val="0"/>
        </w:rPr>
        <w:t>RBI's PPI framework covers stored-value instruments and states that entities cannot operate payment systems for PPIs without approval/authorisation; semi-closed PPIs operate at identified merchant locations with an acceptance arrangement. citeturn0search0turn0search4</w:t>
      </w:r>
    </w:p>
    <w:p>
      <w:pPr>
        <w:pStyle w:val="Heading1"/>
      </w:pPr>
      <w:r>
        <w:t>15. Payment Provider Agreement</w:t>
      </w:r>
    </w:p>
    <w:p>
      <w:pPr>
        <w:pStyle w:val="ListBullet"/>
      </w:pPr>
      <w:r>
        <w:t>Processing scope</w:t>
      </w:r>
    </w:p>
    <w:p>
      <w:pPr>
        <w:pStyle w:val="ListBullet"/>
      </w:pPr>
      <w:r>
        <w:t>Supported methods</w:t>
      </w:r>
    </w:p>
    <w:p>
      <w:pPr>
        <w:pStyle w:val="ListBullet"/>
      </w:pPr>
      <w:r>
        <w:t>Merchant onboarding</w:t>
      </w:r>
    </w:p>
    <w:p>
      <w:pPr>
        <w:pStyle w:val="ListBullet"/>
      </w:pPr>
      <w:r>
        <w:t>Settlement</w:t>
      </w:r>
    </w:p>
    <w:p>
      <w:pPr>
        <w:pStyle w:val="ListBullet"/>
      </w:pPr>
      <w:r>
        <w:t>Refunds</w:t>
      </w:r>
    </w:p>
    <w:p>
      <w:pPr>
        <w:pStyle w:val="ListBullet"/>
      </w:pPr>
      <w:r>
        <w:t>Chargebacks</w:t>
      </w:r>
    </w:p>
    <w:p>
      <w:pPr>
        <w:pStyle w:val="ListBullet"/>
      </w:pPr>
      <w:r>
        <w:t>Failed transactions</w:t>
      </w:r>
    </w:p>
    <w:p>
      <w:pPr>
        <w:pStyle w:val="ListBullet"/>
      </w:pPr>
      <w:r>
        <w:t>Fraud controls</w:t>
      </w:r>
    </w:p>
    <w:p>
      <w:pPr>
        <w:pStyle w:val="ListBullet"/>
      </w:pPr>
      <w:r>
        <w:t>Data/security</w:t>
      </w:r>
    </w:p>
    <w:p>
      <w:pPr>
        <w:pStyle w:val="ListBullet"/>
      </w:pPr>
      <w:r>
        <w:t>Tokenisation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Reporting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Termination</w:t>
      </w:r>
    </w:p>
    <w:p>
      <w:pPr>
        <w:pStyle w:val="Heading1"/>
      </w:pPr>
      <w:r>
        <w:t>16. Tariff &amp; Price Transparency</w:t>
      </w:r>
    </w:p>
    <w:p>
      <w:pPr>
        <w:pStyle w:val="ListBullet"/>
      </w:pPr>
      <w:r>
        <w:t>₹/kWh where applicable</w:t>
      </w:r>
    </w:p>
    <w:p>
      <w:pPr>
        <w:pStyle w:val="ListBullet"/>
      </w:pPr>
      <w:r>
        <w:t>Time-based fees</w:t>
      </w:r>
    </w:p>
    <w:p>
      <w:pPr>
        <w:pStyle w:val="ListBullet"/>
      </w:pPr>
      <w:r>
        <w:t>Flat/session fees</w:t>
      </w:r>
    </w:p>
    <w:p>
      <w:pPr>
        <w:pStyle w:val="ListBullet"/>
      </w:pPr>
      <w:r>
        <w:t>Idle/parking fees where applicable</w:t>
      </w:r>
    </w:p>
    <w:p>
      <w:pPr>
        <w:pStyle w:val="ListBullet"/>
      </w:pPr>
      <w:r>
        <w:t>Taxes/mandatory charges</w:t>
      </w:r>
    </w:p>
    <w:p>
      <w:pPr>
        <w:pStyle w:val="ListBullet"/>
      </w:pPr>
      <w:r>
        <w:t>Minimum charge</w:t>
      </w:r>
    </w:p>
    <w:p>
      <w:pPr>
        <w:pStyle w:val="ListBullet"/>
      </w:pPr>
      <w:r>
        <w:t>Reservation fee</w:t>
      </w:r>
    </w:p>
    <w:p>
      <w:pPr>
        <w:pStyle w:val="ListBullet"/>
      </w:pPr>
      <w:r>
        <w:t>Estimated vs final amount</w:t>
      </w:r>
    </w:p>
    <w:p>
      <w:pPr>
        <w:jc w:val="left"/>
      </w:pPr>
      <w:r>
        <w:rPr>
          <w:b w:val="0"/>
        </w:rPr>
        <w:t>Never fabricate a tariff when the authoritative CPO source is unknown.</w:t>
      </w:r>
    </w:p>
    <w:p>
      <w:pPr>
        <w:pStyle w:val="Heading1"/>
      </w:pPr>
      <w:r>
        <w:t>17. Refund &amp; Failed Charging Policy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Required Framework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succeeded, charging failed</w:t>
            </w:r>
          </w:p>
        </w:tc>
        <w:tc>
          <w:tcPr>
            <w:tcW w:type="dxa" w:w="5112"/>
            <w:vAlign w:val="center"/>
          </w:tcPr>
          <w:p>
            <w:r>
              <w:t>Reversal/refund path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Charging stopped early</w:t>
            </w:r>
          </w:p>
        </w:tc>
        <w:tc>
          <w:tcPr>
            <w:tcW w:type="dxa" w:w="5112"/>
            <w:vAlign w:val="center"/>
          </w:tcPr>
          <w:p>
            <w:r>
              <w:t>Final CDR calculation + adjustment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CDR delayed</w:t>
            </w:r>
          </w:p>
        </w:tc>
        <w:tc>
          <w:tcPr>
            <w:tcW w:type="dxa" w:w="5112"/>
            <w:vAlign w:val="center"/>
          </w:tcPr>
          <w:p>
            <w:r>
              <w:t>Pending reconciliation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Duplicate payment</w:t>
            </w:r>
          </w:p>
        </w:tc>
        <w:tc>
          <w:tcPr>
            <w:tcW w:type="dxa" w:w="5112"/>
            <w:vAlign w:val="center"/>
          </w:tcPr>
          <w:p>
            <w:r>
              <w:t>Detection + reversal/refund</w:t>
            </w:r>
          </w:p>
        </w:tc>
      </w:tr>
      <w:tr>
        <w:tc>
          <w:tcPr>
            <w:tcW w:type="dxa" w:w="5112"/>
            <w:vAlign w:val="center"/>
          </w:tcPr>
          <w:p>
            <w:r>
              <w:t>CPO outage</w:t>
            </w:r>
          </w:p>
        </w:tc>
        <w:tc>
          <w:tcPr>
            <w:tcW w:type="dxa" w:w="5112"/>
            <w:vAlign w:val="center"/>
          </w:tcPr>
          <w:p>
            <w:r>
              <w:t>Prevent unsupported charging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Wrong final amount</w:t>
            </w:r>
          </w:p>
        </w:tc>
        <w:tc>
          <w:tcPr>
            <w:tcW w:type="dxa" w:w="5112"/>
            <w:vAlign w:val="center"/>
          </w:tcPr>
          <w:p>
            <w:r>
              <w:t>Dispute/reconciliation/refund</w:t>
            </w:r>
          </w:p>
        </w:tc>
      </w:tr>
    </w:tbl>
    <w:p>
      <w:pPr>
        <w:pStyle w:val="Heading1"/>
      </w:pPr>
      <w:r>
        <w:t>18. Consumer Protection</w:t>
      </w:r>
    </w:p>
    <w:p>
      <w:pPr>
        <w:jc w:val="left"/>
      </w:pPr>
      <w:r>
        <w:rPr>
          <w:b w:val="0"/>
        </w:rPr>
        <w:t>The Consumer Protection (E-Commerce) Rules, 2020 apply to services bought/sold over digital or electronic networks and cover e-commerce entities. The Department of Consumer Affairs maintains the rules and amendments. citeturn1search0turn1search15</w:t>
      </w:r>
    </w:p>
    <w:p>
      <w:pPr>
        <w:pStyle w:val="ListBullet"/>
      </w:pPr>
      <w:r>
        <w:t>Accurate service descriptions</w:t>
      </w:r>
    </w:p>
    <w:p>
      <w:pPr>
        <w:pStyle w:val="ListBullet"/>
      </w:pPr>
      <w:r>
        <w:t>Transparent pricing</w:t>
      </w:r>
    </w:p>
    <w:p>
      <w:pPr>
        <w:pStyle w:val="ListBullet"/>
      </w:pPr>
      <w:r>
        <w:t>Grievance mechanism</w:t>
      </w:r>
    </w:p>
    <w:p>
      <w:pPr>
        <w:pStyle w:val="ListBullet"/>
      </w:pPr>
      <w:r>
        <w:t>No misleading availability</w:t>
      </w:r>
    </w:p>
    <w:p>
      <w:pPr>
        <w:pStyle w:val="ListBullet"/>
      </w:pPr>
      <w:r>
        <w:t>No deceptive advertising</w:t>
      </w:r>
    </w:p>
    <w:p>
      <w:pPr>
        <w:pStyle w:val="ListBullet"/>
      </w:pPr>
      <w:r>
        <w:t>Clear refund/cancellation</w:t>
      </w:r>
    </w:p>
    <w:p>
      <w:pPr>
        <w:pStyle w:val="ListBullet"/>
      </w:pPr>
      <w:r>
        <w:t>Complaint/reference tracking</w:t>
      </w:r>
    </w:p>
    <w:p>
      <w:pPr>
        <w:pStyle w:val="ListBullet"/>
      </w:pPr>
      <w:r>
        <w:t>Relevant business disclosures</w:t>
      </w:r>
    </w:p>
    <w:p>
      <w:pPr>
        <w:pStyle w:val="ListBullet"/>
      </w:pPr>
      <w:r>
        <w:t>No representation that ChargeMesh owns third-party infrastructure</w:t>
      </w:r>
    </w:p>
    <w:p>
      <w:pPr>
        <w:pStyle w:val="Heading1"/>
      </w:pPr>
      <w:r>
        <w:t>19. Grievance Redressal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ChargeMesh Plan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</w:t>
            </w:r>
          </w:p>
        </w:tc>
        <w:tc>
          <w:tcPr>
            <w:tcW w:type="dxa" w:w="5112"/>
            <w:vAlign w:val="center"/>
          </w:tcPr>
          <w:p>
            <w:r>
              <w:t>In-app + web/email</w:t>
            </w:r>
          </w:p>
        </w:tc>
      </w:tr>
      <w:tr>
        <w:tc>
          <w:tcPr>
            <w:tcW w:type="dxa" w:w="5112"/>
            <w:vAlign w:val="center"/>
          </w:tcPr>
          <w:p>
            <w:r>
              <w:t>Ticket</w:t>
            </w:r>
          </w:p>
        </w:tc>
        <w:tc>
          <w:tcPr>
            <w:tcW w:type="dxa" w:w="5112"/>
            <w:vAlign w:val="center"/>
          </w:tcPr>
          <w:p>
            <w:r>
              <w:t>Unique reference 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Tracking</w:t>
            </w:r>
          </w:p>
        </w:tc>
        <w:tc>
          <w:tcPr>
            <w:tcW w:type="dxa" w:w="5112"/>
            <w:vAlign w:val="center"/>
          </w:tcPr>
          <w:p>
            <w:r>
              <w:t>User-visible where feasible</w:t>
            </w:r>
          </w:p>
        </w:tc>
      </w:tr>
      <w:tr>
        <w:tc>
          <w:tcPr>
            <w:tcW w:type="dxa" w:w="5112"/>
            <w:vAlign w:val="center"/>
          </w:tcPr>
          <w:p>
            <w:r>
              <w:t>Escalation</w:t>
            </w:r>
          </w:p>
        </w:tc>
        <w:tc>
          <w:tcPr>
            <w:tcW w:type="dxa" w:w="5112"/>
            <w:vAlign w:val="center"/>
          </w:tcPr>
          <w:p>
            <w:r>
              <w:t>ChargeMesh → CPO/payment partner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SLA</w:t>
            </w:r>
          </w:p>
        </w:tc>
        <w:tc>
          <w:tcPr>
            <w:tcW w:type="dxa" w:w="5112"/>
            <w:vAlign w:val="center"/>
          </w:tcPr>
          <w:p>
            <w:r>
              <w:t>Category-based response targets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Records</w:t>
            </w:r>
          </w:p>
        </w:tc>
        <w:tc>
          <w:tcPr>
            <w:tcW w:type="dxa" w:w="5112"/>
            <w:vAlign w:val="center"/>
          </w:tcPr>
          <w:p>
            <w:r>
              <w:t>Retain as legally required</w:t>
            </w:r>
          </w:p>
        </w:tc>
      </w:tr>
    </w:tbl>
    <w:p>
      <w:pPr>
        <w:pStyle w:val="Heading1"/>
      </w:pPr>
      <w:r>
        <w:t>20. Privacy &amp; Personal Data</w:t>
      </w:r>
    </w:p>
    <w:p>
      <w:pPr>
        <w:jc w:val="left"/>
      </w:pPr>
      <w:r>
        <w:rPr>
          <w:b w:val="0"/>
        </w:rPr>
        <w:t>The Digital Personal Data Protection Act, 2023 provides a framework for processing digital personal data and recognises individual data-protection rights and lawful processing. Its provisions come into force on dates notified by the Central Government, so launch compliance must be checked against the then-current implementation position. citeturn1search17turn1search8</w:t>
      </w:r>
    </w:p>
    <w:p>
      <w:pPr>
        <w:pStyle w:val="ListBullet"/>
      </w:pPr>
      <w:r>
        <w:t>Mobile number/name/email</w:t>
      </w:r>
    </w:p>
    <w:p>
      <w:pPr>
        <w:pStyle w:val="ListBullet"/>
      </w:pPr>
      <w:r>
        <w:t>Vehicle information</w:t>
      </w:r>
    </w:p>
    <w:p>
      <w:pPr>
        <w:pStyle w:val="ListBullet"/>
      </w:pPr>
      <w:r>
        <w:t>Charging history</w:t>
      </w:r>
    </w:p>
    <w:p>
      <w:pPr>
        <w:pStyle w:val="ListBullet"/>
      </w:pPr>
      <w:r>
        <w:t>Payment references</w:t>
      </w:r>
    </w:p>
    <w:p>
      <w:pPr>
        <w:pStyle w:val="ListBullet"/>
      </w:pPr>
      <w:r>
        <w:t>Precise/approximate location</w:t>
      </w:r>
    </w:p>
    <w:p>
      <w:pPr>
        <w:pStyle w:val="ListBullet"/>
      </w:pPr>
      <w:r>
        <w:t>Support communications</w:t>
      </w:r>
    </w:p>
    <w:p>
      <w:pPr>
        <w:pStyle w:val="ListBullet"/>
      </w:pPr>
      <w:r>
        <w:t>Device/app telemetry</w:t>
      </w:r>
    </w:p>
    <w:p>
      <w:pPr>
        <w:pStyle w:val="ListBullet"/>
      </w:pPr>
      <w:r>
        <w:t>Security/fraud signals</w:t>
      </w:r>
    </w:p>
    <w:p>
      <w:pPr>
        <w:pStyle w:val="Heading1"/>
      </w:pPr>
      <w:r>
        <w:t>21. Privacy Notice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Identity</w:t>
            </w:r>
          </w:p>
        </w:tc>
        <w:tc>
          <w:tcPr>
            <w:tcW w:type="dxa" w:w="5112"/>
            <w:vAlign w:val="center"/>
          </w:tcPr>
          <w:p>
            <w:r>
              <w:t>Legal entity/contact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Collection</w:t>
            </w:r>
          </w:p>
        </w:tc>
        <w:tc>
          <w:tcPr>
            <w:tcW w:type="dxa" w:w="5112"/>
            <w:vAlign w:val="center"/>
          </w:tcPr>
          <w:p>
            <w:r>
              <w:t>Data categories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Why collected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</w:t>
            </w:r>
          </w:p>
        </w:tc>
        <w:tc>
          <w:tcPr>
            <w:tcW w:type="dxa" w:w="5112"/>
            <w:vAlign w:val="center"/>
          </w:tcPr>
          <w:p>
            <w:r>
              <w:t>Provider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CPO sharing</w:t>
            </w:r>
          </w:p>
        </w:tc>
        <w:tc>
          <w:tcPr>
            <w:tcW w:type="dxa" w:w="5112"/>
            <w:vAlign w:val="center"/>
          </w:tcPr>
          <w:p>
            <w:r>
              <w:t>Data required for charging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Vendors</w:t>
            </w:r>
          </w:p>
        </w:tc>
        <w:tc>
          <w:tcPr>
            <w:tcW w:type="dxa" w:w="5112"/>
            <w:vAlign w:val="center"/>
          </w:tcPr>
          <w:p>
            <w:r>
              <w:t>Hosting/maps/analytics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Retention</w:t>
            </w:r>
          </w:p>
        </w:tc>
        <w:tc>
          <w:tcPr>
            <w:tcW w:type="dxa" w:w="5112"/>
            <w:vAlign w:val="center"/>
          </w:tcPr>
          <w:p>
            <w:r>
              <w:t>Category-based periods</w:t>
            </w:r>
          </w:p>
        </w:tc>
      </w:tr>
      <w:tr>
        <w:tc>
          <w:tcPr>
            <w:tcW w:type="dxa" w:w="5112"/>
            <w:vAlign w:val="center"/>
          </w:tcPr>
          <w:p>
            <w:r>
              <w:t>Rights</w:t>
            </w:r>
          </w:p>
        </w:tc>
        <w:tc>
          <w:tcPr>
            <w:tcW w:type="dxa" w:w="5112"/>
            <w:vAlign w:val="center"/>
          </w:tcPr>
          <w:p>
            <w:r>
              <w:t>Applicable user rights/process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Safeguards</w:t>
            </w:r>
          </w:p>
        </w:tc>
      </w:tr>
      <w:tr>
        <w:tc>
          <w:tcPr>
            <w:tcW w:type="dxa" w:w="5112"/>
            <w:vAlign w:val="center"/>
          </w:tcPr>
          <w:p>
            <w:r>
              <w:t>Grievance</w:t>
            </w:r>
          </w:p>
        </w:tc>
        <w:tc>
          <w:tcPr>
            <w:tcW w:type="dxa" w:w="5112"/>
            <w:vAlign w:val="center"/>
          </w:tcPr>
          <w:p>
            <w:r>
              <w:t>Contact</w:t>
            </w:r>
          </w:p>
        </w:tc>
      </w:tr>
    </w:tbl>
    <w:p>
      <w:pPr>
        <w:pStyle w:val="Heading1"/>
      </w:pPr>
      <w:r>
        <w:t>22. CPO Data Sharing</w:t>
      </w:r>
    </w:p>
    <w:p>
      <w:pPr>
        <w:jc w:val="left"/>
      </w:pPr>
      <w:r>
        <w:rPr>
          <w:b w:val="0"/>
        </w:rPr>
        <w:t>Only data necessary to facilitate the contracted charging workflow should be shared with a CPO.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 ID</w:t>
            </w:r>
          </w:p>
        </w:tc>
        <w:tc>
          <w:tcPr>
            <w:tcW w:type="dxa" w:w="5112"/>
            <w:vAlign w:val="center"/>
          </w:tcPr>
          <w:p>
            <w:r>
              <w:t>Only if needed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Phone/name</w:t>
            </w:r>
          </w:p>
        </w:tc>
        <w:tc>
          <w:tcPr>
            <w:tcW w:type="dxa" w:w="5112"/>
            <w:vAlign w:val="center"/>
          </w:tcPr>
          <w:p>
            <w:r>
              <w:t>Only if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</w:t>
            </w:r>
          </w:p>
        </w:tc>
        <w:tc>
          <w:tcPr>
            <w:tcW w:type="dxa" w:w="5112"/>
            <w:vAlign w:val="center"/>
          </w:tcPr>
          <w:p>
            <w:r>
              <w:t>Only when needed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credentials</w:t>
            </w:r>
          </w:p>
        </w:tc>
        <w:tc>
          <w:tcPr>
            <w:tcW w:type="dxa" w:w="5112"/>
            <w:vAlign w:val="center"/>
          </w:tcPr>
          <w:p>
            <w:r>
              <w:t>Never share raw credentials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Charging token/reference</w:t>
            </w:r>
          </w:p>
        </w:tc>
        <w:tc>
          <w:tcPr>
            <w:tcW w:type="dxa" w:w="5112"/>
            <w:vAlign w:val="center"/>
          </w:tcPr>
          <w:p>
            <w:r>
              <w:t>Secure token/reference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Location</w:t>
            </w:r>
          </w:p>
        </w:tc>
        <w:tc>
          <w:tcPr>
            <w:tcW w:type="dxa" w:w="5112"/>
            <w:vAlign w:val="center"/>
          </w:tcPr>
          <w:p>
            <w:r>
              <w:t>Only as necessary</w:t>
            </w:r>
          </w:p>
        </w:tc>
      </w:tr>
    </w:tbl>
    <w:p>
      <w:pPr>
        <w:pStyle w:val="Heading1"/>
      </w:pPr>
      <w:r>
        <w:t>23. Payment Data Security</w:t>
      </w:r>
    </w:p>
    <w:p>
      <w:pPr>
        <w:pStyle w:val="ListBullet"/>
      </w:pPr>
      <w:r>
        <w:t>Avoid raw card storage</w:t>
      </w:r>
    </w:p>
    <w:p>
      <w:pPr>
        <w:pStyle w:val="ListBullet"/>
      </w:pPr>
      <w:r>
        <w:t>Use provider tokenisation</w:t>
      </w:r>
    </w:p>
    <w:p>
      <w:pPr>
        <w:pStyle w:val="ListBullet"/>
      </w:pPr>
      <w:r>
        <w:t>Never store CVV</w:t>
      </w:r>
    </w:p>
    <w:p>
      <w:pPr>
        <w:pStyle w:val="ListBullet"/>
      </w:pPr>
      <w:r>
        <w:t>Encrypt sensitive data</w:t>
      </w:r>
    </w:p>
    <w:p>
      <w:pPr>
        <w:pStyle w:val="ListBullet"/>
      </w:pPr>
      <w:r>
        <w:t>Restrict administrative access</w:t>
      </w:r>
    </w:p>
    <w:p>
      <w:pPr>
        <w:pStyle w:val="ListBullet"/>
      </w:pPr>
      <w:r>
        <w:t>Audit payment actions</w:t>
      </w:r>
    </w:p>
    <w:p>
      <w:pPr>
        <w:pStyle w:val="ListBullet"/>
      </w:pPr>
      <w:r>
        <w:t>Separate production credentials</w:t>
      </w:r>
    </w:p>
    <w:p>
      <w:pPr>
        <w:pStyle w:val="ListBullet"/>
      </w:pPr>
      <w:r>
        <w:t>Perform security testing</w:t>
      </w:r>
    </w:p>
    <w:p>
      <w:pPr>
        <w:pStyle w:val="Heading1"/>
      </w:pPr>
      <w:r>
        <w:t>24. Location Data</w:t>
      </w:r>
    </w:p>
    <w:p>
      <w:pPr>
        <w:pStyle w:val="ListBullet"/>
      </w:pPr>
      <w:r>
        <w:t>Foreground location for nearby discovery</w:t>
      </w:r>
    </w:p>
    <w:p>
      <w:pPr>
        <w:pStyle w:val="ListBullet"/>
      </w:pPr>
      <w:r>
        <w:t>Manual-location fallback</w:t>
      </w:r>
    </w:p>
    <w:p>
      <w:pPr>
        <w:pStyle w:val="ListBullet"/>
      </w:pPr>
      <w:r>
        <w:t>Permission-aware UX</w:t>
      </w:r>
    </w:p>
    <w:p>
      <w:pPr>
        <w:pStyle w:val="ListBullet"/>
      </w:pPr>
      <w:r>
        <w:t>Clear explanation</w:t>
      </w:r>
    </w:p>
    <w:p>
      <w:pPr>
        <w:pStyle w:val="ListBullet"/>
      </w:pPr>
      <w:r>
        <w:t>Minimise retention</w:t>
      </w:r>
    </w:p>
    <w:p>
      <w:pPr>
        <w:pStyle w:val="ListBullet"/>
      </w:pPr>
      <w:r>
        <w:t>Background location only if a genuine feature requires it</w:t>
      </w:r>
    </w:p>
    <w:p>
      <w:pPr>
        <w:pStyle w:val="Heading1"/>
      </w:pPr>
      <w:r>
        <w:t>25. EV Charging Regulatory Framework</w:t>
      </w:r>
    </w:p>
    <w:p>
      <w:pPr>
        <w:jc w:val="left"/>
      </w:pPr>
      <w:r>
        <w:rPr>
          <w:b w:val="0"/>
        </w:rPr>
        <w:t>The Ministry of Power's 2024 Guidelines for Installation and Operation of EV Charging Infrastructure apply to manufacturers, owners and operators of EV charging infrastructure in private, semi-restricted, public and highway/expressway settings. citeturn0search36</w:t>
      </w:r>
    </w:p>
    <w:p>
      <w:pPr>
        <w:jc w:val="left"/>
      </w:pPr>
      <w:r>
        <w:rPr>
          <w:b w:val="0"/>
        </w:rPr>
        <w:t>ChargeMesh must contractually identify whether it is only a software/interoperability platform or also an infrastructure owner/operator. If it later operates stations, reassess regulatory, safety and licensing requirements.</w:t>
      </w:r>
    </w:p>
    <w:p>
      <w:pPr>
        <w:pStyle w:val="Heading1"/>
      </w:pPr>
      <w:r>
        <w:t>26. Physical Safety</w:t>
      </w:r>
    </w:p>
    <w:p>
      <w:pPr>
        <w:pStyle w:val="ListBullet"/>
      </w:pPr>
      <w:r>
        <w:t>CPO/site operator responsibility for hardware/site safety where contracted</w:t>
      </w:r>
    </w:p>
    <w:p>
      <w:pPr>
        <w:pStyle w:val="ListBullet"/>
      </w:pPr>
      <w:r>
        <w:t>Station emergency/support information</w:t>
      </w:r>
    </w:p>
    <w:p>
      <w:pPr>
        <w:pStyle w:val="ListBullet"/>
      </w:pPr>
      <w:r>
        <w:t>User safety instructions</w:t>
      </w:r>
    </w:p>
    <w:p>
      <w:pPr>
        <w:pStyle w:val="ListBullet"/>
      </w:pPr>
      <w:r>
        <w:t>No unsafe electrical guidance</w:t>
      </w:r>
    </w:p>
    <w:p>
      <w:pPr>
        <w:pStyle w:val="ListBullet"/>
      </w:pPr>
      <w:r>
        <w:t>Incident reporting and ownership</w:t>
      </w:r>
    </w:p>
    <w:p>
      <w:pPr>
        <w:pStyle w:val="Heading1"/>
      </w:pPr>
      <w:r>
        <w:t>27. Vehicle Compatibility</w:t>
      </w:r>
    </w:p>
    <w:p>
      <w:pPr>
        <w:jc w:val="left"/>
      </w:pPr>
      <w:r>
        <w:rPr>
          <w:b w:val="0"/>
        </w:rPr>
        <w:t>Compatibility should be presented as guidance based on vehicle and connector data. Unknown compatibility must not be represented as guaranteed.</w:t>
      </w:r>
    </w:p>
    <w:p>
      <w:pPr>
        <w:pStyle w:val="Heading1"/>
      </w:pPr>
      <w:r>
        <w:t>28. Insurance</w:t>
      </w:r>
    </w:p>
    <w:p>
      <w:pPr>
        <w:pStyle w:val="ListBullet"/>
      </w:pPr>
      <w:r>
        <w:t>Cyber liability</w:t>
      </w:r>
    </w:p>
    <w:p>
      <w:pPr>
        <w:pStyle w:val="ListBullet"/>
      </w:pPr>
      <w:r>
        <w:t>Technology errors &amp; omissions/professional indemnity</w:t>
      </w:r>
    </w:p>
    <w:p>
      <w:pPr>
        <w:pStyle w:val="ListBullet"/>
      </w:pPr>
      <w:r>
        <w:t>Commercial general liability</w:t>
      </w:r>
    </w:p>
    <w:p>
      <w:pPr>
        <w:pStyle w:val="ListBullet"/>
      </w:pPr>
      <w:r>
        <w:t>Directors &amp; officers</w:t>
      </w:r>
    </w:p>
    <w:p>
      <w:pPr>
        <w:pStyle w:val="ListBullet"/>
      </w:pPr>
      <w:r>
        <w:t>Crime/fraud</w:t>
      </w:r>
    </w:p>
    <w:p>
      <w:pPr>
        <w:pStyle w:val="ListBullet"/>
      </w:pPr>
      <w:r>
        <w:t>Physical infrastructure liability if applicable</w:t>
      </w:r>
    </w:p>
    <w:p>
      <w:pPr>
        <w:pStyle w:val="Heading1"/>
      </w:pPr>
      <w:r>
        <w:t>29. Vendor Contracts</w:t>
      </w:r>
    </w:p>
    <w:p>
      <w:pPr>
        <w:pStyle w:val="ListBullet"/>
      </w:pPr>
      <w:r>
        <w:t>Cloud</w:t>
      </w:r>
    </w:p>
    <w:p>
      <w:pPr>
        <w:pStyle w:val="ListBullet"/>
      </w:pPr>
      <w:r>
        <w:t>Maps</w:t>
      </w:r>
    </w:p>
    <w:p>
      <w:pPr>
        <w:pStyle w:val="ListBullet"/>
      </w:pPr>
      <w:r>
        <w:t>OTP/SMS</w:t>
      </w:r>
    </w:p>
    <w:p>
      <w:pPr>
        <w:pStyle w:val="ListBullet"/>
      </w:pPr>
      <w:r>
        <w:t>Email</w:t>
      </w:r>
    </w:p>
    <w:p>
      <w:pPr>
        <w:pStyle w:val="ListBullet"/>
      </w:pPr>
      <w:r>
        <w:t>Payment provider</w:t>
      </w:r>
    </w:p>
    <w:p>
      <w:pPr>
        <w:pStyle w:val="ListBullet"/>
      </w:pPr>
      <w:r>
        <w:t>Analytics/crash reporting</w:t>
      </w:r>
    </w:p>
    <w:p>
      <w:pPr>
        <w:pStyle w:val="ListBullet"/>
      </w:pPr>
      <w:r>
        <w:t>Support platform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Development/design agencies</w:t>
      </w:r>
    </w:p>
    <w:p>
      <w:pPr>
        <w:pStyle w:val="ListBullet"/>
      </w:pPr>
      <w:r>
        <w:t>Accounting/tax</w:t>
      </w:r>
    </w:p>
    <w:p>
      <w:pPr>
        <w:pStyle w:val="ListBullet"/>
      </w:pPr>
      <w:r>
        <w:t>Legal counsel</w:t>
      </w:r>
    </w:p>
    <w:p>
      <w:pPr>
        <w:jc w:val="left"/>
      </w:pPr>
      <w:r>
        <w:rPr>
          <w:b w:val="0"/>
        </w:rPr>
        <w:t>Material vendors should have confidentiality, security, data-processing, IP, SLA and termination terms appropriate to risk.</w:t>
      </w:r>
    </w:p>
    <w:p>
      <w:pPr>
        <w:pStyle w:val="Heading1"/>
      </w:pPr>
      <w:r>
        <w:t>30. Employee/Developer Agreements</w:t>
      </w:r>
    </w:p>
    <w:p>
      <w:pPr>
        <w:pStyle w:val="ListBullet"/>
      </w:pPr>
      <w:r>
        <w:t>Employment/consulting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IP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Acceptable use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Return of property</w:t>
      </w:r>
    </w:p>
    <w:p>
      <w:pPr>
        <w:pStyle w:val="ListBullet"/>
      </w:pPr>
      <w:r>
        <w:t>Exit/deprovisioning</w:t>
      </w:r>
    </w:p>
    <w:p>
      <w:pPr>
        <w:pStyle w:val="ListBullet"/>
      </w:pPr>
      <w:r>
        <w:t>Conflict of interest</w:t>
      </w:r>
    </w:p>
    <w:p>
      <w:pPr>
        <w:pStyle w:val="ListBullet"/>
      </w:pPr>
      <w:r>
        <w:t>Open-source disclosure</w:t>
      </w:r>
    </w:p>
    <w:p>
      <w:pPr>
        <w:pStyle w:val="Heading1"/>
      </w:pPr>
      <w:r>
        <w:t>31. App Store Legal Readiness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Privacy policy URL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Terms URL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 URL/contact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Account deletion</w:t>
            </w:r>
          </w:p>
        </w:tc>
        <w:tc>
          <w:tcPr>
            <w:tcW w:type="dxa" w:w="5112"/>
            <w:vAlign w:val="center"/>
          </w:tcPr>
          <w:p>
            <w:r>
              <w:t>Where required by platform/app model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disclosure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disclosures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Location permission explanation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>
              <w:t>Third-party CPO disclosure</w:t>
            </w:r>
          </w:p>
        </w:tc>
        <w:tc>
          <w:tcPr>
            <w:tcW w:type="dxa" w:w="5112"/>
            <w:vAlign w:val="center"/>
          </w:tcPr>
          <w:p>
            <w:r>
              <w:t>Yes</w:t>
            </w:r>
          </w:p>
        </w:tc>
      </w:tr>
    </w:tbl>
    <w:p>
      <w:pPr>
        <w:pStyle w:val="Heading1"/>
      </w:pPr>
      <w:r>
        <w:t>32. Website Legal Pages</w:t>
      </w:r>
    </w:p>
    <w:p>
      <w:pPr>
        <w:pStyle w:val="ListBullet"/>
      </w:pPr>
      <w:r>
        <w:t>Terms of Service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Refund/Cancellation Policy</w:t>
      </w:r>
    </w:p>
    <w:p>
      <w:pPr>
        <w:pStyle w:val="ListBullet"/>
      </w:pPr>
      <w:r>
        <w:t>Contact/Support</w:t>
      </w:r>
    </w:p>
    <w:p>
      <w:pPr>
        <w:pStyle w:val="ListBullet"/>
      </w:pPr>
      <w:r>
        <w:t>Grievance/Complaints</w:t>
      </w:r>
    </w:p>
    <w:p>
      <w:pPr>
        <w:pStyle w:val="ListBullet"/>
      </w:pPr>
      <w:r>
        <w:t>Partner/CPO information</w:t>
      </w:r>
    </w:p>
    <w:p>
      <w:pPr>
        <w:pStyle w:val="ListBullet"/>
      </w:pPr>
      <w:r>
        <w:t>Legal notices</w:t>
      </w:r>
    </w:p>
    <w:p>
      <w:pPr>
        <w:pStyle w:val="ListBullet"/>
      </w:pPr>
      <w:r>
        <w:t>Security/vulnerability contact where appropriate</w:t>
      </w:r>
    </w:p>
    <w:p>
      <w:pPr>
        <w:pStyle w:val="Heading1"/>
      </w:pPr>
      <w:r>
        <w:t>33. Marketing &amp; Advertising</w:t>
      </w:r>
    </w:p>
    <w:p>
      <w:pPr>
        <w:pStyle w:val="ListBullet"/>
      </w:pPr>
      <w:r>
        <w:t>Do not claim all chargers are live</w:t>
      </w:r>
    </w:p>
    <w:p>
      <w:pPr>
        <w:pStyle w:val="ListBullet"/>
      </w:pPr>
      <w:r>
        <w:t>Do not claim universal CPO compatibility without evidence</w:t>
      </w:r>
    </w:p>
    <w:p>
      <w:pPr>
        <w:pStyle w:val="ListBullet"/>
      </w:pPr>
      <w:r>
        <w:t>Do not hide unavoidable fees</w:t>
      </w:r>
    </w:p>
    <w:p>
      <w:pPr>
        <w:pStyle w:val="ListBullet"/>
      </w:pPr>
      <w:r>
        <w:t>Do not use CPO trademarks without permission</w:t>
      </w:r>
    </w:p>
    <w:p>
      <w:pPr>
        <w:pStyle w:val="ListBullet"/>
      </w:pPr>
      <w:r>
        <w:t>Do not claim ownership of CPO stations</w:t>
      </w:r>
    </w:p>
    <w:p>
      <w:pPr>
        <w:pStyle w:val="ListBullet"/>
      </w:pPr>
      <w:r>
        <w:t>Keep evidence for performance claims</w:t>
      </w:r>
    </w:p>
    <w:p>
      <w:pPr>
        <w:jc w:val="left"/>
      </w:pPr>
      <w:r>
        <w:rPr>
          <w:b w:val="0"/>
        </w:rPr>
        <w:t>Consumer-protection rules address misleading representations and e-commerce consumer interests; all material marketing claims should be reviewed. citeturn1search0turn1search15</w:t>
      </w:r>
    </w:p>
    <w:p>
      <w:pPr>
        <w:pStyle w:val="Heading1"/>
      </w:pPr>
      <w:r>
        <w:t>34. Data Retention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Account</w:t>
            </w:r>
          </w:p>
        </w:tc>
        <w:tc>
          <w:tcPr>
            <w:tcW w:type="dxa" w:w="5112"/>
            <w:vAlign w:val="center"/>
          </w:tcPr>
          <w:p>
            <w:r>
              <w:t>Active period + legally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references</w:t>
            </w:r>
          </w:p>
        </w:tc>
        <w:tc>
          <w:tcPr>
            <w:tcW w:type="dxa" w:w="5112"/>
            <w:vAlign w:val="center"/>
          </w:tcPr>
          <w:p>
            <w:r>
              <w:t>Payment/tax/legal requirements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Charging history</w:t>
            </w:r>
          </w:p>
        </w:tc>
        <w:tc>
          <w:tcPr>
            <w:tcW w:type="dxa" w:w="5112"/>
            <w:vAlign w:val="center"/>
          </w:tcPr>
          <w:p>
            <w:r>
              <w:t>Service/legal requirements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CDR</w:t>
            </w:r>
          </w:p>
        </w:tc>
        <w:tc>
          <w:tcPr>
            <w:tcW w:type="dxa" w:w="5112"/>
            <w:vAlign w:val="center"/>
          </w:tcPr>
          <w:p>
            <w:r>
              <w:t>Contractual + financial/legal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 tickets</w:t>
            </w:r>
          </w:p>
        </w:tc>
        <w:tc>
          <w:tcPr>
            <w:tcW w:type="dxa" w:w="5112"/>
            <w:vAlign w:val="center"/>
          </w:tcPr>
          <w:p>
            <w:r>
              <w:t>Defined legal/support period</w:t>
            </w:r>
          </w:p>
        </w:tc>
      </w:tr>
      <w:tr>
        <w:tc>
          <w:tcPr>
            <w:tcW w:type="dxa" w:w="5112"/>
            <w:vAlign w:val="center"/>
          </w:tcPr>
          <w:p>
            <w:r>
              <w:t>Logs</w:t>
            </w:r>
          </w:p>
        </w:tc>
        <w:tc>
          <w:tcPr>
            <w:tcW w:type="dxa" w:w="5112"/>
            <w:vAlign w:val="center"/>
          </w:tcPr>
          <w:p>
            <w:r>
              <w:t>Risk-based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Location telemetry</w:t>
            </w:r>
          </w:p>
        </w:tc>
        <w:tc>
          <w:tcPr>
            <w:tcW w:type="dxa" w:w="5112"/>
            <w:vAlign w:val="center"/>
          </w:tcPr>
          <w:p>
            <w:r>
              <w:t>Minimise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 logs</w:t>
            </w:r>
          </w:p>
        </w:tc>
        <w:tc>
          <w:tcPr>
            <w:tcW w:type="dxa" w:w="5112"/>
            <w:vAlign w:val="center"/>
          </w:tcPr>
          <w:p>
            <w:r>
              <w:t>Risk/legal-based</w:t>
            </w:r>
          </w:p>
        </w:tc>
      </w:tr>
    </w:tbl>
    <w:p>
      <w:pPr>
        <w:pStyle w:val="Heading1"/>
      </w:pPr>
      <w:r>
        <w:t>35. Security Incident/Breach Plan</w:t>
      </w:r>
    </w:p>
    <w:p>
      <w:pPr>
        <w:pStyle w:val="ListNumber"/>
      </w:pPr>
      <w:r>
        <w:t>Detect/classify</w:t>
      </w:r>
    </w:p>
    <w:p>
      <w:pPr>
        <w:pStyle w:val="ListNumber"/>
      </w:pPr>
      <w:r>
        <w:t>Contain</w:t>
      </w:r>
    </w:p>
    <w:p>
      <w:pPr>
        <w:pStyle w:val="ListNumber"/>
      </w:pPr>
      <w:r>
        <w:t>Preserve evidence</w:t>
      </w:r>
    </w:p>
    <w:p>
      <w:pPr>
        <w:pStyle w:val="ListNumber"/>
      </w:pPr>
      <w:r>
        <w:t>Identify affected data/systems</w:t>
      </w:r>
    </w:p>
    <w:p>
      <w:pPr>
        <w:pStyle w:val="ListNumber"/>
      </w:pPr>
      <w:r>
        <w:t>Assess CPO/payment/vendor impact</w:t>
      </w:r>
    </w:p>
    <w:p>
      <w:pPr>
        <w:pStyle w:val="ListNumber"/>
      </w:pPr>
      <w:r>
        <w:t>Assess legal notifications</w:t>
      </w:r>
    </w:p>
    <w:p>
      <w:pPr>
        <w:pStyle w:val="ListNumber"/>
      </w:pPr>
      <w:r>
        <w:t>Coordinate partners</w:t>
      </w:r>
    </w:p>
    <w:p>
      <w:pPr>
        <w:pStyle w:val="ListNumber"/>
      </w:pPr>
      <w:r>
        <w:t>Communicate where required</w:t>
      </w:r>
    </w:p>
    <w:p>
      <w:pPr>
        <w:pStyle w:val="ListNumber"/>
      </w:pPr>
      <w:r>
        <w:t>Remediate</w:t>
      </w:r>
    </w:p>
    <w:p>
      <w:pPr>
        <w:pStyle w:val="ListNumber"/>
      </w:pPr>
      <w:r>
        <w:t>Document</w:t>
      </w:r>
    </w:p>
    <w:p>
      <w:pPr>
        <w:pStyle w:val="Heading1"/>
      </w:pPr>
      <w:r>
        <w:t>36. CPO Liability Allocation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Starting Contractual Allocation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Hardware failure</w:t>
            </w:r>
          </w:p>
        </w:tc>
        <w:tc>
          <w:tcPr>
            <w:tcW w:type="dxa" w:w="5112"/>
            <w:vAlign w:val="center"/>
          </w:tcPr>
          <w:p>
            <w:r>
              <w:t>CPO</w:t>
            </w:r>
          </w:p>
        </w:tc>
      </w:tr>
      <w:tr>
        <w:tc>
          <w:tcPr>
            <w:tcW w:type="dxa" w:w="5112"/>
            <w:vAlign w:val="center"/>
          </w:tcPr>
          <w:p>
            <w:r>
              <w:t>Physical/electrical site issue</w:t>
            </w:r>
          </w:p>
        </w:tc>
        <w:tc>
          <w:tcPr>
            <w:tcW w:type="dxa" w:w="5112"/>
            <w:vAlign w:val="center"/>
          </w:tcPr>
          <w:p>
            <w:r>
              <w:t>CPO/site operator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Incorrect CPO status/tariff feed</w:t>
            </w:r>
          </w:p>
        </w:tc>
        <w:tc>
          <w:tcPr>
            <w:tcW w:type="dxa" w:w="5112"/>
            <w:vAlign w:val="center"/>
          </w:tcPr>
          <w:p>
            <w:r>
              <w:t>CPO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ChargeMesh software outage</w:t>
            </w:r>
          </w:p>
        </w:tc>
        <w:tc>
          <w:tcPr>
            <w:tcW w:type="dxa" w:w="5112"/>
            <w:vAlign w:val="center"/>
          </w:tcPr>
          <w:p>
            <w:r>
              <w:t>ChargeMesh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ChargeMesh normalization error</w:t>
            </w:r>
          </w:p>
        </w:tc>
        <w:tc>
          <w:tcPr>
            <w:tcW w:type="dxa" w:w="5112"/>
            <w:vAlign w:val="center"/>
          </w:tcPr>
          <w:p>
            <w:r>
              <w:t>ChargeMesh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provider outage</w:t>
            </w:r>
          </w:p>
        </w:tc>
        <w:tc>
          <w:tcPr>
            <w:tcW w:type="dxa" w:w="5112"/>
            <w:vAlign w:val="center"/>
          </w:tcPr>
          <w:p>
            <w:r>
              <w:t>Payment provider subject to 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 misuse</w:t>
            </w:r>
          </w:p>
        </w:tc>
        <w:tc>
          <w:tcPr>
            <w:tcW w:type="dxa" w:w="5112"/>
            <w:vAlign w:val="center"/>
          </w:tcPr>
          <w:p>
            <w:r>
              <w:t>User subject to law</w:t>
            </w:r>
          </w:p>
        </w:tc>
      </w:tr>
    </w:tbl>
    <w:p>
      <w:pPr>
        <w:pStyle w:val="Heading1"/>
      </w:pPr>
      <w:r>
        <w:t>37. Indemnity Topics</w:t>
      </w:r>
    </w:p>
    <w:p>
      <w:pPr>
        <w:pStyle w:val="ListBullet"/>
      </w:pPr>
      <w:r>
        <w:t>IP infringement</w:t>
      </w:r>
    </w:p>
    <w:p>
      <w:pPr>
        <w:pStyle w:val="ListBullet"/>
      </w:pPr>
      <w:r>
        <w:t>Data/privacy breach</w:t>
      </w:r>
    </w:p>
    <w:p>
      <w:pPr>
        <w:pStyle w:val="ListBullet"/>
      </w:pPr>
      <w:r>
        <w:t>Regulatory breach</w:t>
      </w:r>
    </w:p>
    <w:p>
      <w:pPr>
        <w:pStyle w:val="ListBullet"/>
      </w:pPr>
      <w:r>
        <w:t>Fraud</w:t>
      </w:r>
    </w:p>
    <w:p>
      <w:pPr>
        <w:pStyle w:val="ListBullet"/>
      </w:pPr>
      <w:r>
        <w:t>Third-party claims</w:t>
      </w:r>
    </w:p>
    <w:p>
      <w:pPr>
        <w:pStyle w:val="ListBullet"/>
      </w:pPr>
      <w:r>
        <w:t>Physical infrastructure incidents</w:t>
      </w:r>
    </w:p>
    <w:p>
      <w:pPr>
        <w:pStyle w:val="ListBullet"/>
      </w:pPr>
      <w:r>
        <w:t>Misrepresentation</w:t>
      </w:r>
    </w:p>
    <w:p>
      <w:pPr>
        <w:pStyle w:val="ListBullet"/>
      </w:pPr>
      <w:r>
        <w:t>Confidentiality breach</w:t>
      </w:r>
    </w:p>
    <w:p>
      <w:pPr>
        <w:pStyle w:val="Heading1"/>
      </w:pPr>
      <w:r>
        <w:t>38. Limitation of Liability</w:t>
      </w:r>
    </w:p>
    <w:p>
      <w:pPr>
        <w:pStyle w:val="ListBullet"/>
      </w:pPr>
      <w:r>
        <w:t>Liability cap</w:t>
      </w:r>
    </w:p>
    <w:p>
      <w:pPr>
        <w:pStyle w:val="ListBullet"/>
      </w:pPr>
      <w:r>
        <w:t>Excluded losses</w:t>
      </w:r>
    </w:p>
    <w:p>
      <w:pPr>
        <w:pStyle w:val="ListBullet"/>
      </w:pPr>
      <w:r>
        <w:t>Data/security carve-outs</w:t>
      </w:r>
    </w:p>
    <w:p>
      <w:pPr>
        <w:pStyle w:val="ListBullet"/>
      </w:pPr>
      <w:r>
        <w:t>IP carve-outs</w:t>
      </w:r>
    </w:p>
    <w:p>
      <w:pPr>
        <w:pStyle w:val="ListBullet"/>
      </w:pPr>
      <w:r>
        <w:t>Payment losses</w:t>
      </w:r>
    </w:p>
    <w:p>
      <w:pPr>
        <w:pStyle w:val="ListBullet"/>
      </w:pPr>
      <w:r>
        <w:t>Physical injury/property damage</w:t>
      </w:r>
    </w:p>
    <w:p>
      <w:pPr>
        <w:pStyle w:val="ListBullet"/>
      </w:pPr>
      <w:r>
        <w:t>Fraud/wilful misconduct</w:t>
      </w:r>
    </w:p>
    <w:p>
      <w:pPr>
        <w:pStyle w:val="ListBullet"/>
      </w:pPr>
      <w:r>
        <w:t>Regulatory penalties where legally permissible</w:t>
      </w:r>
    </w:p>
    <w:p>
      <w:pPr>
        <w:pStyle w:val="Heading1"/>
      </w:pPr>
      <w:r>
        <w:t>39. Dispute Resolution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Contract 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Governing law</w:t>
            </w:r>
          </w:p>
        </w:tc>
        <w:tc>
          <w:tcPr>
            <w:tcW w:type="dxa" w:w="5112"/>
            <w:vAlign w:val="center"/>
          </w:tcPr>
          <w:p>
            <w:r>
              <w:t>Specified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Courts</w:t>
            </w:r>
          </w:p>
        </w:tc>
        <w:tc>
          <w:tcPr>
            <w:tcW w:type="dxa" w:w="5112"/>
            <w:vAlign w:val="center"/>
          </w:tcPr>
          <w:p>
            <w:r>
              <w:t>Specified jurisdiction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Arbitration</w:t>
            </w:r>
          </w:p>
        </w:tc>
        <w:tc>
          <w:tcPr>
            <w:tcW w:type="dxa" w:w="5112"/>
            <w:vAlign w:val="center"/>
          </w:tcPr>
          <w:p>
            <w:r>
              <w:t>If appropriate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Seat/venue</w:t>
            </w:r>
          </w:p>
        </w:tc>
        <w:tc>
          <w:tcPr>
            <w:tcW w:type="dxa" w:w="5112"/>
            <w:vAlign w:val="center"/>
          </w:tcPr>
          <w:p>
            <w:r>
              <w:t>Specified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Interim relief</w:t>
            </w:r>
          </w:p>
        </w:tc>
        <w:tc>
          <w:tcPr>
            <w:tcW w:type="dxa" w:w="5112"/>
            <w:vAlign w:val="center"/>
          </w:tcPr>
          <w:p>
            <w:r>
              <w:t>Where required</w:t>
            </w:r>
          </w:p>
        </w:tc>
      </w:tr>
    </w:tbl>
    <w:p>
      <w:pPr>
        <w:pStyle w:val="Heading1"/>
      </w:pPr>
      <w:r>
        <w:t>40. CPO Termination</w:t>
      </w:r>
    </w:p>
    <w:p>
      <w:pPr>
        <w:pStyle w:val="ListBullet"/>
      </w:pPr>
      <w:r>
        <w:t>Notice</w:t>
      </w:r>
    </w:p>
    <w:p>
      <w:pPr>
        <w:pStyle w:val="ListBullet"/>
      </w:pPr>
      <w:r>
        <w:t>Emergency termination</w:t>
      </w:r>
    </w:p>
    <w:p>
      <w:pPr>
        <w:pStyle w:val="ListBullet"/>
      </w:pPr>
      <w:r>
        <w:t>Stop new sessions</w:t>
      </w:r>
    </w:p>
    <w:p>
      <w:pPr>
        <w:pStyle w:val="ListBullet"/>
      </w:pPr>
      <w:r>
        <w:t>Complete active sessions safely</w:t>
      </w:r>
    </w:p>
    <w:p>
      <w:pPr>
        <w:pStyle w:val="ListBullet"/>
      </w:pPr>
      <w:r>
        <w:t>CDR reconciliation</w:t>
      </w:r>
    </w:p>
    <w:p>
      <w:pPr>
        <w:pStyle w:val="ListBullet"/>
      </w:pPr>
      <w:r>
        <w:t>Final settlement</w:t>
      </w:r>
    </w:p>
    <w:p>
      <w:pPr>
        <w:pStyle w:val="ListBullet"/>
      </w:pPr>
      <w:r>
        <w:t>Refunds</w:t>
      </w:r>
    </w:p>
    <w:p>
      <w:pPr>
        <w:pStyle w:val="ListBullet"/>
      </w:pPr>
      <w:r>
        <w:t>Station delisting</w:t>
      </w:r>
    </w:p>
    <w:p>
      <w:pPr>
        <w:pStyle w:val="ListBullet"/>
      </w:pPr>
      <w:r>
        <w:t>Data return/deletion</w:t>
      </w:r>
    </w:p>
    <w:p>
      <w:pPr>
        <w:pStyle w:val="ListBullet"/>
      </w:pPr>
      <w:r>
        <w:t>Brand removal</w:t>
      </w:r>
    </w:p>
    <w:p>
      <w:pPr>
        <w:pStyle w:val="ListBullet"/>
      </w:pPr>
      <w:r>
        <w:t>Credential revocation</w:t>
      </w:r>
    </w:p>
    <w:p>
      <w:pPr>
        <w:pStyle w:val="Heading1"/>
      </w:pPr>
      <w:r>
        <w:t>41. Fundraising Legal Readiness</w:t>
      </w:r>
    </w:p>
    <w:p>
      <w:pPr>
        <w:pStyle w:val="ListBullet"/>
      </w:pPr>
      <w:r>
        <w:t>Clean cap table</w:t>
      </w:r>
    </w:p>
    <w:p>
      <w:pPr>
        <w:pStyle w:val="ListBullet"/>
      </w:pPr>
      <w:r>
        <w:t>Founder IP assignments</w:t>
      </w:r>
    </w:p>
    <w:p>
      <w:pPr>
        <w:pStyle w:val="ListBullet"/>
      </w:pPr>
      <w:r>
        <w:t>Employee/contractor IP assignments</w:t>
      </w:r>
    </w:p>
    <w:p>
      <w:pPr>
        <w:pStyle w:val="ListBullet"/>
      </w:pPr>
      <w:r>
        <w:t>Material CPO/payment contracts</w:t>
      </w:r>
    </w:p>
    <w:p>
      <w:pPr>
        <w:pStyle w:val="ListBullet"/>
      </w:pPr>
      <w:r>
        <w:t>Privacy/terms</w:t>
      </w:r>
    </w:p>
    <w:p>
      <w:pPr>
        <w:pStyle w:val="ListBullet"/>
      </w:pPr>
      <w:r>
        <w:t>Security policies</w:t>
      </w:r>
    </w:p>
    <w:p>
      <w:pPr>
        <w:pStyle w:val="ListBullet"/>
      </w:pPr>
      <w:r>
        <w:t>Corporate filings</w:t>
      </w:r>
    </w:p>
    <w:p>
      <w:pPr>
        <w:pStyle w:val="ListBullet"/>
      </w:pPr>
      <w:r>
        <w:t>Tax/GST records</w:t>
      </w:r>
    </w:p>
    <w:p>
      <w:pPr>
        <w:pStyle w:val="ListBullet"/>
      </w:pPr>
      <w:r>
        <w:t>Liabilities/disputes disclosure</w:t>
      </w:r>
    </w:p>
    <w:p>
      <w:pPr>
        <w:pStyle w:val="ListBullet"/>
      </w:pPr>
      <w:r>
        <w:t>Open-source compliance</w:t>
      </w:r>
    </w:p>
    <w:p>
      <w:pPr>
        <w:pStyle w:val="Heading1"/>
      </w:pPr>
      <w:r>
        <w:t>42. Legal Due Diligence Folder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Corporate</w:t>
            </w:r>
          </w:p>
        </w:tc>
        <w:tc>
          <w:tcPr>
            <w:tcW w:type="dxa" w:w="5112"/>
            <w:vAlign w:val="center"/>
          </w:tcPr>
          <w:p>
            <w:r>
              <w:t>Incorporation, charter, filings</w:t>
            </w:r>
          </w:p>
        </w:tc>
      </w:tr>
      <w:tr>
        <w:tc>
          <w:tcPr>
            <w:tcW w:type="dxa" w:w="5112"/>
            <w:vAlign w:val="center"/>
          </w:tcPr>
          <w:p>
            <w:r>
              <w:t>Founders</w:t>
            </w:r>
          </w:p>
        </w:tc>
        <w:tc>
          <w:tcPr>
            <w:tcW w:type="dxa" w:w="5112"/>
            <w:vAlign w:val="center"/>
          </w:tcPr>
          <w:p>
            <w:r>
              <w:t>Agreements, cap table, share records</w:t>
            </w:r>
          </w:p>
        </w:tc>
      </w:tr>
      <w:tr>
        <w:tc>
          <w:tcPr>
            <w:tcW w:type="dxa" w:w="5112"/>
            <w:vAlign w:val="center"/>
          </w:tcPr>
          <w:p>
            <w:r>
              <w:t>IP</w:t>
            </w:r>
          </w:p>
        </w:tc>
        <w:tc>
          <w:tcPr>
            <w:tcW w:type="dxa" w:w="5112"/>
            <w:vAlign w:val="center"/>
          </w:tcPr>
          <w:p>
            <w:r>
              <w:t>Trademark, assignments, OSS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</w:t>
            </w:r>
          </w:p>
        </w:tc>
        <w:tc>
          <w:tcPr>
            <w:tcW w:type="dxa" w:w="5112"/>
            <w:vAlign w:val="center"/>
          </w:tcPr>
          <w:p>
            <w:r>
              <w:t>Terms, privacy, refund</w:t>
            </w:r>
          </w:p>
        </w:tc>
      </w:tr>
      <w:tr>
        <w:tc>
          <w:tcPr>
            <w:tcW w:type="dxa" w:w="5112"/>
            <w:vAlign w:val="center"/>
          </w:tcPr>
          <w:p>
            <w:r>
              <w:t>CPO</w:t>
            </w:r>
          </w:p>
        </w:tc>
        <w:tc>
          <w:tcPr>
            <w:tcW w:type="dxa" w:w="5112"/>
            <w:vAlign w:val="center"/>
          </w:tcPr>
          <w:p>
            <w:r>
              <w:t>Executed agreements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Payments</w:t>
            </w:r>
          </w:p>
        </w:tc>
        <w:tc>
          <w:tcPr>
            <w:tcW w:type="dxa" w:w="5112"/>
            <w:vAlign w:val="center"/>
          </w:tcPr>
          <w:p>
            <w:r>
              <w:t>Provider contracts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</w:t>
            </w:r>
          </w:p>
        </w:tc>
        <w:tc>
          <w:tcPr>
            <w:tcW w:type="dxa" w:w="5112"/>
            <w:vAlign w:val="center"/>
          </w:tcPr>
          <w:p>
            <w:r>
              <w:t>Privacy/data-processing agreements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Policies, audits,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</w:t>
            </w:r>
          </w:p>
        </w:tc>
        <w:tc>
          <w:tcPr>
            <w:tcW w:type="dxa" w:w="5112"/>
            <w:vAlign w:val="center"/>
          </w:tcPr>
          <w:p>
            <w:r>
              <w:t>GST/accounting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Employment</w:t>
            </w:r>
          </w:p>
        </w:tc>
        <w:tc>
          <w:tcPr>
            <w:tcW w:type="dxa" w:w="5112"/>
            <w:vAlign w:val="center"/>
          </w:tcPr>
          <w:p>
            <w:r>
              <w:t>Contracts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Insurance</w:t>
            </w:r>
          </w:p>
        </w:tc>
        <w:tc>
          <w:tcPr>
            <w:tcW w:type="dxa" w:w="5112"/>
            <w:vAlign w:val="center"/>
          </w:tcPr>
          <w:p>
            <w:r>
              <w:t>Policies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Disputes</w:t>
            </w:r>
          </w:p>
        </w:tc>
        <w:tc>
          <w:tcPr>
            <w:tcW w:type="dxa" w:w="5112"/>
            <w:vAlign w:val="center"/>
          </w:tcPr>
          <w:p>
            <w:r>
              <w:t>Claims/notices</w:t>
            </w:r>
          </w:p>
        </w:tc>
      </w:tr>
    </w:tbl>
    <w:p>
      <w:pPr>
        <w:pStyle w:val="Heading1"/>
      </w:pPr>
      <w:r>
        <w:t>43. Compliance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556"/>
            <w:vAlign w:val="center"/>
          </w:tcPr>
          <w:p>
            <w:r>
              <w:t>Corporate</w:t>
            </w:r>
          </w:p>
        </w:tc>
        <w:tc>
          <w:tcPr>
            <w:tcW w:type="dxa" w:w="2556"/>
            <w:vAlign w:val="center"/>
          </w:tcPr>
          <w:p>
            <w:r>
              <w:t>Founder/CS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Corporate records</w:t>
            </w:r>
          </w:p>
        </w:tc>
      </w:tr>
      <w:tr>
        <w:tc>
          <w:tcPr>
            <w:tcW w:type="dxa" w:w="2556"/>
            <w:vAlign w:val="center"/>
          </w:tcPr>
          <w:p>
            <w:r>
              <w:t>Tax/GST</w:t>
            </w:r>
          </w:p>
        </w:tc>
        <w:tc>
          <w:tcPr>
            <w:tcW w:type="dxa" w:w="2556"/>
            <w:vAlign w:val="center"/>
          </w:tcPr>
          <w:p>
            <w:r>
              <w:t>Finance/CA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Registrations/returns</w:t>
            </w:r>
          </w:p>
        </w:tc>
      </w:tr>
      <w:tr>
        <w:tc>
          <w:tcPr>
            <w:tcW w:type="dxa" w:w="2556"/>
            <w:vAlign w:val="center"/>
          </w:tcPr>
          <w:p>
            <w:r>
              <w:t>Trademark</w:t>
            </w:r>
          </w:p>
        </w:tc>
        <w:tc>
          <w:tcPr>
            <w:tcW w:type="dxa" w:w="2556"/>
            <w:vAlign w:val="center"/>
          </w:tcPr>
          <w:p>
            <w:r>
              <w:t>Legal</w:t>
            </w:r>
          </w:p>
        </w:tc>
        <w:tc>
          <w:tcPr>
            <w:tcW w:type="dxa" w:w="2556"/>
            <w:vAlign w:val="center"/>
          </w:tcPr>
          <w:p>
            <w:r>
              <w:t>P1</w:t>
            </w:r>
          </w:p>
        </w:tc>
        <w:tc>
          <w:tcPr>
            <w:tcW w:type="dxa" w:w="2556"/>
            <w:vAlign w:val="center"/>
          </w:tcPr>
          <w:p>
            <w:r>
              <w:t>Search/filing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CPO contracts</w:t>
            </w:r>
          </w:p>
        </w:tc>
        <w:tc>
          <w:tcPr>
            <w:tcW w:type="dxa" w:w="2556"/>
            <w:vAlign w:val="center"/>
          </w:tcPr>
          <w:p>
            <w:r>
              <w:t>Legal/BD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Signed agreements</w:t>
            </w:r>
          </w:p>
        </w:tc>
      </w:tr>
      <w:tr>
        <w:tc>
          <w:tcPr>
            <w:tcW w:type="dxa" w:w="2556"/>
            <w:vAlign w:val="center"/>
          </w:tcPr>
          <w:p>
            <w:r>
              <w:t>Payment structure</w:t>
            </w:r>
          </w:p>
        </w:tc>
        <w:tc>
          <w:tcPr>
            <w:tcW w:type="dxa" w:w="2556"/>
            <w:vAlign w:val="center"/>
          </w:tcPr>
          <w:p>
            <w:r>
              <w:t>Legal/Finance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Counsel review + provider contract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Privacy</w:t>
            </w:r>
          </w:p>
        </w:tc>
        <w:tc>
          <w:tcPr>
            <w:tcW w:type="dxa" w:w="2556"/>
            <w:vAlign w:val="center"/>
          </w:tcPr>
          <w:p>
            <w:r>
              <w:t>Legal/Product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Data map + policy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Consumer protection</w:t>
            </w:r>
          </w:p>
        </w:tc>
        <w:tc>
          <w:tcPr>
            <w:tcW w:type="dxa" w:w="2556"/>
            <w:vAlign w:val="center"/>
          </w:tcPr>
          <w:p>
            <w:r>
              <w:t>Legal/Product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Terms/grievance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Security</w:t>
            </w:r>
          </w:p>
        </w:tc>
        <w:tc>
          <w:tcPr>
            <w:tcW w:type="dxa" w:w="2556"/>
            <w:vAlign w:val="center"/>
          </w:tcPr>
          <w:p>
            <w:r>
              <w:t>CTO/Security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Policies/tests</w:t>
            </w:r>
          </w:p>
        </w:tc>
      </w:tr>
      <w:tr>
        <w:tc>
          <w:tcPr>
            <w:tcW w:type="dxa" w:w="2556"/>
            <w:vAlign w:val="center"/>
          </w:tcPr>
          <w:p>
            <w:r>
              <w:t>EV charging role</w:t>
            </w:r>
          </w:p>
        </w:tc>
        <w:tc>
          <w:tcPr>
            <w:tcW w:type="dxa" w:w="2556"/>
            <w:vAlign w:val="center"/>
          </w:tcPr>
          <w:p>
            <w:r>
              <w:t>Legal/CPO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Role assessment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 stores</w:t>
            </w:r>
          </w:p>
        </w:tc>
        <w:tc>
          <w:tcPr>
            <w:tcW w:type="dxa" w:w="2556"/>
            <w:vAlign w:val="center"/>
          </w:tcPr>
          <w:p>
            <w:r>
              <w:t>Product/Legal</w:t>
            </w:r>
          </w:p>
        </w:tc>
        <w:tc>
          <w:tcPr>
            <w:tcW w:type="dxa" w:w="2556"/>
            <w:vAlign w:val="center"/>
          </w:tcPr>
          <w:p>
            <w:r>
              <w:t>P1</w:t>
            </w:r>
          </w:p>
        </w:tc>
        <w:tc>
          <w:tcPr>
            <w:tcW w:type="dxa" w:w="2556"/>
            <w:vAlign w:val="center"/>
          </w:tcPr>
          <w:p>
            <w:r>
              <w:t>Checklist</w:t>
            </w:r>
          </w:p>
        </w:tc>
      </w:tr>
    </w:tbl>
    <w:p>
      <w:pPr>
        <w:pStyle w:val="Heading1"/>
      </w:pPr>
      <w:r>
        <w:t>44. Critical Legal Decisions Before MVP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5112"/>
            <w:vAlign w:val="center"/>
          </w:tcPr>
          <w:p>
            <w:r>
              <w:t>Will ChargeMesh hold stored value?</w:t>
            </w:r>
          </w:p>
        </w:tc>
        <w:tc>
          <w:tcPr>
            <w:tcW w:type="dxa" w:w="5112"/>
            <w:vAlign w:val="center"/>
          </w:tcPr>
          <w:p>
            <w:r>
              <w:t>Payment regulation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Merchant of record?</w:t>
            </w:r>
          </w:p>
        </w:tc>
        <w:tc>
          <w:tcPr>
            <w:tcW w:type="dxa" w:w="5112"/>
            <w:vAlign w:val="center"/>
          </w:tcPr>
          <w:p>
            <w:r>
              <w:t>Invoicing/refunds/liability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Who contracts for charging?</w:t>
            </w:r>
          </w:p>
        </w:tc>
        <w:tc>
          <w:tcPr>
            <w:tcW w:type="dxa" w:w="5112"/>
            <w:vAlign w:val="center"/>
          </w:tcPr>
          <w:p>
            <w:r>
              <w:t>Consumer relationship</w:t>
            </w:r>
          </w:p>
        </w:tc>
      </w:tr>
      <w:tr>
        <w:tc>
          <w:tcPr>
            <w:tcW w:type="dxa" w:w="5112"/>
            <w:vAlign w:val="center"/>
          </w:tcPr>
          <w:p>
            <w:r>
              <w:t>Who issues invoice?</w:t>
            </w:r>
          </w:p>
        </w:tc>
        <w:tc>
          <w:tcPr>
            <w:tcW w:type="dxa" w:w="5112"/>
            <w:vAlign w:val="center"/>
          </w:tcPr>
          <w:p>
            <w:r>
              <w:t>Tax clarity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Who settles CPO?</w:t>
            </w:r>
          </w:p>
        </w:tc>
        <w:tc>
          <w:tcPr>
            <w:tcW w:type="dxa" w:w="5112"/>
            <w:vAlign w:val="center"/>
          </w:tcPr>
          <w:p>
            <w:r>
              <w:t>Commercial/payment architecture</w:t>
            </w:r>
          </w:p>
        </w:tc>
      </w:tr>
      <w:tr>
        <w:tc>
          <w:tcPr>
            <w:tcW w:type="dxa" w:w="5112"/>
            <w:vAlign w:val="center"/>
          </w:tcPr>
          <w:p>
            <w:r>
              <w:t>What CPO data can be used?</w:t>
            </w:r>
          </w:p>
        </w:tc>
        <w:tc>
          <w:tcPr>
            <w:tcW w:type="dxa" w:w="5112"/>
            <w:vAlign w:val="center"/>
          </w:tcPr>
          <w:p>
            <w:r>
              <w:t>Data/IP rights</w:t>
            </w:r>
          </w:p>
        </w:tc>
      </w:tr>
      <w:tr>
        <w:tc>
          <w:tcPr>
            <w:tcW w:type="dxa" w:w="5112"/>
            <w:vAlign w:val="center"/>
          </w:tcPr>
          <w:p>
            <w:r>
              <w:t>Unknown status behavior?</w:t>
            </w:r>
          </w:p>
        </w:tc>
        <w:tc>
          <w:tcPr>
            <w:tcW w:type="dxa" w:w="5112"/>
            <w:vAlign w:val="center"/>
          </w:tcPr>
          <w:p>
            <w:r>
              <w:t>Consumer trust</w:t>
            </w:r>
          </w:p>
        </w:tc>
      </w:tr>
      <w:tr>
        <w:tc>
          <w:tcPr>
            <w:tcW w:type="dxa" w:w="5112"/>
            <w:vAlign w:val="center"/>
          </w:tcPr>
          <w:p>
            <w:r>
              <w:t>Failed-start refund?</w:t>
            </w:r>
          </w:p>
        </w:tc>
        <w:tc>
          <w:tcPr>
            <w:tcW w:type="dxa" w:w="5112"/>
            <w:vAlign w:val="center"/>
          </w:tcPr>
          <w:p>
            <w:r>
              <w:t>Customer protection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Physical infrastructure operation?</w:t>
            </w:r>
          </w:p>
        </w:tc>
        <w:tc>
          <w:tcPr>
            <w:tcW w:type="dxa" w:w="5112"/>
            <w:vAlign w:val="center"/>
          </w:tcPr>
          <w:p>
            <w:r>
              <w:t>Regulatory/safety scope</w:t>
            </w:r>
          </w:p>
        </w:tc>
      </w:tr>
    </w:tbl>
    <w:p>
      <w:pPr>
        <w:pStyle w:val="Heading1"/>
      </w:pPr>
      <w:r>
        <w:t>45. Recommended MVP Legal Model</w:t>
      </w:r>
    </w:p>
    <w:p>
      <w:pPr>
        <w:jc w:val="center"/>
      </w:pPr>
      <w:r>
        <w:rPr>
          <w:b/>
        </w:rPr>
        <w:t>CHARGEMESH SOFTWARE + CPO SERVICE AGREEMENTS + REGULATED PAYMENT PROVIDER + USER TERMS + PRIVACY FRAMEWORK</w:t>
      </w:r>
    </w:p>
    <w:p>
      <w:pPr>
        <w:pStyle w:val="ListBullet"/>
      </w:pPr>
      <w:r>
        <w:t>ChargeMesh does not operate physical infrastructure at MVP</w:t>
      </w:r>
    </w:p>
    <w:p>
      <w:pPr>
        <w:pStyle w:val="ListBullet"/>
      </w:pPr>
      <w:r>
        <w:t>No independent stored-value PPI unless properly authorised/structured</w:t>
      </w:r>
    </w:p>
    <w:p>
      <w:pPr>
        <w:pStyle w:val="ListBullet"/>
      </w:pPr>
      <w:r>
        <w:t>Payment processing through suitable regulated provider</w:t>
      </w:r>
    </w:p>
    <w:p>
      <w:pPr>
        <w:pStyle w:val="ListBullet"/>
      </w:pPr>
      <w:r>
        <w:t>CPO responsible for its infrastructure and source data</w:t>
      </w:r>
    </w:p>
    <w:p>
      <w:pPr>
        <w:pStyle w:val="ListBullet"/>
      </w:pPr>
      <w:r>
        <w:t>ChargeMesh provides discovery/orchestration</w:t>
      </w:r>
    </w:p>
    <w:p>
      <w:pPr>
        <w:pStyle w:val="ListBullet"/>
      </w:pPr>
      <w:r>
        <w:t>User terms disclose participating CPO role</w:t>
      </w:r>
    </w:p>
    <w:p>
      <w:pPr>
        <w:pStyle w:val="ListBullet"/>
      </w:pPr>
      <w:r>
        <w:t>Standard CPO master agreement + technical schedule</w:t>
      </w:r>
    </w:p>
    <w:p>
      <w:pPr>
        <w:pStyle w:val="Heading1"/>
      </w:pPr>
      <w:r>
        <w:t>46. Legal Document Pack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Corporate incorporation file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Founders' Agreement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IP Assignment Agreements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CPO Master Agreement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CPO Technical Schedule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Provider Agreement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 Terms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Privacy Policy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Refund/Cancellation Policy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Grievance Policy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Vendor Agreements</w:t>
            </w:r>
          </w:p>
        </w:tc>
        <w:tc>
          <w:tcPr>
            <w:tcW w:type="dxa" w:w="5112"/>
            <w:vAlign w:val="center"/>
          </w:tcPr>
          <w:p>
            <w:r>
              <w:t>P0/P1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Employee/Contractor Agreements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Trademark clearance/filing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 policy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retention policy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Incident response policy</w:t>
            </w:r>
          </w:p>
        </w:tc>
        <w:tc>
          <w:tcPr>
            <w:tcW w:type="dxa" w:w="5112"/>
            <w:vAlign w:val="center"/>
          </w:tcPr>
          <w:p>
            <w:r>
              <w:t>P0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Insurance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</w:tbl>
    <w:p>
      <w:pPr>
        <w:pStyle w:val="Heading1"/>
      </w:pPr>
      <w:r>
        <w:t>47. Launch Legal Gate</w:t>
      </w:r>
    </w:p>
    <w:p>
      <w:pPr>
        <w:pStyle w:val="ListBullet"/>
      </w:pPr>
      <w:r>
        <w:t>Entity verified</w:t>
      </w:r>
    </w:p>
    <w:p>
      <w:pPr>
        <w:pStyle w:val="ListBullet"/>
      </w:pPr>
      <w:r>
        <w:t>Founder/developer IP verified</w:t>
      </w:r>
    </w:p>
    <w:p>
      <w:pPr>
        <w:pStyle w:val="ListBullet"/>
      </w:pPr>
      <w:r>
        <w:t>Trademark search completed</w:t>
      </w:r>
    </w:p>
    <w:p>
      <w:pPr>
        <w:pStyle w:val="ListBullet"/>
      </w:pPr>
      <w:r>
        <w:t>Payment model reviewed</w:t>
      </w:r>
    </w:p>
    <w:p>
      <w:pPr>
        <w:pStyle w:val="ListBullet"/>
      </w:pPr>
      <w:r>
        <w:t>Payment provider contracted</w:t>
      </w:r>
    </w:p>
    <w:p>
      <w:pPr>
        <w:pStyle w:val="ListBullet"/>
      </w:pPr>
      <w:r>
        <w:t>Pilot CPO agreements signed</w:t>
      </w:r>
    </w:p>
    <w:p>
      <w:pPr>
        <w:pStyle w:val="ListBullet"/>
      </w:pPr>
      <w:r>
        <w:t>Terms/privacy/refund approved</w:t>
      </w:r>
    </w:p>
    <w:p>
      <w:pPr>
        <w:pStyle w:val="ListBullet"/>
      </w:pPr>
      <w:r>
        <w:t>Grievance process live</w:t>
      </w:r>
    </w:p>
    <w:p>
      <w:pPr>
        <w:pStyle w:val="ListBullet"/>
      </w:pPr>
      <w:r>
        <w:t>Data map complete</w:t>
      </w:r>
    </w:p>
    <w:p>
      <w:pPr>
        <w:pStyle w:val="ListBullet"/>
      </w:pPr>
      <w:r>
        <w:t>Vendor contracts reviewed</w:t>
      </w:r>
    </w:p>
    <w:p>
      <w:pPr>
        <w:pStyle w:val="ListBullet"/>
      </w:pPr>
      <w:r>
        <w:t>Security controls reviewed</w:t>
      </w:r>
    </w:p>
    <w:p>
      <w:pPr>
        <w:pStyle w:val="ListBullet"/>
      </w:pPr>
      <w:r>
        <w:t>EV charging role assessed</w:t>
      </w:r>
    </w:p>
    <w:p>
      <w:pPr>
        <w:pStyle w:val="ListBullet"/>
      </w:pPr>
      <w:r>
        <w:t>Tax/GST reviewed</w:t>
      </w:r>
    </w:p>
    <w:p>
      <w:pPr>
        <w:pStyle w:val="ListBullet"/>
      </w:pPr>
      <w:r>
        <w:t>App-store disclosures ready</w:t>
      </w:r>
    </w:p>
    <w:p>
      <w:pPr>
        <w:pStyle w:val="ListBullet"/>
      </w:pPr>
      <w:r>
        <w:t>Incident response ready</w:t>
      </w:r>
    </w:p>
    <w:p>
      <w:pPr>
        <w:pStyle w:val="ListBullet"/>
      </w:pPr>
      <w:r>
        <w:t>Insurance reviewed</w:t>
      </w:r>
    </w:p>
    <w:p>
      <w:pPr>
        <w:pStyle w:val="Heading1"/>
      </w:pPr>
      <w:r>
        <w:t>48. Red Flags — Do Not Launch</w:t>
      </w:r>
    </w:p>
    <w:p>
      <w:pPr>
        <w:pStyle w:val="ListBullet"/>
      </w:pPr>
      <w:r>
        <w:t>Holding third-party funds without a proper structure</w:t>
      </w:r>
    </w:p>
    <w:p>
      <w:pPr>
        <w:pStyle w:val="ListBullet"/>
      </w:pPr>
      <w:r>
        <w:t>Using CPO data without permission</w:t>
      </w:r>
    </w:p>
    <w:p>
      <w:pPr>
        <w:pStyle w:val="ListBullet"/>
      </w:pPr>
      <w:r>
        <w:t>No clear merchant/settlement responsibility</w:t>
      </w:r>
    </w:p>
    <w:p>
      <w:pPr>
        <w:pStyle w:val="ListBullet"/>
      </w:pPr>
      <w:r>
        <w:t>Stale/unknown status shown as guaranteed</w:t>
      </w:r>
    </w:p>
    <w:p>
      <w:pPr>
        <w:pStyle w:val="ListBullet"/>
      </w:pPr>
      <w:r>
        <w:t>No failed-payment/failed-charge refund path</w:t>
      </w:r>
    </w:p>
    <w:p>
      <w:pPr>
        <w:pStyle w:val="ListBullet"/>
      </w:pPr>
      <w:r>
        <w:t>Unnecessary raw payment credentials</w:t>
      </w:r>
    </w:p>
    <w:p>
      <w:pPr>
        <w:pStyle w:val="ListBullet"/>
      </w:pPr>
      <w:r>
        <w:t>No privacy/data governance</w:t>
      </w:r>
    </w:p>
    <w:p>
      <w:pPr>
        <w:pStyle w:val="ListBullet"/>
      </w:pPr>
      <w:r>
        <w:t>No grievance mechanism</w:t>
      </w:r>
    </w:p>
    <w:p>
      <w:pPr>
        <w:pStyle w:val="ListBullet"/>
      </w:pPr>
      <w:r>
        <w:t>Unclear physical liability</w:t>
      </w:r>
    </w:p>
    <w:p>
      <w:pPr>
        <w:pStyle w:val="ListBullet"/>
      </w:pPr>
      <w:r>
        <w:t>Unclear IP ownership</w:t>
      </w:r>
    </w:p>
    <w:p>
      <w:pPr>
        <w:pStyle w:val="ListBullet"/>
      </w:pPr>
      <w:r>
        <w:t>Using CPO APIs without contractual authorization</w:t>
      </w:r>
    </w:p>
    <w:p>
      <w:pPr>
        <w:pStyle w:val="Heading1"/>
      </w:pPr>
      <w:r>
        <w:t>49. Questions for Indian Counsel</w:t>
      </w:r>
    </w:p>
    <w:p>
      <w:pPr>
        <w:pStyle w:val="ListNumber"/>
      </w:pPr>
      <w:r>
        <w:t>Is the proposed payment flow regulated payment activity?</w:t>
      </w:r>
    </w:p>
    <w:p>
      <w:pPr>
        <w:pStyle w:val="ListNumber"/>
      </w:pPr>
      <w:r>
        <w:t>Can ChargeMesh hold stored value or should an authorised PPI/payment partner hold it?</w:t>
      </w:r>
    </w:p>
    <w:p>
      <w:pPr>
        <w:pStyle w:val="ListNumber"/>
      </w:pPr>
      <w:r>
        <w:t>Who should be merchant of record?</w:t>
      </w:r>
    </w:p>
    <w:p>
      <w:pPr>
        <w:pStyle w:val="ListNumber"/>
      </w:pPr>
      <w:r>
        <w:t>What GST/tax treatment applies?</w:t>
      </w:r>
    </w:p>
    <w:p>
      <w:pPr>
        <w:pStyle w:val="ListNumber"/>
      </w:pPr>
      <w:r>
        <w:t>How should CPO/ChargeMesh/payment liability be allocated?</w:t>
      </w:r>
    </w:p>
    <w:p>
      <w:pPr>
        <w:pStyle w:val="ListNumber"/>
      </w:pPr>
      <w:r>
        <w:t>What DPDP compliance is required at launch?</w:t>
      </w:r>
    </w:p>
    <w:p>
      <w:pPr>
        <w:pStyle w:val="ListNumber"/>
      </w:pPr>
      <w:r>
        <w:t>Are state/local EV charging obligations triggered by ChargeMesh's role?</w:t>
      </w:r>
    </w:p>
    <w:p>
      <w:pPr>
        <w:pStyle w:val="ListNumber"/>
      </w:pPr>
      <w:r>
        <w:t>What consumer disclosures are required?</w:t>
      </w:r>
    </w:p>
    <w:p>
      <w:pPr>
        <w:pStyle w:val="ListNumber"/>
      </w:pPr>
      <w:r>
        <w:t>What changes if ChargeMesh operates chargers later?</w:t>
      </w:r>
    </w:p>
    <w:p>
      <w:pPr>
        <w:pStyle w:val="ListNumber"/>
      </w:pPr>
      <w:r>
        <w:t>What insurance limits are appropriate?</w:t>
      </w:r>
    </w:p>
    <w:p>
      <w:pPr>
        <w:pStyle w:val="Heading1"/>
      </w:pPr>
      <w:r>
        <w:t>50. Final Legal Architecture</w:t>
      </w:r>
    </w:p>
    <w:p>
      <w:pPr>
        <w:jc w:val="center"/>
      </w:pPr>
      <w:r>
        <w:rPr>
          <w:b/>
        </w:rPr>
        <w:t>USER ↔ CHARGEMESH ↔ PAYMENT PROVIDER ↔ CPO</w:t>
      </w:r>
    </w:p>
    <w:p>
      <w:pPr>
        <w:jc w:val="left"/>
      </w:pPr>
      <w:r>
        <w:rPr>
          <w:b w:val="0"/>
        </w:rPr>
        <w:t>Every hand-off should have an explicit contractual and operational responsibility boundary.</w:t>
      </w:r>
    </w:p>
    <w:p>
      <w:pPr>
        <w:pStyle w:val="Heading1"/>
      </w:pPr>
      <w:r>
        <w:t>51. Official Regulatory References</w:t>
      </w:r>
    </w:p>
    <w:p>
      <w:pPr>
        <w:jc w:val="left"/>
      </w:pPr>
      <w:r>
        <w:rPr>
          <w:b w:val="0"/>
        </w:rPr>
        <w:t>Ministry of Power — EV Charging Infrastructure 2024: urlOfficial guideline documentturn0search36</w:t>
      </w:r>
    </w:p>
    <w:p>
      <w:pPr>
        <w:jc w:val="left"/>
      </w:pPr>
      <w:r>
        <w:rPr>
          <w:b w:val="0"/>
        </w:rPr>
        <w:t>RBI — Master Directions on PPIs: urlOfficial RBI PPI directionsturn0search0</w:t>
      </w:r>
    </w:p>
    <w:p>
      <w:pPr>
        <w:jc w:val="left"/>
      </w:pPr>
      <w:r>
        <w:rPr>
          <w:b w:val="0"/>
        </w:rPr>
        <w:t>MeitY — Digital Personal Data Protection Act 2023: urlOfficial DPDP Act publicationturn1search17</w:t>
      </w:r>
    </w:p>
    <w:p>
      <w:pPr>
        <w:jc w:val="left"/>
      </w:pPr>
      <w:r>
        <w:rPr>
          <w:b w:val="0"/>
        </w:rPr>
        <w:t>Department of Consumer Affairs — Consumer Protection/E-Commerce repository: urlOfficial repositoryturn1search0</w:t>
      </w:r>
    </w:p>
    <w:p>
      <w:pPr>
        <w:pStyle w:val="Heading1"/>
      </w:pPr>
      <w:r>
        <w:t>52. Approval Sign-Off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408"/>
            <w:shd w:fill="DDEB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408"/>
            <w:shd w:fill="DDEBF7"/>
          </w:tcPr>
          <w:p>
            <w:r>
              <w:rPr>
                <w:b/>
              </w:rPr>
              <w:t>Date/Approval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t>Founder/CEO</w:t>
            </w:r>
          </w:p>
        </w:tc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/>
          </w:p>
        </w:tc>
      </w:tr>
      <w:tr>
        <w:tc>
          <w:tcPr>
            <w:tcW w:type="dxa" w:w="3408"/>
            <w:vAlign w:val="center"/>
          </w:tcPr>
          <w:p>
            <w:r>
              <w:t>Product</w:t>
            </w:r>
          </w:p>
        </w:tc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/>
          </w:p>
        </w:tc>
      </w:tr>
      <w:tr>
        <w:tc>
          <w:tcPr>
            <w:tcW w:type="dxa" w:w="3408"/>
            <w:vAlign w:val="center"/>
          </w:tcPr>
          <w:p>
            <w:r>
              <w:t>Technology</w:t>
            </w:r>
          </w:p>
        </w:tc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/>
          </w:p>
        </w:tc>
      </w:tr>
      <w:tr>
        <w:tc>
          <w:tcPr>
            <w:tcW w:type="dxa" w:w="3408"/>
            <w:vAlign w:val="center"/>
          </w:tcPr>
          <w:p>
            <w:r>
              <w:t>Finance</w:t>
            </w:r>
          </w:p>
        </w:tc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/>
          </w:p>
        </w:tc>
      </w:tr>
      <w:tr>
        <w:tc>
          <w:tcPr>
            <w:tcW w:type="dxa" w:w="3408"/>
            <w:vAlign w:val="center"/>
          </w:tcPr>
          <w:p>
            <w:r>
              <w:t>Legal Counsel</w:t>
            </w:r>
          </w:p>
        </w:tc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/>
          </w:p>
        </w:tc>
      </w:tr>
      <w:tr>
        <w:tc>
          <w:tcPr>
            <w:tcW w:type="dxa" w:w="3408"/>
            <w:vAlign w:val="center"/>
          </w:tcPr>
          <w:p>
            <w:r>
              <w:t>Security</w:t>
            </w:r>
          </w:p>
        </w:tc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/>
          </w:p>
        </w:tc>
      </w:tr>
      <w:tr>
        <w:tc>
          <w:tcPr>
            <w:tcW w:type="dxa" w:w="3408"/>
            <w:vAlign w:val="center"/>
          </w:tcPr>
          <w:p>
            <w:r>
              <w:t>CPO Partnership</w:t>
            </w:r>
          </w:p>
        </w:tc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/>
          </w:p>
        </w:tc>
      </w:tr>
      <w:tr>
        <w:tc>
          <w:tcPr>
            <w:tcW w:type="dxa" w:w="3408"/>
            <w:vAlign w:val="center"/>
          </w:tcPr>
          <w:p>
            <w:r>
              <w:t>Operations</w:t>
            </w:r>
          </w:p>
        </w:tc>
        <w:tc>
          <w:tcPr>
            <w:tcW w:type="dxa" w:w="3408"/>
            <w:vAlign w:val="center"/>
          </w:tcPr>
          <w:p>
            <w:r/>
          </w:p>
        </w:tc>
        <w:tc>
          <w:tcPr>
            <w:tcW w:type="dxa" w:w="3408"/>
            <w:vAlign w:val="center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ChargeMesh | CM-DOC-06 | Legal, Compliance &amp; Contracts Framework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