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BUSINESS PERFORMANCE REPORT</w:t>
      </w:r>
    </w:p>
    <w:p>
      <w:pPr>
        <w:jc w:val="center"/>
      </w:pPr>
      <w:r>
        <w:rPr>
          <w:i/>
          <w:sz w:val="22"/>
        </w:rPr>
        <w:t>Sales, Customer, Operations &amp; Payment Analysis</w:t>
      </w:r>
    </w:p>
    <w:p>
      <w:pPr>
        <w:jc w:val="center"/>
      </w:pPr>
      <w:r>
        <w:rPr>
          <w:sz w:val="18"/>
        </w:rPr>
        <w:t>Prepared from the provided Python EDA and Power BI dashboard project</w:t>
      </w:r>
    </w:p>
    <w:p>
      <w:r>
        <w:rPr>
          <w:b/>
          <w:sz w:val="28"/>
        </w:rPr>
        <w:t>1. Executive Summary</w:t>
      </w:r>
    </w:p>
    <w:p>
      <w:pPr>
        <w:spacing w:after="100"/>
      </w:pPr>
      <w:r>
        <w:t>The e-commerce analysis evaluates financial performance, customer composition, order behavior, payment health, discount patterns, geographic performance and product/category performance. The project combines Python-based data cleaning and exploratory analysis with a two-page Power BI dashboard.</w:t>
      </w:r>
    </w:p>
    <w:p>
      <w:pPr>
        <w:spacing w:after="100"/>
      </w:pPr>
      <w:r>
        <w:t>The dashboard reports approximately $3.21M in revenue across roughly 46K orders, an average order value of about $69.9, and a cancellation rate of 4.95%. The EDA also identifies approximately 92% completed orders and a 6.86% payment transaction leakage rate associated with failed transactions.</w:t>
      </w:r>
    </w:p>
    <w:p>
      <w:pPr>
        <w:spacing w:after="100"/>
      </w:pPr>
      <w:r>
        <w:t>Overall, the analysis indicates a business with a high proportion of successfully completed orders, meaningful concentration in leading product categories/cities, measurable payment leakage, and observable differences in customer and order behavior. The strongest management opportunities are payment-process improvement, operational monitoring, and deeper analysis of revenue drivers behind category, city and customer-segment performance.</w:t>
      </w:r>
    </w:p>
    <w:p>
      <w:r>
        <w:rPr>
          <w:b/>
          <w:sz w:val="28"/>
        </w:rPr>
        <w:t>2. Data Scope &amp; Preparation</w:t>
      </w:r>
    </w:p>
    <w:p>
      <w:pPr>
        <w:spacing w:after="100"/>
      </w:pPr>
      <w:r>
        <w:t>The source project contains four principal tables: Customers, Orders, Payments and Products. The Customers table contains 10,000 records; Orders initially contains 50,120 records; Payments contains 50,000 records; and Products contains 20 records.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Area</w:t>
            </w:r>
          </w:p>
        </w:tc>
        <w:tc>
          <w:tcPr>
            <w:tcW w:type="dxa" w:w="3360"/>
          </w:tcPr>
          <w:p>
            <w:r>
              <w:rPr>
                <w:b/>
              </w:rPr>
              <w:t>Evidence from analysis</w:t>
            </w:r>
          </w:p>
        </w:tc>
        <w:tc>
          <w:tcPr>
            <w:tcW w:type="dxa" w:w="3360"/>
          </w:tcPr>
          <w:p>
            <w:r>
              <w:rPr>
                <w:b/>
              </w:rPr>
              <w:t>Business relevance</w:t>
            </w:r>
          </w:p>
        </w:tc>
      </w:tr>
      <w:tr>
        <w:tc>
          <w:tcPr>
            <w:tcW w:type="dxa" w:w="3360"/>
          </w:tcPr>
          <w:p>
            <w:r>
              <w:t>Customers</w:t>
            </w:r>
          </w:p>
        </w:tc>
        <w:tc>
          <w:tcPr>
            <w:tcW w:type="dxa" w:w="3360"/>
          </w:tcPr>
          <w:p>
            <w:r>
              <w:t>10,000 records; missing Age and City values handled</w:t>
            </w:r>
          </w:p>
        </w:tc>
        <w:tc>
          <w:tcPr>
            <w:tcW w:type="dxa" w:w="3360"/>
          </w:tcPr>
          <w:p>
            <w:r>
              <w:t>Supports customer segmentation and geographic analysis</w:t>
            </w:r>
          </w:p>
        </w:tc>
      </w:tr>
      <w:tr>
        <w:tc>
          <w:tcPr>
            <w:tcW w:type="dxa" w:w="3360"/>
          </w:tcPr>
          <w:p>
            <w:r>
              <w:t>Orders</w:t>
            </w:r>
          </w:p>
        </w:tc>
        <w:tc>
          <w:tcPr>
            <w:tcW w:type="dxa" w:w="3360"/>
          </w:tcPr>
          <w:p>
            <w:r>
              <w:t>50,120 initial records; 120 duplicate rows identified</w:t>
            </w:r>
          </w:p>
        </w:tc>
        <w:tc>
          <w:tcPr>
            <w:tcW w:type="dxa" w:w="3360"/>
          </w:tcPr>
          <w:p>
            <w:r>
              <w:t>Core source for sales and order behavior</w:t>
            </w:r>
          </w:p>
        </w:tc>
      </w:tr>
      <w:tr>
        <w:tc>
          <w:tcPr>
            <w:tcW w:type="dxa" w:w="3360"/>
          </w:tcPr>
          <w:p>
            <w:r>
              <w:t>Payments</w:t>
            </w:r>
          </w:p>
        </w:tc>
        <w:tc>
          <w:tcPr>
            <w:tcW w:type="dxa" w:w="3360"/>
          </w:tcPr>
          <w:p>
            <w:r>
              <w:t>50,000 records; 35 missing payment dates</w:t>
            </w:r>
          </w:p>
        </w:tc>
        <w:tc>
          <w:tcPr>
            <w:tcW w:type="dxa" w:w="3360"/>
          </w:tcPr>
          <w:p>
            <w:r>
              <w:t>Supports payment-status and transaction-health analysis</w:t>
            </w:r>
          </w:p>
        </w:tc>
      </w:tr>
      <w:tr>
        <w:tc>
          <w:tcPr>
            <w:tcW w:type="dxa" w:w="3360"/>
          </w:tcPr>
          <w:p>
            <w:r>
              <w:t>Products</w:t>
            </w:r>
          </w:p>
        </w:tc>
        <w:tc>
          <w:tcPr>
            <w:tcW w:type="dxa" w:w="3360"/>
          </w:tcPr>
          <w:p>
            <w:r>
              <w:t>20 records; no missing values or duplicates</w:t>
            </w:r>
          </w:p>
        </w:tc>
        <w:tc>
          <w:tcPr>
            <w:tcW w:type="dxa" w:w="3360"/>
          </w:tcPr>
          <w:p>
            <w:r>
              <w:t>Supports product/category pricing analysis</w:t>
            </w:r>
          </w:p>
        </w:tc>
      </w:tr>
    </w:tbl>
    <w:p>
      <w:pPr>
        <w:spacing w:after="100"/>
      </w:pPr>
      <w:r>
        <w:t>Cleaning included duplicate removal, missing-value treatment, date conversion and creation of analytical fields. For example, customer Age missing values were filled with the median, missing City values were set to 'Unknown', and missing order Discount values were filled with 0.0. The project also removed orders with missing OrderDate after date conversion.</w:t>
      </w:r>
    </w:p>
    <w:p>
      <w:r>
        <w:rPr>
          <w:b/>
          <w:sz w:val="28"/>
        </w:rPr>
        <w:t>3. Business KPI Overview</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KPI</w:t>
            </w:r>
          </w:p>
        </w:tc>
        <w:tc>
          <w:tcPr>
            <w:tcW w:type="dxa" w:w="3360"/>
          </w:tcPr>
          <w:p>
            <w:r>
              <w:rPr>
                <w:b/>
              </w:rPr>
              <w:t>Reported value</w:t>
            </w:r>
          </w:p>
        </w:tc>
        <w:tc>
          <w:tcPr>
            <w:tcW w:type="dxa" w:w="3360"/>
          </w:tcPr>
          <w:p>
            <w:r>
              <w:rPr>
                <w:b/>
              </w:rPr>
              <w:t>Interpretation</w:t>
            </w:r>
          </w:p>
        </w:tc>
      </w:tr>
      <w:tr>
        <w:tc>
          <w:tcPr>
            <w:tcW w:type="dxa" w:w="3360"/>
          </w:tcPr>
          <w:p>
            <w:r>
              <w:t>Revenue</w:t>
            </w:r>
          </w:p>
        </w:tc>
        <w:tc>
          <w:tcPr>
            <w:tcW w:type="dxa" w:w="3360"/>
          </w:tcPr>
          <w:p>
            <w:r>
              <w:t>~$3.21M</w:t>
            </w:r>
          </w:p>
        </w:tc>
        <w:tc>
          <w:tcPr>
            <w:tcW w:type="dxa" w:w="3360"/>
          </w:tcPr>
          <w:p>
            <w:r>
              <w:t>Overall sales value represented in the dashboard</w:t>
            </w:r>
          </w:p>
        </w:tc>
      </w:tr>
      <w:tr>
        <w:tc>
          <w:tcPr>
            <w:tcW w:type="dxa" w:w="3360"/>
          </w:tcPr>
          <w:p>
            <w:r>
              <w:t>Orders</w:t>
            </w:r>
          </w:p>
        </w:tc>
        <w:tc>
          <w:tcPr>
            <w:tcW w:type="dxa" w:w="3360"/>
          </w:tcPr>
          <w:p>
            <w:r>
              <w:t>~46K</w:t>
            </w:r>
          </w:p>
        </w:tc>
        <w:tc>
          <w:tcPr>
            <w:tcW w:type="dxa" w:w="3360"/>
          </w:tcPr>
          <w:p>
            <w:r>
              <w:t>Approximate order volume represented in the dashboard</w:t>
            </w:r>
          </w:p>
        </w:tc>
      </w:tr>
      <w:tr>
        <w:tc>
          <w:tcPr>
            <w:tcW w:type="dxa" w:w="3360"/>
          </w:tcPr>
          <w:p>
            <w:r>
              <w:t>Average Order Value</w:t>
            </w:r>
          </w:p>
        </w:tc>
        <w:tc>
          <w:tcPr>
            <w:tcW w:type="dxa" w:w="3360"/>
          </w:tcPr>
          <w:p>
            <w:r>
              <w:t>~$69.9</w:t>
            </w:r>
          </w:p>
        </w:tc>
        <w:tc>
          <w:tcPr>
            <w:tcW w:type="dxa" w:w="3360"/>
          </w:tcPr>
          <w:p>
            <w:r>
              <w:t>Average value per order</w:t>
            </w:r>
          </w:p>
        </w:tc>
      </w:tr>
      <w:tr>
        <w:tc>
          <w:tcPr>
            <w:tcW w:type="dxa" w:w="3360"/>
          </w:tcPr>
          <w:p>
            <w:r>
              <w:t>Cancellation Rate</w:t>
            </w:r>
          </w:p>
        </w:tc>
        <w:tc>
          <w:tcPr>
            <w:tcW w:type="dxa" w:w="3360"/>
          </w:tcPr>
          <w:p>
            <w:r>
              <w:t>4.95%</w:t>
            </w:r>
          </w:p>
        </w:tc>
        <w:tc>
          <w:tcPr>
            <w:tcW w:type="dxa" w:w="3360"/>
          </w:tcPr>
          <w:p>
            <w:r>
              <w:t>Share of orders reported as cancelled</w:t>
            </w:r>
          </w:p>
        </w:tc>
      </w:tr>
      <w:tr>
        <w:tc>
          <w:tcPr>
            <w:tcW w:type="dxa" w:w="3360"/>
          </w:tcPr>
          <w:p>
            <w:r>
              <w:t>Completed Orders</w:t>
            </w:r>
          </w:p>
        </w:tc>
        <w:tc>
          <w:tcPr>
            <w:tcW w:type="dxa" w:w="3360"/>
          </w:tcPr>
          <w:p>
            <w:r>
              <w:t>~92%</w:t>
            </w:r>
          </w:p>
        </w:tc>
        <w:tc>
          <w:tcPr>
            <w:tcW w:type="dxa" w:w="3360"/>
          </w:tcPr>
          <w:p>
            <w:r>
              <w:t>Large majority of orders reach completed status</w:t>
            </w:r>
          </w:p>
        </w:tc>
      </w:tr>
      <w:tr>
        <w:tc>
          <w:tcPr>
            <w:tcW w:type="dxa" w:w="3360"/>
          </w:tcPr>
          <w:p>
            <w:r>
              <w:t>Payment Leakage</w:t>
            </w:r>
          </w:p>
        </w:tc>
        <w:tc>
          <w:tcPr>
            <w:tcW w:type="dxa" w:w="3360"/>
          </w:tcPr>
          <w:p>
            <w:r>
              <w:t>6.86%</w:t>
            </w:r>
          </w:p>
        </w:tc>
        <w:tc>
          <w:tcPr>
            <w:tcW w:type="dxa" w:w="3360"/>
          </w:tcPr>
          <w:p>
            <w:r>
              <w:t>Reported transaction leakage associated with failed payments</w:t>
            </w:r>
          </w:p>
        </w:tc>
      </w:tr>
    </w:tbl>
    <w:p>
      <w:r>
        <w:rPr>
          <w:b/>
          <w:sz w:val="28"/>
        </w:rPr>
        <w:t>4. Customer Analysis</w:t>
      </w:r>
    </w:p>
    <w:p>
      <w:pPr>
        <w:spacing w:after="100"/>
      </w:pPr>
      <w:r>
        <w:t>The customer analysis examines customer segments, registered customers by city and age distribution across segments. The EDA explicitly frames this section as identifying 'Who are the users?' and includes Regular, New and VIP segments.</w:t>
      </w:r>
    </w:p>
    <w:p>
      <w:pPr>
        <w:pStyle w:val="ListBullet"/>
        <w:spacing w:after="40"/>
      </w:pPr>
      <w:r>
        <w:t>Customer segmentation provides a basis for differentiated retention, engagement and promotional strategies.</w:t>
      </w:r>
    </w:p>
    <w:p>
      <w:pPr>
        <w:pStyle w:val="ListBullet"/>
        <w:spacing w:after="40"/>
      </w:pPr>
      <w:r>
        <w:t>The city analysis highlights the largest registered-customer markets and can be used to prioritize geographic investigation.</w:t>
      </w:r>
    </w:p>
    <w:p>
      <w:pPr>
        <w:pStyle w:val="ListBullet"/>
        <w:spacing w:after="40"/>
      </w:pPr>
      <w:r>
        <w:t>Age distributions by segment provide demographic context for customer targeting, although age alone should not be treated as a causal driver of purchasing behavior.</w:t>
      </w:r>
    </w:p>
    <w:p>
      <w:pPr>
        <w:spacing w:after="100"/>
      </w:pPr>
      <w:r>
        <w:t>Management implication: combine segment size with revenue, order frequency and AOV before deciding where to invest retention or acquisition resources. The current analysis establishes the segmentation structure but does not by itself establish customer lifetime value or profitability.</w:t>
      </w:r>
    </w:p>
    <w:p>
      <w:r>
        <w:rPr>
          <w:b/>
          <w:sz w:val="28"/>
        </w:rPr>
        <w:t>5. Order &amp; Operational Analysis</w:t>
      </w:r>
    </w:p>
    <w:p>
      <w:pPr>
        <w:spacing w:after="100"/>
      </w:pPr>
      <w:r>
        <w:t>Order analysis covers order status, payment-method preference, discount frequency, day-of-week demand and the relationship between discount brackets and order status.</w:t>
      </w:r>
    </w:p>
    <w:p>
      <w:pPr>
        <w:pStyle w:val="ListBullet"/>
        <w:spacing w:after="40"/>
      </w:pPr>
      <w:r>
        <w:t>Approximately 92% of orders are completed, indicating that most recorded orders progress successfully.</w:t>
      </w:r>
    </w:p>
    <w:p>
      <w:pPr>
        <w:pStyle w:val="ListBullet"/>
        <w:spacing w:after="40"/>
      </w:pPr>
      <w:r>
        <w:t>The project identifies weekend-period demand as a notable pattern, with order volume peaking across Friday–Sunday.</w:t>
      </w:r>
    </w:p>
    <w:p>
      <w:pPr>
        <w:pStyle w:val="ListBullet"/>
        <w:spacing w:after="40"/>
      </w:pPr>
      <w:r>
        <w:t>Discount brackets were compared with order status: the reported completed shares are approximately 92.10% for Low, 91.64% for Medium and 92.44% for High discount brackets.</w:t>
      </w:r>
    </w:p>
    <w:p>
      <w:pPr>
        <w:spacing w:after="100"/>
      </w:pPr>
      <w:r>
        <w:t>These discount-status figures are close to one another. Therefore, the analysis does not establish that higher discounts materially improve completion rates. A stronger next step would compare discounts with revenue, order quantity, margin/profit and conversion rather than status alone.</w:t>
      </w:r>
    </w:p>
    <w:p>
      <w:r>
        <w:rPr>
          <w:b/>
          <w:sz w:val="28"/>
        </w:rPr>
        <w:t>6. Payment &amp; Financial Health</w:t>
      </w:r>
    </w:p>
    <w:p>
      <w:pPr>
        <w:spacing w:after="100"/>
      </w:pPr>
      <w:r>
        <w:t>Payment analysis distinguishes payment outcomes and reports a 6.86% transaction leakage rate associated with failed transactions. The dashboard also breaks payment methods down by status.</w:t>
      </w:r>
    </w:p>
    <w:p>
      <w:pPr>
        <w:pStyle w:val="ListBullet"/>
        <w:spacing w:after="40"/>
      </w:pPr>
      <w:r>
        <w:t>Payment leakage is a direct operational and financial monitoring area.</w:t>
      </w:r>
    </w:p>
    <w:p>
      <w:pPr>
        <w:pStyle w:val="ListBullet"/>
        <w:spacing w:after="40"/>
      </w:pPr>
      <w:r>
        <w:t>Payment method performance should be compared using failure rate, successful transaction count and monetary value—not only transaction count.</w:t>
      </w:r>
    </w:p>
    <w:p>
      <w:pPr>
        <w:pStyle w:val="ListBullet"/>
        <w:spacing w:after="40"/>
      </w:pPr>
      <w:r>
        <w:t>Investigating whether leakage is concentrated in particular payment methods can help prioritize technical or process improvements.</w:t>
      </w:r>
    </w:p>
    <w:p>
      <w:pPr>
        <w:spacing w:after="100"/>
      </w:pPr>
      <w:r>
        <w:t>Important limitation: the provided project summary reports the 6.86% leakage figure, but the exact calculation formula is not visible in the extracted EDA text. The metric definition should therefore be documented explicitly in the final business presentation.</w:t>
      </w:r>
    </w:p>
    <w:p>
      <w:r>
        <w:rPr>
          <w:b/>
          <w:sz w:val="28"/>
        </w:rPr>
        <w:t>7. Product &amp; Category Performance</w:t>
      </w:r>
    </w:p>
    <w:p>
      <w:pPr>
        <w:spacing w:after="100"/>
      </w:pPr>
      <w:r>
        <w:t>The analysis examines average unit price by category and the Power BI dashboard presents category and product-level revenue views. The dashboard shows Electronics as the leading category in the displayed revenue breakdown and identifies leading products such as Headphones, Office Chair, Tablet, Smart Watch and Microphone.</w:t>
      </w:r>
    </w:p>
    <w:p>
      <w:pPr>
        <w:pStyle w:val="ListBullet"/>
        <w:spacing w:after="40"/>
      </w:pPr>
      <w:r>
        <w:t>Category-level revenue concentration can help management prioritize inventory, merchandising and promotional analysis.</w:t>
      </w:r>
    </w:p>
    <w:p>
      <w:pPr>
        <w:pStyle w:val="ListBullet"/>
        <w:spacing w:after="40"/>
      </w:pPr>
      <w:r>
        <w:t>Product-level revenue should be assessed together with quantity sold and unit price to distinguish volume-driven performance from price-driven performance.</w:t>
      </w:r>
    </w:p>
    <w:p>
      <w:pPr>
        <w:pStyle w:val="ListBullet"/>
        <w:spacing w:after="40"/>
      </w:pPr>
      <w:r>
        <w:t>Average unit price by category provides pricing context but should not be interpreted as profitability without cost/margin data.</w:t>
      </w:r>
    </w:p>
    <w:p>
      <w:r>
        <w:rPr>
          <w:b/>
          <w:sz w:val="28"/>
        </w:rPr>
        <w:t>8. Geographic Performance</w:t>
      </w:r>
    </w:p>
    <w:p>
      <w:pPr>
        <w:spacing w:after="100"/>
      </w:pPr>
      <w:r>
        <w:t>The dashboard provides city-level revenue analysis, while the Python EDA examines the top cities by registered customers. This allows management to compare customer presence with actual revenue generation.</w:t>
      </w:r>
    </w:p>
    <w:p>
      <w:pPr>
        <w:spacing w:after="100"/>
      </w:pPr>
      <w:r>
        <w:t>A useful next step is to identify cities with high customer counts but relatively low revenue, as well as cities with high revenue but a smaller customer base. Those patterns could indicate differences in customer value, product mix or purchasing frequency; the current source material does not establish the causes.</w:t>
      </w:r>
    </w:p>
    <w:p>
      <w:r>
        <w:rPr>
          <w:b/>
          <w:sz w:val="28"/>
        </w:rPr>
        <w:t>9. Management Recommendations</w:t>
      </w:r>
    </w:p>
    <w:tbl>
      <w:tblPr>
        <w:tblStyle w:val="TableGrid"/>
        <w:tblW w:type="auto" w:w="0"/>
        <w:tblLook w:firstColumn="1" w:firstRow="1" w:lastColumn="0" w:lastRow="0" w:noHBand="0" w:noVBand="1" w:val="04A0"/>
      </w:tblPr>
      <w:tblGrid>
        <w:gridCol w:w="5040"/>
        <w:gridCol w:w="5040"/>
      </w:tblGrid>
      <w:tr>
        <w:tc>
          <w:tcPr>
            <w:tcW w:type="dxa" w:w="5040"/>
          </w:tcPr>
          <w:p>
            <w:r>
              <w:rPr>
                <w:b/>
              </w:rPr>
              <w:t>Priority area</w:t>
            </w:r>
          </w:p>
        </w:tc>
        <w:tc>
          <w:tcPr>
            <w:tcW w:type="dxa" w:w="5040"/>
          </w:tcPr>
          <w:p>
            <w:r>
              <w:rPr>
                <w:b/>
              </w:rPr>
              <w:t>Recommended action</w:t>
            </w:r>
          </w:p>
        </w:tc>
      </w:tr>
      <w:tr>
        <w:tc>
          <w:tcPr>
            <w:tcW w:type="dxa" w:w="5040"/>
          </w:tcPr>
          <w:p>
            <w:r>
              <w:t>Reduce payment leakage</w:t>
            </w:r>
          </w:p>
        </w:tc>
        <w:tc>
          <w:tcPr>
            <w:tcW w:type="dxa" w:w="5040"/>
          </w:tcPr>
          <w:p>
            <w:r>
              <w:t>Monitor failed-payment rates by payment method and investigate the highest-loss channels first. Track both transaction count and monetary value.</w:t>
            </w:r>
          </w:p>
        </w:tc>
      </w:tr>
      <w:tr>
        <w:tc>
          <w:tcPr>
            <w:tcW w:type="dxa" w:w="5040"/>
          </w:tcPr>
          <w:p>
            <w:r>
              <w:t>Protect successful order fulfillment</w:t>
            </w:r>
          </w:p>
        </w:tc>
        <w:tc>
          <w:tcPr>
            <w:tcW w:type="dxa" w:w="5040"/>
          </w:tcPr>
          <w:p>
            <w:r>
              <w:t>Maintain monitoring of cancellation and return rates and segment them by category, city, product and payment method.</w:t>
            </w:r>
          </w:p>
        </w:tc>
      </w:tr>
      <w:tr>
        <w:tc>
          <w:tcPr>
            <w:tcW w:type="dxa" w:w="5040"/>
          </w:tcPr>
          <w:p>
            <w:r>
              <w:t>Optimize promotions using economics</w:t>
            </w:r>
          </w:p>
        </w:tc>
        <w:tc>
          <w:tcPr>
            <w:tcW w:type="dxa" w:w="5040"/>
          </w:tcPr>
          <w:p>
            <w:r>
              <w:t>Evaluate discounts against revenue, quantity and margin/profit before increasing discount depth.</w:t>
            </w:r>
          </w:p>
        </w:tc>
      </w:tr>
      <w:tr>
        <w:tc>
          <w:tcPr>
            <w:tcW w:type="dxa" w:w="5040"/>
          </w:tcPr>
          <w:p>
            <w:r>
              <w:t>Prioritize high-value segments</w:t>
            </w:r>
          </w:p>
        </w:tc>
        <w:tc>
          <w:tcPr>
            <w:tcW w:type="dxa" w:w="5040"/>
          </w:tcPr>
          <w:p>
            <w:r>
              <w:t>Compare Regular, New and VIP customers on revenue, frequency and AOV to identify retention opportunities.</w:t>
            </w:r>
          </w:p>
        </w:tc>
      </w:tr>
      <w:tr>
        <w:tc>
          <w:tcPr>
            <w:tcW w:type="dxa" w:w="5040"/>
          </w:tcPr>
          <w:p>
            <w:r>
              <w:t>Use geographic performance together</w:t>
            </w:r>
          </w:p>
        </w:tc>
        <w:tc>
          <w:tcPr>
            <w:tcW w:type="dxa" w:w="5040"/>
          </w:tcPr>
          <w:p>
            <w:r>
              <w:t>Combine registered-customer counts with revenue and order volume to distinguish market size from market value.</w:t>
            </w:r>
          </w:p>
        </w:tc>
      </w:tr>
      <w:tr>
        <w:tc>
          <w:tcPr>
            <w:tcW w:type="dxa" w:w="5040"/>
          </w:tcPr>
          <w:p>
            <w:r>
              <w:t>Investigate product drivers</w:t>
            </w:r>
          </w:p>
        </w:tc>
        <w:tc>
          <w:tcPr>
            <w:tcW w:type="dxa" w:w="5040"/>
          </w:tcPr>
          <w:p>
            <w:r>
              <w:t>For leading products/categories, examine quantity, price and revenue together to understand what is actually driving sales.</w:t>
            </w:r>
          </w:p>
        </w:tc>
      </w:tr>
    </w:tbl>
    <w:p>
      <w:r>
        <w:rPr>
          <w:b/>
          <w:sz w:val="28"/>
        </w:rPr>
        <w:t>10. Data &amp; Analytical Limitations</w:t>
      </w:r>
    </w:p>
    <w:p>
      <w:pPr>
        <w:pStyle w:val="ListBullet"/>
        <w:spacing w:after="40"/>
      </w:pPr>
      <w:r>
        <w:t>The project is primarily descriptive; causal conclusions should not be drawn from the observed relationships.</w:t>
      </w:r>
    </w:p>
    <w:p>
      <w:pPr>
        <w:pStyle w:val="ListBullet"/>
        <w:spacing w:after="40"/>
      </w:pPr>
      <w:r>
        <w:t>The provided analysis does not include cost or profit data, so revenue should not be interpreted as profitability.</w:t>
      </w:r>
    </w:p>
    <w:p>
      <w:pPr>
        <w:pStyle w:val="ListBullet"/>
        <w:spacing w:after="40"/>
      </w:pPr>
      <w:r>
        <w:t>The exact calculation definition for the reported 6.86% payment leakage should be documented.</w:t>
      </w:r>
    </w:p>
    <w:p>
      <w:pPr>
        <w:pStyle w:val="ListBullet"/>
        <w:spacing w:after="40"/>
      </w:pPr>
      <w:r>
        <w:t>Missing-value treatments involve assumptions (for example, replacing missing Discount with 0.0); these assumptions should be validated against the source-system meaning of missing values.</w:t>
      </w:r>
    </w:p>
    <w:p>
      <w:pPr>
        <w:pStyle w:val="ListBullet"/>
        <w:spacing w:after="40"/>
      </w:pPr>
      <w:r>
        <w:t>The current analysis does not establish customer lifetime value, retention rate, conversion rate or margin.</w:t>
      </w:r>
    </w:p>
    <w:p>
      <w:pPr>
        <w:pStyle w:val="ListBullet"/>
        <w:spacing w:after="40"/>
      </w:pPr>
      <w:r>
        <w:t>The dashboard and EDA should use consistent metric definitions for revenue, order count, completed orders and cancellation rate.</w:t>
      </w:r>
    </w:p>
    <w:p>
      <w:r>
        <w:rPr>
          <w:b/>
          <w:sz w:val="28"/>
        </w:rPr>
        <w:t>11. Conclusion</w:t>
      </w:r>
    </w:p>
    <w:p>
      <w:pPr>
        <w:spacing w:after="100"/>
      </w:pPr>
      <w:r>
        <w:t>The analysis presents a structured view of e-commerce financial, customer and operational performance. The business shows strong completed-order performance, meaningful sales volume and identifiable patterns across customers, products, cities, payment methods and discounts. The most actionable areas for management attention are payment leakage, order-status monitoring, promotion economics and deeper customer/product profitability analysis.</w:t>
      </w:r>
    </w:p>
    <w:p>
      <w:pPr>
        <w:spacing w:after="100"/>
      </w:pPr>
      <w:r>
        <w:t>The existing dashboard is suitable as a management-facing summary. The next analytical enhancement should focus less on adding more visuals and more on quantifying drivers: revenue by segment and city, payment failure rates by channel, repeat-customer behavior, and—if available—gross margin.</w:t>
      </w:r>
    </w:p>
    <w:p>
      <w:r>
        <w:rPr>
          <w:b/>
          <w:sz w:val="28"/>
        </w:rPr>
        <w:t>Source Note</w:t>
      </w:r>
    </w:p>
    <w:p>
      <w:pPr>
        <w:spacing w:after="100"/>
      </w:pPr>
      <w:r>
        <w:t>This report is based on the uploaded E-Commerce EDA project and the accompanying two-page Power BI dashboard reviewed in this conversation. Where the source materials did not expose an exact calculation or causal explanation, the report explicitly identifies the limitation rather than assuming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